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8"/>
          <w:szCs w:val="28"/>
          <w:b w:val="1"/>
          <w:bCs w:val="1"/>
          <w:color w:val="auto"/>
        </w:rPr>
        <w:t>UNITED STATES</w:t>
      </w:r>
    </w:p>
    <w:p>
      <w:pPr>
        <w:spacing w:after="0" w:line="40" w:lineRule="exact"/>
        <w:rPr>
          <w:sz w:val="24"/>
          <w:szCs w:val="24"/>
          <w:color w:val="auto"/>
        </w:rPr>
      </w:pPr>
    </w:p>
    <w:p>
      <w:pPr>
        <w:jc w:val="center"/>
        <w:ind w:right="479"/>
        <w:spacing w:after="0"/>
        <w:rPr>
          <w:sz w:val="20"/>
          <w:szCs w:val="20"/>
          <w:color w:val="auto"/>
        </w:rPr>
      </w:pPr>
      <w:r>
        <w:rPr>
          <w:rFonts w:ascii="Arial" w:cs="Arial" w:eastAsia="Arial" w:hAnsi="Arial"/>
          <w:sz w:val="28"/>
          <w:szCs w:val="28"/>
          <w:b w:val="1"/>
          <w:bCs w:val="1"/>
          <w:color w:val="auto"/>
        </w:rPr>
        <w:t>SECURITIES AND EXCHANGE COMMISSION</w:t>
      </w:r>
    </w:p>
    <w:p>
      <w:pPr>
        <w:spacing w:after="0" w:line="7" w:lineRule="exact"/>
        <w:rPr>
          <w:sz w:val="24"/>
          <w:szCs w:val="24"/>
          <w:color w:val="auto"/>
        </w:rPr>
      </w:pPr>
    </w:p>
    <w:p>
      <w:pPr>
        <w:jc w:val="center"/>
        <w:ind w:right="479"/>
        <w:spacing w:after="0"/>
        <w:rPr>
          <w:sz w:val="20"/>
          <w:szCs w:val="20"/>
          <w:color w:val="auto"/>
        </w:rPr>
      </w:pPr>
      <w:r>
        <w:rPr>
          <w:rFonts w:ascii="Arial" w:cs="Arial" w:eastAsia="Arial" w:hAnsi="Arial"/>
          <w:sz w:val="19"/>
          <w:szCs w:val="19"/>
          <w:b w:val="1"/>
          <w:bCs w:val="1"/>
          <w:color w:val="auto"/>
        </w:rPr>
        <w:t>Washington, D.C. 20549</w:t>
      </w:r>
    </w:p>
    <w:p>
      <w:pPr>
        <w:spacing w:after="0" w:line="102" w:lineRule="exact"/>
        <w:rPr>
          <w:sz w:val="24"/>
          <w:szCs w:val="24"/>
          <w:color w:val="auto"/>
        </w:rPr>
      </w:pPr>
    </w:p>
    <w:p>
      <w:pPr>
        <w:ind w:left="3600"/>
        <w:spacing w:after="0"/>
        <w:rPr>
          <w:sz w:val="20"/>
          <w:szCs w:val="20"/>
          <w:color w:val="auto"/>
        </w:rPr>
      </w:pPr>
      <w:r>
        <w:rPr>
          <w:rFonts w:ascii="Arial" w:cs="Arial" w:eastAsia="Arial" w:hAnsi="Arial"/>
          <w:sz w:val="25"/>
          <w:szCs w:val="25"/>
          <w:b w:val="1"/>
          <w:bCs w:val="1"/>
          <w:color w:val="auto"/>
        </w:rPr>
        <w:t>FORM 10-K</w:t>
      </w:r>
    </w:p>
    <w:p>
      <w:pPr>
        <w:spacing w:after="0" w:line="240" w:lineRule="exact"/>
        <w:rPr>
          <w:sz w:val="24"/>
          <w:szCs w:val="24"/>
          <w:color w:val="auto"/>
        </w:rPr>
      </w:pPr>
    </w:p>
    <w:p>
      <w:pPr>
        <w:ind w:left="160" w:right="1479" w:hanging="8"/>
        <w:spacing w:after="0" w:line="283" w:lineRule="auto"/>
        <w:tabs>
          <w:tab w:leader="none" w:pos="477"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57" w:lineRule="exact"/>
        <w:rPr>
          <w:sz w:val="24"/>
          <w:szCs w:val="24"/>
          <w:color w:val="auto"/>
        </w:rPr>
      </w:pPr>
    </w:p>
    <w:p>
      <w:pPr>
        <w:ind w:left="160"/>
        <w:spacing w:after="0"/>
        <w:rPr>
          <w:sz w:val="20"/>
          <w:szCs w:val="20"/>
          <w:color w:val="auto"/>
        </w:rPr>
      </w:pPr>
      <w:r>
        <w:rPr>
          <w:rFonts w:ascii="Arial" w:cs="Arial" w:eastAsia="Arial" w:hAnsi="Arial"/>
          <w:sz w:val="19"/>
          <w:szCs w:val="19"/>
          <w:b w:val="1"/>
          <w:bCs w:val="1"/>
          <w:color w:val="auto"/>
        </w:rPr>
        <w:t>For the fiscal year ended December 31, 2020</w:t>
      </w:r>
    </w:p>
    <w:p>
      <w:pPr>
        <w:spacing w:after="0" w:line="124" w:lineRule="exact"/>
        <w:rPr>
          <w:sz w:val="24"/>
          <w:szCs w:val="24"/>
          <w:color w:val="auto"/>
        </w:rPr>
      </w:pPr>
    </w:p>
    <w:p>
      <w:pPr>
        <w:ind w:left="4180"/>
        <w:spacing w:after="0"/>
        <w:rPr>
          <w:sz w:val="20"/>
          <w:szCs w:val="20"/>
          <w:color w:val="auto"/>
        </w:rPr>
      </w:pPr>
      <w:r>
        <w:rPr>
          <w:rFonts w:ascii="Arial" w:cs="Arial" w:eastAsia="Arial" w:hAnsi="Arial"/>
          <w:sz w:val="19"/>
          <w:szCs w:val="19"/>
          <w:b w:val="1"/>
          <w:bCs w:val="1"/>
          <w:color w:val="auto"/>
        </w:rPr>
        <w:t>or</w:t>
      </w:r>
    </w:p>
    <w:p>
      <w:pPr>
        <w:spacing w:after="0" w:line="124" w:lineRule="exact"/>
        <w:rPr>
          <w:sz w:val="24"/>
          <w:szCs w:val="24"/>
          <w:color w:val="auto"/>
        </w:rPr>
      </w:pPr>
    </w:p>
    <w:p>
      <w:pPr>
        <w:ind w:left="160" w:right="1119" w:hanging="8"/>
        <w:spacing w:after="0" w:line="283" w:lineRule="auto"/>
        <w:tabs>
          <w:tab w:leader="none" w:pos="321"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TRANSITION REPORT PURSUANT TO SECTION 13 OR 15(d) OF THE SECURITIES EXCHANGE ACT OF 1934</w:t>
      </w:r>
    </w:p>
    <w:p>
      <w:pPr>
        <w:spacing w:after="0" w:line="157" w:lineRule="exact"/>
        <w:rPr>
          <w:sz w:val="24"/>
          <w:szCs w:val="24"/>
          <w:color w:val="auto"/>
        </w:rPr>
      </w:pPr>
    </w:p>
    <w:p>
      <w:pPr>
        <w:ind w:left="160"/>
        <w:spacing w:after="0"/>
        <w:rPr>
          <w:sz w:val="20"/>
          <w:szCs w:val="20"/>
          <w:color w:val="auto"/>
        </w:rPr>
      </w:pPr>
      <w:r>
        <w:rPr>
          <w:rFonts w:ascii="Arial" w:cs="Arial" w:eastAsia="Arial" w:hAnsi="Arial"/>
          <w:sz w:val="19"/>
          <w:szCs w:val="19"/>
          <w:b w:val="1"/>
          <w:bCs w:val="1"/>
          <w:color w:val="auto"/>
        </w:rPr>
        <w:t>For the Transition Period from _____ to _____</w:t>
      </w:r>
    </w:p>
    <w:p>
      <w:pPr>
        <w:spacing w:after="0" w:line="124" w:lineRule="exact"/>
        <w:rPr>
          <w:sz w:val="24"/>
          <w:szCs w:val="24"/>
          <w:color w:val="auto"/>
        </w:rPr>
      </w:pPr>
    </w:p>
    <w:p>
      <w:pPr>
        <w:jc w:val="center"/>
        <w:ind w:right="479"/>
        <w:spacing w:after="0"/>
        <w:rPr>
          <w:sz w:val="20"/>
          <w:szCs w:val="20"/>
          <w:color w:val="auto"/>
        </w:rPr>
      </w:pPr>
      <w:r>
        <w:rPr>
          <w:rFonts w:ascii="Arial" w:cs="Arial" w:eastAsia="Arial" w:hAnsi="Arial"/>
          <w:sz w:val="19"/>
          <w:szCs w:val="19"/>
          <w:b w:val="1"/>
          <w:bCs w:val="1"/>
          <w:color w:val="auto"/>
        </w:rPr>
        <w:t>Commission File Number 000-09341</w:t>
      </w:r>
    </w:p>
    <w:p>
      <w:pPr>
        <w:spacing w:after="0" w:line="120"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SECURITY NATIONAL FINANCIAL CORPORATION</w:t>
      </w:r>
    </w:p>
    <w:p>
      <w:pPr>
        <w:spacing w:after="0" w:line="22" w:lineRule="exact"/>
        <w:rPr>
          <w:sz w:val="24"/>
          <w:szCs w:val="24"/>
          <w:color w:val="auto"/>
        </w:rPr>
      </w:pPr>
    </w:p>
    <w:p>
      <w:pPr>
        <w:ind w:left="2280"/>
        <w:spacing w:after="0"/>
        <w:rPr>
          <w:sz w:val="20"/>
          <w:szCs w:val="20"/>
          <w:color w:val="auto"/>
        </w:rPr>
      </w:pPr>
      <w:r>
        <w:rPr>
          <w:rFonts w:ascii="Arial" w:cs="Arial" w:eastAsia="Arial" w:hAnsi="Arial"/>
          <w:sz w:val="19"/>
          <w:szCs w:val="19"/>
          <w:color w:val="auto"/>
        </w:rPr>
        <w:t>(Exact name of registrant as specified in its charter)</w:t>
      </w:r>
    </w:p>
    <w:p>
      <w:pPr>
        <w:spacing w:after="0" w:line="142"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40" w:type="dxa"/>
            <w:vAlign w:val="bottom"/>
            <w:gridSpan w:val="3"/>
          </w:tcPr>
          <w:p>
            <w:pPr>
              <w:jc w:val="center"/>
              <w:ind w:right="1900"/>
              <w:spacing w:after="0"/>
              <w:rPr>
                <w:sz w:val="20"/>
                <w:szCs w:val="20"/>
                <w:color w:val="auto"/>
              </w:rPr>
            </w:pPr>
            <w:r>
              <w:rPr>
                <w:rFonts w:ascii="Arial" w:cs="Arial" w:eastAsia="Arial" w:hAnsi="Arial"/>
                <w:sz w:val="19"/>
                <w:szCs w:val="19"/>
                <w:b w:val="1"/>
                <w:bCs w:val="1"/>
                <w:color w:val="auto"/>
              </w:rPr>
              <w:t>UTAH</w:t>
            </w:r>
          </w:p>
        </w:tc>
        <w:tc>
          <w:tcPr>
            <w:tcW w:w="2000" w:type="dxa"/>
            <w:vAlign w:val="bottom"/>
            <w:gridSpan w:val="6"/>
          </w:tcPr>
          <w:p>
            <w:pPr>
              <w:jc w:val="right"/>
              <w:ind w:right="140"/>
              <w:spacing w:after="0"/>
              <w:rPr>
                <w:sz w:val="20"/>
                <w:szCs w:val="20"/>
                <w:color w:val="auto"/>
              </w:rPr>
            </w:pPr>
            <w:r>
              <w:rPr>
                <w:rFonts w:ascii="Arial" w:cs="Arial" w:eastAsia="Arial" w:hAnsi="Arial"/>
                <w:sz w:val="19"/>
                <w:szCs w:val="19"/>
                <w:b w:val="1"/>
                <w:bCs w:val="1"/>
                <w:color w:val="auto"/>
              </w:rPr>
              <w:t>87-0345941</w:t>
            </w:r>
          </w:p>
        </w:tc>
        <w:tc>
          <w:tcPr>
            <w:tcW w:w="13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0"/>
        </w:trPr>
        <w:tc>
          <w:tcPr>
            <w:tcW w:w="1080" w:type="dxa"/>
            <w:vAlign w:val="bottom"/>
          </w:tcPr>
          <w:p>
            <w:pPr>
              <w:spacing w:after="0"/>
              <w:rPr>
                <w:sz w:val="24"/>
                <w:szCs w:val="24"/>
                <w:color w:val="auto"/>
              </w:rPr>
            </w:pPr>
          </w:p>
        </w:tc>
        <w:tc>
          <w:tcPr>
            <w:tcW w:w="3720" w:type="dxa"/>
            <w:vAlign w:val="bottom"/>
            <w:gridSpan w:val="4"/>
          </w:tcPr>
          <w:p>
            <w:pPr>
              <w:jc w:val="center"/>
              <w:ind w:right="600"/>
              <w:spacing w:after="0"/>
              <w:rPr>
                <w:sz w:val="20"/>
                <w:szCs w:val="20"/>
                <w:color w:val="auto"/>
              </w:rPr>
            </w:pPr>
            <w:r>
              <w:rPr>
                <w:rFonts w:ascii="Arial" w:cs="Arial" w:eastAsia="Arial" w:hAnsi="Arial"/>
                <w:sz w:val="19"/>
                <w:szCs w:val="19"/>
                <w:color w:val="auto"/>
                <w:w w:val="94"/>
              </w:rPr>
              <w:t>(State or other jurisdiction of</w:t>
            </w:r>
          </w:p>
        </w:tc>
        <w:tc>
          <w:tcPr>
            <w:tcW w:w="3320" w:type="dxa"/>
            <w:vAlign w:val="bottom"/>
            <w:gridSpan w:val="7"/>
          </w:tcPr>
          <w:p>
            <w:pPr>
              <w:jc w:val="center"/>
              <w:ind w:right="520"/>
              <w:spacing w:after="0"/>
              <w:rPr>
                <w:sz w:val="20"/>
                <w:szCs w:val="20"/>
                <w:color w:val="auto"/>
              </w:rPr>
            </w:pPr>
            <w:r>
              <w:rPr>
                <w:rFonts w:ascii="Arial" w:cs="Arial" w:eastAsia="Arial" w:hAnsi="Arial"/>
                <w:sz w:val="19"/>
                <w:szCs w:val="19"/>
                <w:color w:val="auto"/>
                <w:w w:val="94"/>
              </w:rPr>
              <w:t>(I.R.S. Employer</w:t>
            </w:r>
          </w:p>
        </w:tc>
      </w:tr>
      <w:tr>
        <w:trPr>
          <w:trHeight w:val="246"/>
        </w:trPr>
        <w:tc>
          <w:tcPr>
            <w:tcW w:w="1080" w:type="dxa"/>
            <w:vAlign w:val="bottom"/>
          </w:tcPr>
          <w:p>
            <w:pPr>
              <w:spacing w:after="0"/>
              <w:rPr>
                <w:sz w:val="21"/>
                <w:szCs w:val="21"/>
                <w:color w:val="auto"/>
              </w:rPr>
            </w:pPr>
          </w:p>
        </w:tc>
        <w:tc>
          <w:tcPr>
            <w:tcW w:w="3720" w:type="dxa"/>
            <w:vAlign w:val="bottom"/>
            <w:gridSpan w:val="4"/>
          </w:tcPr>
          <w:p>
            <w:pPr>
              <w:jc w:val="center"/>
              <w:ind w:right="600"/>
              <w:spacing w:after="0"/>
              <w:rPr>
                <w:sz w:val="20"/>
                <w:szCs w:val="20"/>
                <w:color w:val="auto"/>
              </w:rPr>
            </w:pPr>
            <w:r>
              <w:rPr>
                <w:rFonts w:ascii="Arial" w:cs="Arial" w:eastAsia="Arial" w:hAnsi="Arial"/>
                <w:sz w:val="19"/>
                <w:szCs w:val="19"/>
                <w:color w:val="auto"/>
                <w:w w:val="93"/>
              </w:rPr>
              <w:t>incorporation or organization)</w:t>
            </w:r>
          </w:p>
        </w:tc>
        <w:tc>
          <w:tcPr>
            <w:tcW w:w="3320" w:type="dxa"/>
            <w:vAlign w:val="bottom"/>
            <w:gridSpan w:val="7"/>
          </w:tcPr>
          <w:p>
            <w:pPr>
              <w:jc w:val="center"/>
              <w:ind w:right="520"/>
              <w:spacing w:after="0"/>
              <w:rPr>
                <w:sz w:val="20"/>
                <w:szCs w:val="20"/>
                <w:color w:val="auto"/>
              </w:rPr>
            </w:pPr>
            <w:r>
              <w:rPr>
                <w:rFonts w:ascii="Arial" w:cs="Arial" w:eastAsia="Arial" w:hAnsi="Arial"/>
                <w:sz w:val="19"/>
                <w:szCs w:val="19"/>
                <w:color w:val="auto"/>
                <w:w w:val="97"/>
              </w:rPr>
              <w:t>Identification No.)</w:t>
            </w:r>
          </w:p>
        </w:tc>
      </w:tr>
      <w:tr>
        <w:trPr>
          <w:trHeight w:val="338"/>
        </w:trPr>
        <w:tc>
          <w:tcPr>
            <w:tcW w:w="4800" w:type="dxa"/>
            <w:vAlign w:val="bottom"/>
            <w:gridSpan w:val="5"/>
          </w:tcPr>
          <w:p>
            <w:pPr>
              <w:jc w:val="center"/>
              <w:ind w:left="383"/>
              <w:spacing w:after="0"/>
              <w:rPr>
                <w:sz w:val="20"/>
                <w:szCs w:val="20"/>
                <w:color w:val="auto"/>
              </w:rPr>
            </w:pPr>
            <w:r>
              <w:rPr>
                <w:rFonts w:ascii="Arial" w:cs="Arial" w:eastAsia="Arial" w:hAnsi="Arial"/>
                <w:sz w:val="19"/>
                <w:szCs w:val="19"/>
                <w:b w:val="1"/>
                <w:bCs w:val="1"/>
                <w:color w:val="auto"/>
                <w:w w:val="93"/>
              </w:rPr>
              <w:t>121 West Election Road, Draper, Utah</w:t>
            </w:r>
          </w:p>
        </w:tc>
        <w:tc>
          <w:tcPr>
            <w:tcW w:w="1660" w:type="dxa"/>
            <w:vAlign w:val="bottom"/>
            <w:gridSpan w:val="4"/>
          </w:tcPr>
          <w:p>
            <w:pPr>
              <w:jc w:val="right"/>
              <w:spacing w:after="0"/>
              <w:rPr>
                <w:sz w:val="20"/>
                <w:szCs w:val="20"/>
                <w:color w:val="auto"/>
              </w:rPr>
            </w:pPr>
            <w:r>
              <w:rPr>
                <w:rFonts w:ascii="Arial" w:cs="Arial" w:eastAsia="Arial" w:hAnsi="Arial"/>
                <w:sz w:val="19"/>
                <w:szCs w:val="19"/>
                <w:b w:val="1"/>
                <w:bCs w:val="1"/>
                <w:color w:val="auto"/>
              </w:rPr>
              <w:t>84020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31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02"/>
        </w:trPr>
        <w:tc>
          <w:tcPr>
            <w:tcW w:w="1080" w:type="dxa"/>
            <w:vAlign w:val="bottom"/>
          </w:tcPr>
          <w:p>
            <w:pPr>
              <w:spacing w:after="0"/>
              <w:rPr>
                <w:sz w:val="24"/>
                <w:szCs w:val="24"/>
                <w:color w:val="auto"/>
              </w:rPr>
            </w:pPr>
          </w:p>
        </w:tc>
        <w:tc>
          <w:tcPr>
            <w:tcW w:w="3140" w:type="dxa"/>
            <w:vAlign w:val="bottom"/>
            <w:gridSpan w:val="3"/>
          </w:tcPr>
          <w:p>
            <w:pPr>
              <w:jc w:val="center"/>
              <w:spacing w:after="0"/>
              <w:rPr>
                <w:sz w:val="20"/>
                <w:szCs w:val="20"/>
                <w:color w:val="auto"/>
              </w:rPr>
            </w:pPr>
            <w:r>
              <w:rPr>
                <w:rFonts w:ascii="Arial" w:cs="Arial" w:eastAsia="Arial" w:hAnsi="Arial"/>
                <w:sz w:val="19"/>
                <w:szCs w:val="19"/>
                <w:color w:val="auto"/>
                <w:w w:val="94"/>
              </w:rPr>
              <w:t>(Address of principal executive offices)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jc w:val="center"/>
              <w:ind w:right="1440"/>
              <w:spacing w:after="0"/>
              <w:rPr>
                <w:sz w:val="20"/>
                <w:szCs w:val="20"/>
                <w:color w:val="auto"/>
              </w:rPr>
            </w:pPr>
            <w:r>
              <w:rPr>
                <w:rFonts w:ascii="Arial" w:cs="Arial" w:eastAsia="Arial" w:hAnsi="Arial"/>
                <w:sz w:val="19"/>
                <w:szCs w:val="19"/>
                <w:color w:val="auto"/>
                <w:w w:val="95"/>
              </w:rPr>
              <w:t>(Zip Code)</w:t>
            </w:r>
          </w:p>
        </w:tc>
      </w:tr>
      <w:tr>
        <w:trPr>
          <w:trHeight w:val="483"/>
        </w:trPr>
        <w:tc>
          <w:tcPr>
            <w:tcW w:w="4800" w:type="dxa"/>
            <w:vAlign w:val="bottom"/>
            <w:gridSpan w:val="5"/>
          </w:tcPr>
          <w:p>
            <w:pPr>
              <w:jc w:val="center"/>
              <w:ind w:left="403"/>
              <w:spacing w:after="0"/>
              <w:rPr>
                <w:sz w:val="20"/>
                <w:szCs w:val="20"/>
                <w:color w:val="auto"/>
              </w:rPr>
            </w:pPr>
            <w:r>
              <w:rPr>
                <w:rFonts w:ascii="Arial" w:cs="Arial" w:eastAsia="Arial" w:hAnsi="Arial"/>
                <w:sz w:val="19"/>
                <w:szCs w:val="19"/>
                <w:color w:val="auto"/>
                <w:w w:val="91"/>
              </w:rPr>
              <w:t>Registrant’s telephone number, including area code:</w:t>
            </w:r>
          </w:p>
        </w:tc>
        <w:tc>
          <w:tcPr>
            <w:tcW w:w="800" w:type="dxa"/>
            <w:vAlign w:val="bottom"/>
          </w:tcPr>
          <w:p>
            <w:pPr>
              <w:spacing w:after="0"/>
              <w:rPr>
                <w:sz w:val="24"/>
                <w:szCs w:val="24"/>
                <w:color w:val="auto"/>
              </w:rPr>
            </w:pPr>
          </w:p>
        </w:tc>
        <w:tc>
          <w:tcPr>
            <w:tcW w:w="2520" w:type="dxa"/>
            <w:vAlign w:val="bottom"/>
            <w:gridSpan w:val="6"/>
          </w:tcPr>
          <w:p>
            <w:pPr>
              <w:jc w:val="right"/>
              <w:ind w:right="1300"/>
              <w:spacing w:after="0"/>
              <w:rPr>
                <w:sz w:val="20"/>
                <w:szCs w:val="20"/>
                <w:color w:val="auto"/>
              </w:rPr>
            </w:pPr>
            <w:r>
              <w:rPr>
                <w:rFonts w:ascii="Arial" w:cs="Arial" w:eastAsia="Arial" w:hAnsi="Arial"/>
                <w:sz w:val="19"/>
                <w:szCs w:val="19"/>
                <w:b w:val="1"/>
                <w:bCs w:val="1"/>
                <w:color w:val="auto"/>
                <w:w w:val="92"/>
              </w:rPr>
              <w:t>(801) 264-1060</w:t>
            </w:r>
          </w:p>
        </w:tc>
      </w:tr>
      <w:tr>
        <w:trPr>
          <w:trHeight w:val="20"/>
        </w:trPr>
        <w:tc>
          <w:tcPr>
            <w:tcW w:w="108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1200" w:type="dxa"/>
            <w:vAlign w:val="bottom"/>
            <w:gridSpan w:val="5"/>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20"/>
        </w:trPr>
        <w:tc>
          <w:tcPr>
            <w:tcW w:w="1080" w:type="dxa"/>
            <w:vAlign w:val="bottom"/>
          </w:tcPr>
          <w:p>
            <w:pPr>
              <w:spacing w:after="0"/>
              <w:rPr>
                <w:sz w:val="24"/>
                <w:szCs w:val="24"/>
                <w:color w:val="auto"/>
              </w:rPr>
            </w:pPr>
          </w:p>
        </w:tc>
        <w:tc>
          <w:tcPr>
            <w:tcW w:w="7040" w:type="dxa"/>
            <w:vAlign w:val="bottom"/>
            <w:gridSpan w:val="11"/>
          </w:tcPr>
          <w:p>
            <w:pPr>
              <w:ind w:left="580"/>
              <w:spacing w:after="0"/>
              <w:rPr>
                <w:sz w:val="20"/>
                <w:szCs w:val="20"/>
                <w:color w:val="auto"/>
              </w:rPr>
            </w:pPr>
            <w:r>
              <w:rPr>
                <w:rFonts w:ascii="Arial" w:cs="Arial" w:eastAsia="Arial" w:hAnsi="Arial"/>
                <w:sz w:val="19"/>
                <w:szCs w:val="19"/>
                <w:b w:val="1"/>
                <w:bCs w:val="1"/>
                <w:color w:val="auto"/>
              </w:rPr>
              <w:t>Securities registered pursuant to Section 12(b) of the Act:</w:t>
            </w:r>
          </w:p>
        </w:tc>
      </w:tr>
      <w:tr>
        <w:trPr>
          <w:trHeight w:val="475"/>
        </w:trPr>
        <w:tc>
          <w:tcPr>
            <w:tcW w:w="2360" w:type="dxa"/>
            <w:vAlign w:val="bottom"/>
            <w:gridSpan w:val="2"/>
          </w:tcPr>
          <w:p>
            <w:pPr>
              <w:jc w:val="center"/>
              <w:ind w:right="403"/>
              <w:spacing w:after="0"/>
              <w:rPr>
                <w:sz w:val="20"/>
                <w:szCs w:val="20"/>
                <w:color w:val="auto"/>
              </w:rPr>
            </w:pPr>
            <w:r>
              <w:rPr>
                <w:rFonts w:ascii="Arial" w:cs="Arial" w:eastAsia="Arial" w:hAnsi="Arial"/>
                <w:sz w:val="19"/>
                <w:szCs w:val="19"/>
                <w:b w:val="1"/>
                <w:bCs w:val="1"/>
                <w:color w:val="auto"/>
                <w:w w:val="89"/>
              </w:rPr>
              <w:t>Title of each class</w:t>
            </w:r>
          </w:p>
        </w:tc>
        <w:tc>
          <w:tcPr>
            <w:tcW w:w="540" w:type="dxa"/>
            <w:vAlign w:val="bottom"/>
          </w:tcPr>
          <w:p>
            <w:pPr>
              <w:spacing w:after="0"/>
              <w:rPr>
                <w:sz w:val="24"/>
                <w:szCs w:val="24"/>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9"/>
                <w:szCs w:val="19"/>
                <w:b w:val="1"/>
                <w:bCs w:val="1"/>
                <w:color w:val="auto"/>
                <w:w w:val="91"/>
              </w:rPr>
              <w:t>Trading symbol</w:t>
            </w:r>
          </w:p>
        </w:tc>
        <w:tc>
          <w:tcPr>
            <w:tcW w:w="3320" w:type="dxa"/>
            <w:vAlign w:val="bottom"/>
            <w:gridSpan w:val="7"/>
          </w:tcPr>
          <w:p>
            <w:pPr>
              <w:jc w:val="center"/>
              <w:ind w:left="63"/>
              <w:spacing w:after="0"/>
              <w:rPr>
                <w:sz w:val="20"/>
                <w:szCs w:val="20"/>
                <w:color w:val="auto"/>
              </w:rPr>
            </w:pPr>
            <w:r>
              <w:rPr>
                <w:rFonts w:ascii="Arial" w:cs="Arial" w:eastAsia="Arial" w:hAnsi="Arial"/>
                <w:sz w:val="19"/>
                <w:szCs w:val="19"/>
                <w:b w:val="1"/>
                <w:bCs w:val="1"/>
                <w:color w:val="auto"/>
                <w:w w:val="89"/>
              </w:rPr>
              <w:t>Name of exchange on which registered</w:t>
            </w:r>
          </w:p>
        </w:tc>
      </w:tr>
      <w:tr>
        <w:trPr>
          <w:trHeight w:val="277"/>
        </w:trPr>
        <w:tc>
          <w:tcPr>
            <w:tcW w:w="2360" w:type="dxa"/>
            <w:vAlign w:val="bottom"/>
            <w:gridSpan w:val="2"/>
          </w:tcPr>
          <w:p>
            <w:pPr>
              <w:jc w:val="center"/>
              <w:ind w:right="403"/>
              <w:spacing w:after="0"/>
              <w:rPr>
                <w:sz w:val="20"/>
                <w:szCs w:val="20"/>
                <w:color w:val="auto"/>
              </w:rPr>
            </w:pPr>
            <w:r>
              <w:rPr>
                <w:rFonts w:ascii="Arial" w:cs="Arial" w:eastAsia="Arial" w:hAnsi="Arial"/>
                <w:sz w:val="19"/>
                <w:szCs w:val="19"/>
                <w:color w:val="auto"/>
                <w:w w:val="92"/>
              </w:rPr>
              <w:t>Class A Common Stock</w:t>
            </w:r>
          </w:p>
        </w:tc>
        <w:tc>
          <w:tcPr>
            <w:tcW w:w="540" w:type="dxa"/>
            <w:vAlign w:val="bottom"/>
          </w:tcPr>
          <w:p>
            <w:pPr>
              <w:spacing w:after="0"/>
              <w:rPr>
                <w:sz w:val="24"/>
                <w:szCs w:val="24"/>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9"/>
                <w:szCs w:val="19"/>
                <w:color w:val="auto"/>
                <w:w w:val="96"/>
              </w:rPr>
              <w:t>SNFCA</w:t>
            </w:r>
          </w:p>
        </w:tc>
        <w:tc>
          <w:tcPr>
            <w:tcW w:w="3320" w:type="dxa"/>
            <w:vAlign w:val="bottom"/>
            <w:gridSpan w:val="7"/>
          </w:tcPr>
          <w:p>
            <w:pPr>
              <w:jc w:val="center"/>
              <w:ind w:left="63"/>
              <w:spacing w:after="0"/>
              <w:rPr>
                <w:sz w:val="20"/>
                <w:szCs w:val="20"/>
                <w:color w:val="auto"/>
              </w:rPr>
            </w:pPr>
            <w:r>
              <w:rPr>
                <w:rFonts w:ascii="Arial" w:cs="Arial" w:eastAsia="Arial" w:hAnsi="Arial"/>
                <w:sz w:val="19"/>
                <w:szCs w:val="19"/>
                <w:color w:val="auto"/>
                <w:w w:val="92"/>
              </w:rPr>
              <w:t>The Nasdaq Global Select Market</w:t>
            </w:r>
          </w:p>
        </w:tc>
      </w:tr>
    </w:tbl>
    <w:p>
      <w:pPr>
        <w:spacing w:after="0" w:line="130" w:lineRule="exact"/>
        <w:rPr>
          <w:sz w:val="24"/>
          <w:szCs w:val="24"/>
          <w:color w:val="auto"/>
        </w:rPr>
      </w:pPr>
    </w:p>
    <w:p>
      <w:pPr>
        <w:ind w:left="1700"/>
        <w:spacing w:after="0"/>
        <w:rPr>
          <w:sz w:val="20"/>
          <w:szCs w:val="20"/>
          <w:color w:val="auto"/>
        </w:rPr>
      </w:pPr>
      <w:r>
        <w:rPr>
          <w:rFonts w:ascii="Arial" w:cs="Arial" w:eastAsia="Arial" w:hAnsi="Arial"/>
          <w:sz w:val="19"/>
          <w:szCs w:val="19"/>
          <w:b w:val="1"/>
          <w:bCs w:val="1"/>
          <w:color w:val="auto"/>
        </w:rPr>
        <w:t>Securities registered pursuant to Section 12(g) of the Act: None</w:t>
      </w:r>
    </w:p>
    <w:p>
      <w:pPr>
        <w:spacing w:after="0" w:line="249" w:lineRule="exact"/>
        <w:rPr>
          <w:sz w:val="24"/>
          <w:szCs w:val="24"/>
          <w:color w:val="auto"/>
        </w:rPr>
      </w:pPr>
    </w:p>
    <w:p>
      <w:pPr>
        <w:jc w:val="both"/>
        <w:ind w:right="419" w:firstLine="317"/>
        <w:spacing w:after="0" w:line="255" w:lineRule="auto"/>
        <w:rPr>
          <w:sz w:val="20"/>
          <w:szCs w:val="20"/>
          <w:color w:val="auto"/>
        </w:rPr>
      </w:pPr>
      <w:r>
        <w:rPr>
          <w:rFonts w:ascii="Arial" w:cs="Arial" w:eastAsia="Arial" w:hAnsi="Arial"/>
          <w:sz w:val="19"/>
          <w:szCs w:val="19"/>
          <w:color w:val="auto"/>
        </w:rPr>
        <w:t>Indicate by check mark if the registrant is a well-known seasoned issuer, as defined in Rule 405 of the Securities Act of 1933, as amended (“Securities Act”).</w:t>
      </w:r>
    </w:p>
    <w:p>
      <w:pPr>
        <w:ind w:left="7460"/>
        <w:spacing w:after="0"/>
        <w:rPr>
          <w:sz w:val="20"/>
          <w:szCs w:val="20"/>
          <w:color w:val="auto"/>
        </w:rPr>
      </w:pPr>
      <w:r>
        <w:rPr>
          <w:rFonts w:ascii="Arial" w:cs="Arial" w:eastAsia="Arial" w:hAnsi="Arial"/>
          <w:sz w:val="19"/>
          <w:szCs w:val="19"/>
          <w:color w:val="auto"/>
        </w:rPr>
        <w:t>[ ] Yes [X] No</w:t>
      </w:r>
    </w:p>
    <w:p>
      <w:pPr>
        <w:spacing w:after="0" w:line="108" w:lineRule="exact"/>
        <w:rPr>
          <w:sz w:val="24"/>
          <w:szCs w:val="24"/>
          <w:color w:val="auto"/>
        </w:rPr>
      </w:pPr>
    </w:p>
    <w:p>
      <w:pPr>
        <w:jc w:val="both"/>
        <w:ind w:right="399" w:firstLine="317"/>
        <w:spacing w:after="0" w:line="255" w:lineRule="auto"/>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Securities Act.</w:t>
      </w:r>
    </w:p>
    <w:p>
      <w:pPr>
        <w:ind w:left="7460"/>
        <w:spacing w:after="0"/>
        <w:rPr>
          <w:sz w:val="20"/>
          <w:szCs w:val="20"/>
          <w:color w:val="auto"/>
        </w:rPr>
      </w:pPr>
      <w:r>
        <w:rPr>
          <w:rFonts w:ascii="Arial" w:cs="Arial" w:eastAsia="Arial" w:hAnsi="Arial"/>
          <w:sz w:val="19"/>
          <w:szCs w:val="19"/>
          <w:color w:val="auto"/>
        </w:rPr>
        <w:t>[ ] Yes [X] No</w:t>
      </w:r>
    </w:p>
    <w:p>
      <w:pPr>
        <w:spacing w:after="0" w:line="108" w:lineRule="exact"/>
        <w:rPr>
          <w:sz w:val="24"/>
          <w:szCs w:val="24"/>
          <w:color w:val="auto"/>
        </w:rPr>
      </w:pPr>
    </w:p>
    <w:p>
      <w:pPr>
        <w:jc w:val="both"/>
        <w:ind w:right="399" w:firstLine="317"/>
        <w:spacing w:after="0" w:line="250"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right"/>
        <w:ind w:right="399"/>
        <w:spacing w:after="0"/>
        <w:rPr>
          <w:sz w:val="20"/>
          <w:szCs w:val="20"/>
          <w:color w:val="auto"/>
        </w:rPr>
      </w:pPr>
      <w:r>
        <w:rPr>
          <w:rFonts w:ascii="Arial" w:cs="Arial" w:eastAsia="Arial" w:hAnsi="Arial"/>
          <w:sz w:val="19"/>
          <w:szCs w:val="19"/>
          <w:color w:val="auto"/>
        </w:rPr>
        <w:t>[X] Yes [ ]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wp:posOffset>
            </wp:positionH>
            <wp:positionV relativeFrom="paragraph">
              <wp:posOffset>247015</wp:posOffset>
            </wp:positionV>
            <wp:extent cx="522605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6050" cy="3365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1" w:name="page2"/>
    <w:bookmarkEnd w:id="1"/>
    <w:p>
      <w:pPr>
        <w:jc w:val="both"/>
        <w:ind w:right="399" w:firstLine="317"/>
        <w:spacing w:after="0" w:line="282"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9"/>
          <w:szCs w:val="19"/>
          <w:color w:val="auto"/>
        </w:rPr>
        <w:t>[X] Yes [ ] No</w:t>
      </w:r>
    </w:p>
    <w:p>
      <w:pPr>
        <w:spacing w:after="0" w:line="108" w:lineRule="exact"/>
        <w:rPr>
          <w:sz w:val="20"/>
          <w:szCs w:val="20"/>
          <w:color w:val="auto"/>
        </w:rPr>
      </w:pPr>
    </w:p>
    <w:p>
      <w:pPr>
        <w:jc w:val="both"/>
        <w:ind w:right="399" w:firstLine="317"/>
        <w:spacing w:after="0" w:line="256" w:lineRule="auto"/>
        <w:rPr>
          <w:sz w:val="20"/>
          <w:szCs w:val="20"/>
          <w:color w:val="auto"/>
        </w:rPr>
      </w:pPr>
      <w:r>
        <w:rPr>
          <w:rFonts w:ascii="Arial" w:cs="Arial" w:eastAsia="Arial" w:hAnsi="Arial"/>
          <w:sz w:val="19"/>
          <w:szCs w:val="19"/>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 ]</w:t>
      </w:r>
    </w:p>
    <w:p>
      <w:pPr>
        <w:spacing w:after="0" w:line="189" w:lineRule="exact"/>
        <w:rPr>
          <w:sz w:val="20"/>
          <w:szCs w:val="20"/>
          <w:color w:val="auto"/>
        </w:rPr>
      </w:pPr>
    </w:p>
    <w:p>
      <w:pPr>
        <w:jc w:val="both"/>
        <w:ind w:right="399" w:firstLine="317"/>
        <w:spacing w:after="0" w:line="25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21" w:right="1440" w:bottom="1440" w:gutter="0" w:footer="0" w:header="0"/>
        </w:sectPr>
      </w:pP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Large accelerated filer [ ]</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Non-accelerated filer [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Accelerated filer [ ]</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company [X]</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00" w:lineRule="exact"/>
        <w:rPr>
          <w:sz w:val="20"/>
          <w:szCs w:val="20"/>
          <w:color w:val="auto"/>
        </w:rPr>
      </w:pPr>
    </w:p>
    <w:p>
      <w:pPr>
        <w:sectPr>
          <w:pgSz w:w="11900" w:h="16838" w:orient="portrait"/>
          <w:cols w:equalWidth="0" w:num="2">
            <w:col w:w="5120" w:space="720"/>
            <w:col w:w="3179"/>
          </w:cols>
          <w:pgMar w:left="1440" w:top="121" w:right="1440" w:bottom="1440" w:gutter="0" w:footer="0" w:header="0"/>
          <w:type w:val="continuous"/>
        </w:sectPr>
      </w:pPr>
    </w:p>
    <w:p>
      <w:pPr>
        <w:spacing w:after="0" w:line="25" w:lineRule="exact"/>
        <w:rPr>
          <w:sz w:val="20"/>
          <w:szCs w:val="20"/>
          <w:color w:val="auto"/>
        </w:rPr>
      </w:pPr>
    </w:p>
    <w:p>
      <w:pPr>
        <w:jc w:val="both"/>
        <w:ind w:right="419" w:firstLine="317"/>
        <w:spacing w:after="0" w:line="26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w:t>
      </w:r>
    </w:p>
    <w:p>
      <w:pPr>
        <w:spacing w:after="0"/>
        <w:tabs>
          <w:tab w:leader="none" w:pos="4080" w:val="left"/>
        </w:tabs>
        <w:rPr>
          <w:sz w:val="20"/>
          <w:szCs w:val="20"/>
          <w:color w:val="auto"/>
        </w:rPr>
      </w:pPr>
      <w:r>
        <w:rPr>
          <w:rFonts w:ascii="Arial" w:cs="Arial" w:eastAsia="Arial" w:hAnsi="Arial"/>
          <w:sz w:val="19"/>
          <w:szCs w:val="19"/>
          <w:color w:val="auto"/>
        </w:rPr>
        <w:t>pursuant to Section 13(a) of the Exchange Act.</w:t>
      </w:r>
      <w:r>
        <w:rPr>
          <w:sz w:val="20"/>
          <w:szCs w:val="20"/>
          <w:color w:val="auto"/>
        </w:rPr>
        <w:tab/>
      </w:r>
      <w:r>
        <w:rPr>
          <w:rFonts w:ascii="Arial" w:cs="Arial" w:eastAsia="Arial" w:hAnsi="Arial"/>
          <w:sz w:val="19"/>
          <w:szCs w:val="19"/>
          <w:color w:val="auto"/>
        </w:rPr>
        <w:t>[ ]</w:t>
      </w:r>
    </w:p>
    <w:p>
      <w:pPr>
        <w:spacing w:after="0" w:line="214" w:lineRule="exact"/>
        <w:rPr>
          <w:sz w:val="20"/>
          <w:szCs w:val="20"/>
          <w:color w:val="auto"/>
        </w:rPr>
      </w:pPr>
    </w:p>
    <w:p>
      <w:pPr>
        <w:jc w:val="both"/>
        <w:ind w:right="399" w:firstLine="317"/>
        <w:spacing w:after="0" w:line="255" w:lineRule="auto"/>
        <w:rPr>
          <w:sz w:val="20"/>
          <w:szCs w:val="20"/>
          <w:color w:val="auto"/>
        </w:rPr>
      </w:pPr>
      <w:r>
        <w:rPr>
          <w:rFonts w:ascii="Arial" w:cs="Arial" w:eastAsia="Arial" w:hAnsi="Arial"/>
          <w:sz w:val="19"/>
          <w:szCs w:val="19"/>
          <w:color w:val="auto"/>
        </w:rPr>
        <w:t>Indicate by check mark whether the registrant is a shell company (as defined in Rule 12b-2 of the Exchange Act).</w:t>
      </w:r>
    </w:p>
    <w:p>
      <w:pPr>
        <w:ind w:left="7460"/>
        <w:spacing w:after="0"/>
        <w:rPr>
          <w:sz w:val="20"/>
          <w:szCs w:val="20"/>
          <w:color w:val="auto"/>
        </w:rPr>
      </w:pPr>
      <w:r>
        <w:rPr>
          <w:rFonts w:ascii="Arial" w:cs="Arial" w:eastAsia="Arial" w:hAnsi="Arial"/>
          <w:sz w:val="19"/>
          <w:szCs w:val="19"/>
          <w:color w:val="auto"/>
        </w:rPr>
        <w:t>[ ] Yes [X] No</w:t>
      </w:r>
    </w:p>
    <w:p>
      <w:pPr>
        <w:spacing w:after="0" w:line="108" w:lineRule="exact"/>
        <w:rPr>
          <w:sz w:val="20"/>
          <w:szCs w:val="20"/>
          <w:color w:val="auto"/>
        </w:rPr>
      </w:pPr>
    </w:p>
    <w:p>
      <w:pPr>
        <w:jc w:val="both"/>
        <w:ind w:right="399" w:firstLine="317"/>
        <w:spacing w:after="0" w:line="261" w:lineRule="auto"/>
        <w:rPr>
          <w:sz w:val="20"/>
          <w:szCs w:val="20"/>
          <w:color w:val="auto"/>
        </w:rPr>
      </w:pPr>
      <w:r>
        <w:rPr>
          <w:rFonts w:ascii="Arial" w:cs="Arial" w:eastAsia="Arial" w:hAnsi="Arial"/>
          <w:sz w:val="19"/>
          <w:szCs w:val="19"/>
          <w:color w:val="auto"/>
        </w:rPr>
        <w:t>As of June 30, 2020, the aggregate market value of the registrant’s Class A common stock held by non-affiliates of the registrant was approximately $50,000,000 based on the $6.58 closing sale price of the Class A common stock as reported on The Nasdaq Global Select Market.</w:t>
      </w:r>
    </w:p>
    <w:p>
      <w:pPr>
        <w:spacing w:after="0" w:line="184" w:lineRule="exact"/>
        <w:rPr>
          <w:sz w:val="20"/>
          <w:szCs w:val="20"/>
          <w:color w:val="auto"/>
        </w:rPr>
      </w:pPr>
    </w:p>
    <w:p>
      <w:pPr>
        <w:jc w:val="both"/>
        <w:ind w:right="399" w:firstLine="317"/>
        <w:spacing w:after="0" w:line="276" w:lineRule="auto"/>
        <w:rPr>
          <w:sz w:val="20"/>
          <w:szCs w:val="20"/>
          <w:color w:val="auto"/>
        </w:rPr>
      </w:pPr>
      <w:r>
        <w:rPr>
          <w:rFonts w:ascii="Arial" w:cs="Arial" w:eastAsia="Arial" w:hAnsi="Arial"/>
          <w:sz w:val="19"/>
          <w:szCs w:val="19"/>
          <w:color w:val="auto"/>
        </w:rPr>
        <w:t>As of March 23, 2021, there were outstanding 16,621,147 shares of Class A common stock, $2.00 par value per share, and 2,679,603 shares of Class C common stock, $2.00 par value per share.</w:t>
      </w:r>
    </w:p>
    <w:p>
      <w:pPr>
        <w:spacing w:after="0" w:line="59" w:lineRule="exact"/>
        <w:rPr>
          <w:sz w:val="20"/>
          <w:szCs w:val="20"/>
          <w:color w:val="auto"/>
        </w:rPr>
      </w:pPr>
    </w:p>
    <w:p>
      <w:pPr>
        <w:jc w:val="center"/>
        <w:ind w:right="399"/>
        <w:spacing w:after="0"/>
        <w:rPr>
          <w:sz w:val="20"/>
          <w:szCs w:val="20"/>
          <w:color w:val="auto"/>
        </w:rPr>
      </w:pPr>
      <w:r>
        <w:rPr>
          <w:rFonts w:ascii="Arial" w:cs="Arial" w:eastAsia="Arial" w:hAnsi="Arial"/>
          <w:sz w:val="19"/>
          <w:szCs w:val="19"/>
          <w:b w:val="1"/>
          <w:bCs w:val="1"/>
          <w:color w:val="auto"/>
        </w:rPr>
        <w:t>Documents Incorporated by Reference</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257175</wp:posOffset>
            </wp:positionV>
            <wp:extent cx="522605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6050" cy="336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 w:name="page3"/>
    <w:bookmarkEnd w:id="2"/>
    <w:p>
      <w:pPr>
        <w:jc w:val="center"/>
        <w:ind w:right="399"/>
        <w:spacing w:after="0"/>
        <w:rPr>
          <w:sz w:val="20"/>
          <w:szCs w:val="20"/>
          <w:color w:val="auto"/>
        </w:rPr>
      </w:pPr>
      <w:r>
        <w:rPr>
          <w:rFonts w:ascii="Arial" w:cs="Arial" w:eastAsia="Arial" w:hAnsi="Arial"/>
          <w:sz w:val="21"/>
          <w:szCs w:val="21"/>
          <w:b w:val="1"/>
          <w:bCs w:val="1"/>
          <w:color w:val="auto"/>
        </w:rPr>
        <w:t>Security National Financial Corporation</w:t>
      </w:r>
    </w:p>
    <w:p>
      <w:pPr>
        <w:spacing w:after="0" w:line="16"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auto"/>
        </w:rPr>
        <w:t>Form 10-K</w:t>
      </w:r>
    </w:p>
    <w:p>
      <w:pPr>
        <w:jc w:val="center"/>
        <w:ind w:right="479"/>
        <w:spacing w:after="0"/>
        <w:rPr>
          <w:sz w:val="20"/>
          <w:szCs w:val="20"/>
          <w:color w:val="auto"/>
        </w:rPr>
      </w:pPr>
      <w:r>
        <w:rPr>
          <w:rFonts w:ascii="Arial" w:cs="Arial" w:eastAsia="Arial" w:hAnsi="Arial"/>
          <w:sz w:val="21"/>
          <w:szCs w:val="21"/>
          <w:b w:val="1"/>
          <w:bCs w:val="1"/>
          <w:color w:val="auto"/>
        </w:rPr>
        <w:t>For the Fiscal Year Ended December 31, 2020</w:t>
      </w:r>
    </w:p>
    <w:p>
      <w:pPr>
        <w:spacing w:after="0" w:line="209"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TABLE OF CONTENTS</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68"/>
        </w:trPr>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gridSpan w:val="12"/>
            <w:vMerge w:val="restart"/>
          </w:tcPr>
          <w:p>
            <w:pPr>
              <w:jc w:val="center"/>
              <w:ind w:right="2440"/>
              <w:spacing w:after="0"/>
              <w:rPr>
                <w:sz w:val="20"/>
                <w:szCs w:val="20"/>
                <w:color w:val="auto"/>
              </w:rPr>
            </w:pPr>
            <w:r>
              <w:rPr>
                <w:rFonts w:ascii="Arial" w:cs="Arial" w:eastAsia="Arial" w:hAnsi="Arial"/>
                <w:sz w:val="21"/>
                <w:szCs w:val="21"/>
                <w:color w:val="auto"/>
                <w:w w:val="91"/>
              </w:rPr>
              <w:t>Part I</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Page</w:t>
            </w: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40" w:type="dxa"/>
            <w:vAlign w:val="bottom"/>
            <w:gridSpan w:val="12"/>
            <w:vMerge w:val="continue"/>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Item 1.</w:t>
            </w:r>
          </w:p>
        </w:tc>
        <w:tc>
          <w:tcPr>
            <w:tcW w:w="760" w:type="dxa"/>
            <w:vAlign w:val="bottom"/>
            <w:tcBorders>
              <w:bottom w:val="single" w:sz="8" w:color="0000FF"/>
            </w:tcBorders>
            <w:shd w:val="clear" w:color="auto" w:fill="CCEEFF"/>
          </w:tcPr>
          <w:p>
            <w:pPr>
              <w:spacing w:after="0" w:line="237" w:lineRule="exact"/>
              <w:rPr>
                <w:rFonts w:ascii="Arial" w:cs="Arial" w:eastAsia="Arial" w:hAnsi="Arial"/>
                <w:sz w:val="21"/>
                <w:szCs w:val="21"/>
                <w:color w:val="0000EE"/>
                <w:w w:val="86"/>
              </w:rPr>
            </w:pPr>
            <w:hyperlink w:anchor="page4">
              <w:r>
                <w:rPr>
                  <w:rFonts w:ascii="Arial" w:cs="Arial" w:eastAsia="Arial" w:hAnsi="Arial"/>
                  <w:sz w:val="21"/>
                  <w:szCs w:val="21"/>
                  <w:color w:val="0000EE"/>
                  <w:w w:val="86"/>
                </w:rPr>
                <w:t>Business</w:t>
              </w:r>
            </w:hyperlink>
          </w:p>
        </w:tc>
        <w:tc>
          <w:tcPr>
            <w:tcW w:w="5800" w:type="dxa"/>
            <w:vAlign w:val="bottom"/>
            <w:tcBorders>
              <w:bottom w:val="single" w:sz="8" w:color="CCEEFF"/>
            </w:tcBorders>
            <w:gridSpan w:val="20"/>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37"/>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2.</w:t>
            </w:r>
          </w:p>
        </w:tc>
        <w:tc>
          <w:tcPr>
            <w:tcW w:w="6560" w:type="dxa"/>
            <w:vAlign w:val="bottom"/>
            <w:gridSpan w:val="21"/>
          </w:tcPr>
          <w:p>
            <w:pPr>
              <w:spacing w:after="0" w:line="237" w:lineRule="exact"/>
              <w:rPr>
                <w:rFonts w:ascii="Arial" w:cs="Arial" w:eastAsia="Arial" w:hAnsi="Arial"/>
                <w:sz w:val="21"/>
                <w:szCs w:val="21"/>
                <w:color w:val="0000EE"/>
              </w:rPr>
            </w:pPr>
            <w:hyperlink w:anchor="page12">
              <w:r>
                <w:rPr>
                  <w:rFonts w:ascii="Arial" w:cs="Arial" w:eastAsia="Arial" w:hAnsi="Arial"/>
                  <w:sz w:val="21"/>
                  <w:szCs w:val="21"/>
                  <w:color w:val="0000EE"/>
                </w:rPr>
                <w:t>Properties</w:t>
              </w:r>
            </w:hyperlink>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12</w:t>
            </w: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04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Item 3.</w:t>
            </w:r>
          </w:p>
        </w:tc>
        <w:tc>
          <w:tcPr>
            <w:tcW w:w="1580" w:type="dxa"/>
            <w:vAlign w:val="bottom"/>
            <w:tcBorders>
              <w:bottom w:val="single" w:sz="8" w:color="0000FF"/>
            </w:tcBorders>
            <w:gridSpan w:val="5"/>
            <w:shd w:val="clear" w:color="auto" w:fill="CCEEFF"/>
          </w:tcPr>
          <w:p>
            <w:pPr>
              <w:spacing w:after="0" w:line="237" w:lineRule="exact"/>
              <w:rPr>
                <w:rFonts w:ascii="Arial" w:cs="Arial" w:eastAsia="Arial" w:hAnsi="Arial"/>
                <w:sz w:val="21"/>
                <w:szCs w:val="21"/>
                <w:color w:val="0000EE"/>
                <w:w w:val="89"/>
              </w:rPr>
            </w:pPr>
            <w:hyperlink w:anchor="page15">
              <w:r>
                <w:rPr>
                  <w:rFonts w:ascii="Arial" w:cs="Arial" w:eastAsia="Arial" w:hAnsi="Arial"/>
                  <w:sz w:val="21"/>
                  <w:szCs w:val="21"/>
                  <w:color w:val="0000EE"/>
                  <w:w w:val="89"/>
                </w:rPr>
                <w:t>Legal Proceedings</w:t>
              </w:r>
            </w:hyperlink>
          </w:p>
        </w:tc>
        <w:tc>
          <w:tcPr>
            <w:tcW w:w="4980" w:type="dxa"/>
            <w:vAlign w:val="bottom"/>
            <w:tcBorders>
              <w:bottom w:val="single" w:sz="8" w:color="CCEEFF"/>
            </w:tcBorders>
            <w:gridSpan w:val="16"/>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15</w:t>
            </w:r>
          </w:p>
        </w:tc>
        <w:tc>
          <w:tcPr>
            <w:tcW w:w="0" w:type="dxa"/>
            <w:vAlign w:val="bottom"/>
          </w:tcPr>
          <w:p>
            <w:pPr>
              <w:spacing w:after="0"/>
              <w:rPr>
                <w:sz w:val="1"/>
                <w:szCs w:val="1"/>
                <w:color w:val="auto"/>
              </w:rPr>
            </w:pPr>
          </w:p>
        </w:tc>
      </w:tr>
      <w:tr>
        <w:trPr>
          <w:trHeight w:val="244"/>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4.</w:t>
            </w:r>
          </w:p>
        </w:tc>
        <w:tc>
          <w:tcPr>
            <w:tcW w:w="6560" w:type="dxa"/>
            <w:vAlign w:val="bottom"/>
            <w:gridSpan w:val="21"/>
          </w:tcPr>
          <w:p>
            <w:pPr>
              <w:spacing w:after="0" w:line="237" w:lineRule="exact"/>
              <w:rPr>
                <w:rFonts w:ascii="Arial" w:cs="Arial" w:eastAsia="Arial" w:hAnsi="Arial"/>
                <w:sz w:val="21"/>
                <w:szCs w:val="21"/>
                <w:color w:val="0000EE"/>
              </w:rPr>
            </w:pPr>
            <w:hyperlink w:anchor="page16">
              <w:r>
                <w:rPr>
                  <w:rFonts w:ascii="Arial" w:cs="Arial" w:eastAsia="Arial" w:hAnsi="Arial"/>
                  <w:sz w:val="21"/>
                  <w:szCs w:val="21"/>
                  <w:color w:val="0000EE"/>
                </w:rPr>
                <w:t>Mine Safety Disclosures</w:t>
              </w:r>
            </w:hyperlink>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16</w:t>
            </w:r>
          </w:p>
        </w:tc>
        <w:tc>
          <w:tcPr>
            <w:tcW w:w="0" w:type="dxa"/>
            <w:vAlign w:val="bottom"/>
          </w:tcPr>
          <w:p>
            <w:pPr>
              <w:spacing w:after="0"/>
              <w:rPr>
                <w:sz w:val="1"/>
                <w:szCs w:val="1"/>
                <w:color w:val="auto"/>
              </w:rPr>
            </w:pPr>
          </w:p>
        </w:tc>
      </w:tr>
      <w:tr>
        <w:trPr>
          <w:trHeight w:val="264"/>
        </w:trPr>
        <w:tc>
          <w:tcPr>
            <w:tcW w:w="1040" w:type="dxa"/>
            <w:vAlign w:val="bottom"/>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30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60" w:type="dxa"/>
            <w:vAlign w:val="bottom"/>
            <w:tcBorders>
              <w:top w:val="single" w:sz="8" w:color="0000FF"/>
            </w:tcBorders>
            <w:shd w:val="clear" w:color="auto" w:fill="CCEEFF"/>
          </w:tcPr>
          <w:p>
            <w:pPr>
              <w:spacing w:after="0"/>
              <w:rPr>
                <w:sz w:val="22"/>
                <w:szCs w:val="22"/>
                <w:color w:val="auto"/>
              </w:rPr>
            </w:pPr>
          </w:p>
        </w:tc>
        <w:tc>
          <w:tcPr>
            <w:tcW w:w="28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140" w:type="dxa"/>
            <w:vAlign w:val="bottom"/>
            <w:gridSpan w:val="12"/>
          </w:tcPr>
          <w:p>
            <w:pPr>
              <w:jc w:val="center"/>
              <w:ind w:right="2420"/>
              <w:spacing w:after="0"/>
              <w:rPr>
                <w:sz w:val="20"/>
                <w:szCs w:val="20"/>
                <w:color w:val="auto"/>
              </w:rPr>
            </w:pPr>
            <w:r>
              <w:rPr>
                <w:rFonts w:ascii="Arial" w:cs="Arial" w:eastAsia="Arial" w:hAnsi="Arial"/>
                <w:sz w:val="21"/>
                <w:szCs w:val="21"/>
                <w:color w:val="auto"/>
                <w:w w:val="92"/>
              </w:rPr>
              <w:t>Part II</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5.</w:t>
            </w:r>
          </w:p>
        </w:tc>
        <w:tc>
          <w:tcPr>
            <w:tcW w:w="6560" w:type="dxa"/>
            <w:vAlign w:val="bottom"/>
            <w:gridSpan w:val="21"/>
          </w:tcPr>
          <w:p>
            <w:pPr>
              <w:spacing w:after="0" w:line="237" w:lineRule="exact"/>
              <w:rPr>
                <w:rFonts w:ascii="Arial" w:cs="Arial" w:eastAsia="Arial" w:hAnsi="Arial"/>
                <w:sz w:val="21"/>
                <w:szCs w:val="21"/>
                <w:color w:val="0000EE"/>
                <w:w w:val="95"/>
              </w:rPr>
            </w:pPr>
            <w:hyperlink w:anchor="page17">
              <w:r>
                <w:rPr>
                  <w:rFonts w:ascii="Arial" w:cs="Arial" w:eastAsia="Arial" w:hAnsi="Arial"/>
                  <w:sz w:val="21"/>
                  <w:szCs w:val="21"/>
                  <w:color w:val="0000EE"/>
                  <w:w w:val="95"/>
                </w:rPr>
                <w:t>Market for Registrant’s Common Equity, Related Stockholder Matters and</w:t>
              </w:r>
            </w:hyperlink>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3140" w:type="dxa"/>
            <w:vAlign w:val="bottom"/>
            <w:tcBorders>
              <w:top w:val="single" w:sz="8" w:color="0000FF"/>
              <w:bottom w:val="single" w:sz="8" w:color="0000FF"/>
            </w:tcBorders>
            <w:gridSpan w:val="10"/>
          </w:tcPr>
          <w:p>
            <w:pPr>
              <w:spacing w:after="0" w:line="218" w:lineRule="exact"/>
              <w:rPr>
                <w:rFonts w:ascii="Arial" w:cs="Arial" w:eastAsia="Arial" w:hAnsi="Arial"/>
                <w:sz w:val="21"/>
                <w:szCs w:val="21"/>
                <w:color w:val="0000EE"/>
                <w:w w:val="89"/>
              </w:rPr>
            </w:pPr>
            <w:hyperlink w:anchor="page17">
              <w:r>
                <w:rPr>
                  <w:rFonts w:ascii="Arial" w:cs="Arial" w:eastAsia="Arial" w:hAnsi="Arial"/>
                  <w:sz w:val="21"/>
                  <w:szCs w:val="21"/>
                  <w:color w:val="0000EE"/>
                  <w:w w:val="89"/>
                </w:rPr>
                <w:t>Issuer Purchases of Equity Securities</w:t>
              </w:r>
            </w:hyperlink>
          </w:p>
        </w:tc>
        <w:tc>
          <w:tcPr>
            <w:tcW w:w="3160" w:type="dxa"/>
            <w:vAlign w:val="bottom"/>
            <w:tcBorders>
              <w:top w:val="single" w:sz="8" w:color="0000FF"/>
            </w:tcBorders>
            <w:gridSpan w:val="8"/>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4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Item 6.</w:t>
            </w:r>
          </w:p>
        </w:tc>
        <w:tc>
          <w:tcPr>
            <w:tcW w:w="2020" w:type="dxa"/>
            <w:vAlign w:val="bottom"/>
            <w:tcBorders>
              <w:bottom w:val="single" w:sz="8" w:color="0000FF"/>
            </w:tcBorders>
            <w:gridSpan w:val="7"/>
            <w:shd w:val="clear" w:color="auto" w:fill="CCEEFF"/>
          </w:tcPr>
          <w:p>
            <w:pPr>
              <w:spacing w:after="0" w:line="237" w:lineRule="exact"/>
              <w:rPr>
                <w:rFonts w:ascii="Arial" w:cs="Arial" w:eastAsia="Arial" w:hAnsi="Arial"/>
                <w:sz w:val="21"/>
                <w:szCs w:val="21"/>
                <w:color w:val="0000EE"/>
                <w:w w:val="90"/>
              </w:rPr>
            </w:pPr>
            <w:hyperlink w:anchor="page19">
              <w:r>
                <w:rPr>
                  <w:rFonts w:ascii="Arial" w:cs="Arial" w:eastAsia="Arial" w:hAnsi="Arial"/>
                  <w:sz w:val="21"/>
                  <w:szCs w:val="21"/>
                  <w:color w:val="0000EE"/>
                  <w:w w:val="90"/>
                </w:rPr>
                <w:t>Selected Financial Data</w:t>
              </w:r>
            </w:hyperlink>
          </w:p>
        </w:tc>
        <w:tc>
          <w:tcPr>
            <w:tcW w:w="4540" w:type="dxa"/>
            <w:vAlign w:val="bottom"/>
            <w:tcBorders>
              <w:bottom w:val="single" w:sz="8" w:color="CCEEFF"/>
            </w:tcBorders>
            <w:gridSpan w:val="14"/>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37"/>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7.</w:t>
            </w:r>
          </w:p>
        </w:tc>
        <w:tc>
          <w:tcPr>
            <w:tcW w:w="6560" w:type="dxa"/>
            <w:vAlign w:val="bottom"/>
            <w:gridSpan w:val="21"/>
          </w:tcPr>
          <w:p>
            <w:pPr>
              <w:spacing w:after="0" w:line="237" w:lineRule="exact"/>
              <w:rPr>
                <w:rFonts w:ascii="Arial" w:cs="Arial" w:eastAsia="Arial" w:hAnsi="Arial"/>
                <w:sz w:val="21"/>
                <w:szCs w:val="21"/>
                <w:color w:val="0000EE"/>
                <w:w w:val="94"/>
              </w:rPr>
            </w:pPr>
            <w:hyperlink w:anchor="page19">
              <w:r>
                <w:rPr>
                  <w:rFonts w:ascii="Arial" w:cs="Arial" w:eastAsia="Arial" w:hAnsi="Arial"/>
                  <w:sz w:val="21"/>
                  <w:szCs w:val="21"/>
                  <w:color w:val="0000EE"/>
                  <w:w w:val="94"/>
                </w:rPr>
                <w:t>Management’s Discussion and Analysis of Financial Condition and Results</w:t>
              </w:r>
            </w:hyperlink>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19</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6380" w:type="dxa"/>
            <w:vAlign w:val="bottom"/>
            <w:tcBorders>
              <w:top w:val="single" w:sz="8" w:color="0000FF"/>
            </w:tcBorders>
            <w:gridSpan w:val="19"/>
          </w:tcPr>
          <w:p>
            <w:pPr>
              <w:spacing w:after="0" w:line="218" w:lineRule="exact"/>
              <w:rPr>
                <w:rFonts w:ascii="Arial" w:cs="Arial" w:eastAsia="Arial" w:hAnsi="Arial"/>
                <w:sz w:val="21"/>
                <w:szCs w:val="21"/>
                <w:color w:val="0000EE"/>
              </w:rPr>
            </w:pPr>
            <w:hyperlink w:anchor="page19">
              <w:r>
                <w:rPr>
                  <w:rFonts w:ascii="Arial" w:cs="Arial" w:eastAsia="Arial" w:hAnsi="Arial"/>
                  <w:sz w:val="21"/>
                  <w:szCs w:val="21"/>
                  <w:color w:val="0000EE"/>
                </w:rPr>
                <w:t>of Operations</w:t>
              </w:r>
            </w:hyperlink>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04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Item 7A.</w:t>
            </w:r>
          </w:p>
        </w:tc>
        <w:tc>
          <w:tcPr>
            <w:tcW w:w="5120" w:type="dxa"/>
            <w:vAlign w:val="bottom"/>
            <w:tcBorders>
              <w:bottom w:val="single" w:sz="8" w:color="0000FF"/>
            </w:tcBorders>
            <w:gridSpan w:val="15"/>
            <w:shd w:val="clear" w:color="auto" w:fill="CCEEFF"/>
          </w:tcPr>
          <w:p>
            <w:pPr>
              <w:spacing w:after="0" w:line="237" w:lineRule="exact"/>
              <w:rPr>
                <w:rFonts w:ascii="Arial" w:cs="Arial" w:eastAsia="Arial" w:hAnsi="Arial"/>
                <w:sz w:val="21"/>
                <w:szCs w:val="21"/>
                <w:color w:val="0000EE"/>
                <w:w w:val="92"/>
              </w:rPr>
            </w:pPr>
            <w:hyperlink w:anchor="page32">
              <w:r>
                <w:rPr>
                  <w:rFonts w:ascii="Arial" w:cs="Arial" w:eastAsia="Arial" w:hAnsi="Arial"/>
                  <w:sz w:val="21"/>
                  <w:szCs w:val="21"/>
                  <w:color w:val="0000EE"/>
                  <w:w w:val="92"/>
                </w:rPr>
                <w:t>Quantitative and Qualitative Disclosures About Market Risk</w:t>
              </w:r>
            </w:hyperlink>
          </w:p>
        </w:tc>
        <w:tc>
          <w:tcPr>
            <w:tcW w:w="1440" w:type="dxa"/>
            <w:vAlign w:val="bottom"/>
            <w:tcBorders>
              <w:bottom w:val="single" w:sz="8" w:color="CCEEFF"/>
            </w:tcBorders>
            <w:gridSpan w:val="6"/>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32</w:t>
            </w:r>
          </w:p>
        </w:tc>
        <w:tc>
          <w:tcPr>
            <w:tcW w:w="0" w:type="dxa"/>
            <w:vAlign w:val="bottom"/>
          </w:tcPr>
          <w:p>
            <w:pPr>
              <w:spacing w:after="0"/>
              <w:rPr>
                <w:sz w:val="1"/>
                <w:szCs w:val="1"/>
                <w:color w:val="auto"/>
              </w:rPr>
            </w:pPr>
          </w:p>
        </w:tc>
      </w:tr>
      <w:tr>
        <w:trPr>
          <w:trHeight w:val="244"/>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8.</w:t>
            </w:r>
          </w:p>
        </w:tc>
        <w:tc>
          <w:tcPr>
            <w:tcW w:w="3920" w:type="dxa"/>
            <w:vAlign w:val="bottom"/>
            <w:tcBorders>
              <w:bottom w:val="single" w:sz="8" w:color="0000FF"/>
            </w:tcBorders>
            <w:gridSpan w:val="13"/>
          </w:tcPr>
          <w:p>
            <w:pPr>
              <w:spacing w:after="0" w:line="237" w:lineRule="exact"/>
              <w:rPr>
                <w:rFonts w:ascii="Arial" w:cs="Arial" w:eastAsia="Arial" w:hAnsi="Arial"/>
                <w:sz w:val="21"/>
                <w:szCs w:val="21"/>
                <w:color w:val="0000EE"/>
                <w:w w:val="89"/>
              </w:rPr>
            </w:pPr>
            <w:hyperlink w:anchor="page32">
              <w:r>
                <w:rPr>
                  <w:rFonts w:ascii="Arial" w:cs="Arial" w:eastAsia="Arial" w:hAnsi="Arial"/>
                  <w:sz w:val="21"/>
                  <w:szCs w:val="21"/>
                  <w:color w:val="0000EE"/>
                  <w:w w:val="89"/>
                </w:rPr>
                <w:t>Financial Statements and Supplementary Data</w:t>
              </w:r>
            </w:hyperlink>
          </w:p>
        </w:tc>
        <w:tc>
          <w:tcPr>
            <w:tcW w:w="2640" w:type="dxa"/>
            <w:vAlign w:val="bottom"/>
            <w:gridSpan w:val="8"/>
          </w:tcPr>
          <w:p>
            <w:pPr>
              <w:spacing w:after="0"/>
              <w:rPr>
                <w:sz w:val="21"/>
                <w:szCs w:val="21"/>
                <w:color w:val="auto"/>
              </w:rPr>
            </w:pPr>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33</w:t>
            </w:r>
          </w:p>
        </w:tc>
        <w:tc>
          <w:tcPr>
            <w:tcW w:w="0" w:type="dxa"/>
            <w:vAlign w:val="bottom"/>
          </w:tcPr>
          <w:p>
            <w:pPr>
              <w:spacing w:after="0"/>
              <w:rPr>
                <w:sz w:val="1"/>
                <w:szCs w:val="1"/>
                <w:color w:val="auto"/>
              </w:rPr>
            </w:pPr>
          </w:p>
        </w:tc>
      </w:tr>
      <w:tr>
        <w:trPr>
          <w:trHeight w:val="237"/>
        </w:trPr>
        <w:tc>
          <w:tcPr>
            <w:tcW w:w="10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Item 9.</w:t>
            </w:r>
          </w:p>
        </w:tc>
        <w:tc>
          <w:tcPr>
            <w:tcW w:w="6560" w:type="dxa"/>
            <w:vAlign w:val="bottom"/>
            <w:gridSpan w:val="21"/>
            <w:shd w:val="clear" w:color="auto" w:fill="CCEEFF"/>
          </w:tcPr>
          <w:p>
            <w:pPr>
              <w:spacing w:after="0" w:line="237" w:lineRule="exact"/>
              <w:rPr>
                <w:rFonts w:ascii="Arial" w:cs="Arial" w:eastAsia="Arial" w:hAnsi="Arial"/>
                <w:sz w:val="21"/>
                <w:szCs w:val="21"/>
                <w:color w:val="0000EE"/>
              </w:rPr>
            </w:pPr>
            <w:hyperlink w:anchor="page114">
              <w:r>
                <w:rPr>
                  <w:rFonts w:ascii="Arial" w:cs="Arial" w:eastAsia="Arial" w:hAnsi="Arial"/>
                  <w:sz w:val="21"/>
                  <w:szCs w:val="21"/>
                  <w:color w:val="0000EE"/>
                </w:rPr>
                <w:t>Changes in and Disagreements with Accountants on Accounting and</w:t>
              </w:r>
            </w:hyperlink>
          </w:p>
        </w:tc>
        <w:tc>
          <w:tcPr>
            <w:tcW w:w="6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114</w:t>
            </w:r>
          </w:p>
        </w:tc>
        <w:tc>
          <w:tcPr>
            <w:tcW w:w="0" w:type="dxa"/>
            <w:vAlign w:val="bottom"/>
          </w:tcPr>
          <w:p>
            <w:pPr>
              <w:spacing w:after="0"/>
              <w:rPr>
                <w:sz w:val="1"/>
                <w:szCs w:val="1"/>
                <w:color w:val="auto"/>
              </w:rPr>
            </w:pPr>
          </w:p>
        </w:tc>
      </w:tr>
      <w:tr>
        <w:trPr>
          <w:trHeight w:val="217"/>
        </w:trPr>
        <w:tc>
          <w:tcPr>
            <w:tcW w:w="104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0000FF"/>
            </w:tcBorders>
            <w:gridSpan w:val="16"/>
            <w:shd w:val="clear" w:color="auto" w:fill="CCEEFF"/>
          </w:tcPr>
          <w:p>
            <w:pPr>
              <w:spacing w:after="0" w:line="218" w:lineRule="exact"/>
              <w:rPr>
                <w:rFonts w:ascii="Arial" w:cs="Arial" w:eastAsia="Arial" w:hAnsi="Arial"/>
                <w:sz w:val="21"/>
                <w:szCs w:val="21"/>
                <w:color w:val="0000EE"/>
              </w:rPr>
            </w:pPr>
            <w:hyperlink w:anchor="page114">
              <w:r>
                <w:rPr>
                  <w:rFonts w:ascii="Arial" w:cs="Arial" w:eastAsia="Arial" w:hAnsi="Arial"/>
                  <w:sz w:val="21"/>
                  <w:szCs w:val="21"/>
                  <w:color w:val="0000EE"/>
                </w:rPr>
                <w:t>Financial Disclosure</w:t>
              </w:r>
            </w:hyperlink>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040" w:type="dxa"/>
            <w:vAlign w:val="bottom"/>
            <w:shd w:val="clear" w:color="auto" w:fill="CCEE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9A.</w:t>
            </w:r>
          </w:p>
        </w:tc>
        <w:tc>
          <w:tcPr>
            <w:tcW w:w="6560" w:type="dxa"/>
            <w:vAlign w:val="bottom"/>
            <w:gridSpan w:val="21"/>
          </w:tcPr>
          <w:p>
            <w:pPr>
              <w:spacing w:after="0" w:line="237" w:lineRule="exact"/>
              <w:rPr>
                <w:rFonts w:ascii="Arial" w:cs="Arial" w:eastAsia="Arial" w:hAnsi="Arial"/>
                <w:sz w:val="21"/>
                <w:szCs w:val="21"/>
                <w:color w:val="0000EE"/>
              </w:rPr>
            </w:pPr>
            <w:hyperlink w:anchor="page114">
              <w:r>
                <w:rPr>
                  <w:rFonts w:ascii="Arial" w:cs="Arial" w:eastAsia="Arial" w:hAnsi="Arial"/>
                  <w:sz w:val="21"/>
                  <w:szCs w:val="21"/>
                  <w:color w:val="0000EE"/>
                </w:rPr>
                <w:t>Controls and Procedures</w:t>
              </w:r>
            </w:hyperlink>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114</w:t>
            </w: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Item 9B.</w:t>
            </w:r>
          </w:p>
        </w:tc>
        <w:tc>
          <w:tcPr>
            <w:tcW w:w="2120" w:type="dxa"/>
            <w:vAlign w:val="bottom"/>
            <w:tcBorders>
              <w:top w:val="single" w:sz="8" w:color="0000FF"/>
              <w:right w:val="single" w:sz="8" w:color="CCEEFF"/>
            </w:tcBorders>
            <w:gridSpan w:val="8"/>
            <w:shd w:val="clear" w:color="auto" w:fill="CCEEFF"/>
          </w:tcPr>
          <w:p>
            <w:pPr>
              <w:spacing w:after="0" w:line="237" w:lineRule="exact"/>
              <w:rPr>
                <w:rFonts w:ascii="Arial" w:cs="Arial" w:eastAsia="Arial" w:hAnsi="Arial"/>
                <w:sz w:val="21"/>
                <w:szCs w:val="21"/>
                <w:color w:val="0000EE"/>
              </w:rPr>
            </w:pPr>
            <w:hyperlink w:anchor="page115">
              <w:r>
                <w:rPr>
                  <w:rFonts w:ascii="Arial" w:cs="Arial" w:eastAsia="Arial" w:hAnsi="Arial"/>
                  <w:sz w:val="21"/>
                  <w:szCs w:val="21"/>
                  <w:color w:val="0000EE"/>
                </w:rPr>
                <w:t>Other Information</w:t>
              </w:r>
            </w:hyperlink>
          </w:p>
        </w:tc>
        <w:tc>
          <w:tcPr>
            <w:tcW w:w="4440" w:type="dxa"/>
            <w:vAlign w:val="bottom"/>
            <w:gridSpan w:val="13"/>
            <w:shd w:val="clear" w:color="auto" w:fill="CCEEFF"/>
          </w:tcPr>
          <w:p>
            <w:pPr>
              <w:spacing w:after="0"/>
              <w:rPr>
                <w:sz w:val="21"/>
                <w:szCs w:val="21"/>
                <w:color w:val="auto"/>
              </w:rPr>
            </w:pPr>
          </w:p>
        </w:tc>
        <w:tc>
          <w:tcPr>
            <w:tcW w:w="6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115</w:t>
            </w: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140" w:type="dxa"/>
            <w:vAlign w:val="bottom"/>
            <w:gridSpan w:val="12"/>
            <w:shd w:val="clear" w:color="auto" w:fill="CCEEFF"/>
          </w:tcPr>
          <w:p>
            <w:pPr>
              <w:jc w:val="center"/>
              <w:ind w:right="2420"/>
              <w:spacing w:after="0"/>
              <w:rPr>
                <w:sz w:val="20"/>
                <w:szCs w:val="20"/>
                <w:color w:val="auto"/>
              </w:rPr>
            </w:pPr>
            <w:r>
              <w:rPr>
                <w:rFonts w:ascii="Arial" w:cs="Arial" w:eastAsia="Arial" w:hAnsi="Arial"/>
                <w:sz w:val="21"/>
                <w:szCs w:val="21"/>
                <w:color w:val="auto"/>
                <w:w w:val="96"/>
              </w:rPr>
              <w:t>Part III</w:t>
            </w: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Item 10.</w:t>
            </w:r>
          </w:p>
        </w:tc>
        <w:tc>
          <w:tcPr>
            <w:tcW w:w="6560" w:type="dxa"/>
            <w:vAlign w:val="bottom"/>
            <w:gridSpan w:val="21"/>
            <w:shd w:val="clear" w:color="auto" w:fill="CCEEFF"/>
          </w:tcPr>
          <w:p>
            <w:pPr>
              <w:spacing w:after="0" w:line="237" w:lineRule="exact"/>
              <w:rPr>
                <w:rFonts w:ascii="Arial" w:cs="Arial" w:eastAsia="Arial" w:hAnsi="Arial"/>
                <w:sz w:val="21"/>
                <w:szCs w:val="21"/>
                <w:color w:val="0000EE"/>
              </w:rPr>
            </w:pPr>
            <w:hyperlink w:anchor="page116">
              <w:r>
                <w:rPr>
                  <w:rFonts w:ascii="Arial" w:cs="Arial" w:eastAsia="Arial" w:hAnsi="Arial"/>
                  <w:sz w:val="21"/>
                  <w:szCs w:val="21"/>
                  <w:color w:val="0000EE"/>
                </w:rPr>
                <w:t>Directors, Executive Officers and Corporate Governance</w:t>
              </w:r>
            </w:hyperlink>
          </w:p>
        </w:tc>
        <w:tc>
          <w:tcPr>
            <w:tcW w:w="6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116</w:t>
            </w:r>
          </w:p>
        </w:tc>
        <w:tc>
          <w:tcPr>
            <w:tcW w:w="0" w:type="dxa"/>
            <w:vAlign w:val="bottom"/>
          </w:tcPr>
          <w:p>
            <w:pPr>
              <w:spacing w:after="0"/>
              <w:rPr>
                <w:sz w:val="1"/>
                <w:szCs w:val="1"/>
                <w:color w:val="auto"/>
              </w:rPr>
            </w:pPr>
          </w:p>
        </w:tc>
      </w:tr>
      <w:tr>
        <w:trPr>
          <w:trHeight w:val="237"/>
        </w:trPr>
        <w:tc>
          <w:tcPr>
            <w:tcW w:w="1040" w:type="dxa"/>
            <w:vAlign w:val="bottom"/>
            <w:tcBorders>
              <w:top w:val="single" w:sz="8" w:color="CCEEFF"/>
            </w:tcBorders>
          </w:tcPr>
          <w:p>
            <w:pPr>
              <w:spacing w:after="0" w:line="237" w:lineRule="exact"/>
              <w:rPr>
                <w:sz w:val="20"/>
                <w:szCs w:val="20"/>
                <w:color w:val="auto"/>
              </w:rPr>
            </w:pPr>
            <w:r>
              <w:rPr>
                <w:rFonts w:ascii="Arial" w:cs="Arial" w:eastAsia="Arial" w:hAnsi="Arial"/>
                <w:sz w:val="21"/>
                <w:szCs w:val="21"/>
                <w:color w:val="auto"/>
              </w:rPr>
              <w:t>Item 11.</w:t>
            </w:r>
          </w:p>
        </w:tc>
        <w:tc>
          <w:tcPr>
            <w:tcW w:w="4800" w:type="dxa"/>
            <w:vAlign w:val="bottom"/>
            <w:tcBorders>
              <w:top w:val="single" w:sz="8" w:color="0000FF"/>
            </w:tcBorders>
            <w:gridSpan w:val="14"/>
          </w:tcPr>
          <w:p>
            <w:pPr>
              <w:spacing w:after="0" w:line="237" w:lineRule="exact"/>
              <w:rPr>
                <w:rFonts w:ascii="Arial" w:cs="Arial" w:eastAsia="Arial" w:hAnsi="Arial"/>
                <w:sz w:val="21"/>
                <w:szCs w:val="21"/>
                <w:color w:val="0000EE"/>
              </w:rPr>
            </w:pPr>
            <w:hyperlink w:anchor="page120">
              <w:r>
                <w:rPr>
                  <w:rFonts w:ascii="Arial" w:cs="Arial" w:eastAsia="Arial" w:hAnsi="Arial"/>
                  <w:sz w:val="21"/>
                  <w:szCs w:val="21"/>
                  <w:color w:val="0000EE"/>
                </w:rPr>
                <w:t>Executive Compensation</w:t>
              </w:r>
            </w:hyperlink>
          </w:p>
        </w:tc>
        <w:tc>
          <w:tcPr>
            <w:tcW w:w="1760" w:type="dxa"/>
            <w:vAlign w:val="bottom"/>
            <w:tcBorders>
              <w:top w:val="single" w:sz="8" w:color="CCEEFF"/>
            </w:tcBorders>
            <w:gridSpan w:val="7"/>
          </w:tcPr>
          <w:p>
            <w:pPr>
              <w:spacing w:after="0"/>
              <w:rPr>
                <w:sz w:val="20"/>
                <w:szCs w:val="20"/>
                <w:color w:val="auto"/>
              </w:rPr>
            </w:pPr>
          </w:p>
        </w:tc>
        <w:tc>
          <w:tcPr>
            <w:tcW w:w="620" w:type="dxa"/>
            <w:vAlign w:val="bottom"/>
            <w:tcBorders>
              <w:top w:val="single" w:sz="8" w:color="CCEEFF"/>
            </w:tcBorders>
          </w:tcPr>
          <w:p>
            <w:pPr>
              <w:jc w:val="right"/>
              <w:spacing w:after="0" w:line="237" w:lineRule="exact"/>
              <w:rPr>
                <w:sz w:val="20"/>
                <w:szCs w:val="20"/>
                <w:color w:val="auto"/>
              </w:rPr>
            </w:pPr>
            <w:r>
              <w:rPr>
                <w:rFonts w:ascii="Arial" w:cs="Arial" w:eastAsia="Arial" w:hAnsi="Arial"/>
                <w:sz w:val="21"/>
                <w:szCs w:val="21"/>
                <w:color w:val="auto"/>
              </w:rPr>
              <w:t>120</w:t>
            </w:r>
          </w:p>
        </w:tc>
        <w:tc>
          <w:tcPr>
            <w:tcW w:w="0" w:type="dxa"/>
            <w:vAlign w:val="bottom"/>
          </w:tcPr>
          <w:p>
            <w:pPr>
              <w:spacing w:after="0"/>
              <w:rPr>
                <w:sz w:val="1"/>
                <w:szCs w:val="1"/>
                <w:color w:val="auto"/>
              </w:rPr>
            </w:pPr>
          </w:p>
        </w:tc>
      </w:tr>
      <w:tr>
        <w:trPr>
          <w:trHeight w:val="26"/>
        </w:trPr>
        <w:tc>
          <w:tcPr>
            <w:tcW w:w="1040" w:type="dxa"/>
            <w:vAlign w:val="bottom"/>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Item 12.</w:t>
            </w:r>
          </w:p>
        </w:tc>
        <w:tc>
          <w:tcPr>
            <w:tcW w:w="6560" w:type="dxa"/>
            <w:vAlign w:val="bottom"/>
            <w:gridSpan w:val="21"/>
            <w:shd w:val="clear" w:color="auto" w:fill="CCEEFF"/>
          </w:tcPr>
          <w:p>
            <w:pPr>
              <w:spacing w:after="0" w:line="237" w:lineRule="exact"/>
              <w:rPr>
                <w:rFonts w:ascii="Arial" w:cs="Arial" w:eastAsia="Arial" w:hAnsi="Arial"/>
                <w:sz w:val="21"/>
                <w:szCs w:val="21"/>
                <w:color w:val="0000EE"/>
                <w:w w:val="98"/>
              </w:rPr>
            </w:pPr>
            <w:hyperlink w:anchor="page131">
              <w:r>
                <w:rPr>
                  <w:rFonts w:ascii="Arial" w:cs="Arial" w:eastAsia="Arial" w:hAnsi="Arial"/>
                  <w:sz w:val="21"/>
                  <w:szCs w:val="21"/>
                  <w:color w:val="0000EE"/>
                  <w:w w:val="98"/>
                </w:rPr>
                <w:t>Security Ownership of Certain Beneficial Owners and Management and</w:t>
              </w:r>
            </w:hyperlink>
          </w:p>
        </w:tc>
        <w:tc>
          <w:tcPr>
            <w:tcW w:w="6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131</w:t>
            </w:r>
          </w:p>
        </w:tc>
        <w:tc>
          <w:tcPr>
            <w:tcW w:w="0" w:type="dxa"/>
            <w:vAlign w:val="bottom"/>
          </w:tcPr>
          <w:p>
            <w:pPr>
              <w:spacing w:after="0"/>
              <w:rPr>
                <w:sz w:val="1"/>
                <w:szCs w:val="1"/>
                <w:color w:val="auto"/>
              </w:rPr>
            </w:pPr>
          </w:p>
        </w:tc>
      </w:tr>
      <w:tr>
        <w:trPr>
          <w:trHeight w:val="217"/>
        </w:trPr>
        <w:tc>
          <w:tcPr>
            <w:tcW w:w="104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0000FF"/>
            </w:tcBorders>
            <w:gridSpan w:val="17"/>
            <w:shd w:val="clear" w:color="auto" w:fill="CCEEFF"/>
          </w:tcPr>
          <w:p>
            <w:pPr>
              <w:spacing w:after="0" w:line="218" w:lineRule="exact"/>
              <w:rPr>
                <w:rFonts w:ascii="Arial" w:cs="Arial" w:eastAsia="Arial" w:hAnsi="Arial"/>
                <w:sz w:val="21"/>
                <w:szCs w:val="21"/>
                <w:color w:val="0000EE"/>
              </w:rPr>
            </w:pPr>
            <w:hyperlink w:anchor="page131">
              <w:r>
                <w:rPr>
                  <w:rFonts w:ascii="Arial" w:cs="Arial" w:eastAsia="Arial" w:hAnsi="Arial"/>
                  <w:sz w:val="21"/>
                  <w:szCs w:val="21"/>
                  <w:color w:val="0000EE"/>
                </w:rPr>
                <w:t>Related Stockholder Matters</w:t>
              </w:r>
            </w:hyperlink>
          </w:p>
        </w:tc>
        <w:tc>
          <w:tcPr>
            <w:tcW w:w="320" w:type="dxa"/>
            <w:vAlign w:val="bottom"/>
            <w:tcBorders>
              <w:top w:val="single" w:sz="8" w:color="CCEEFF"/>
            </w:tcBorders>
            <w:gridSpan w:val="3"/>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040" w:type="dxa"/>
            <w:vAlign w:val="bottom"/>
            <w:shd w:val="clear" w:color="auto" w:fill="CCEE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040" w:type="dxa"/>
            <w:vAlign w:val="bottom"/>
          </w:tcPr>
          <w:p>
            <w:pPr>
              <w:spacing w:after="0" w:line="237" w:lineRule="exact"/>
              <w:rPr>
                <w:sz w:val="20"/>
                <w:szCs w:val="20"/>
                <w:color w:val="auto"/>
              </w:rPr>
            </w:pPr>
            <w:r>
              <w:rPr>
                <w:rFonts w:ascii="Arial" w:cs="Arial" w:eastAsia="Arial" w:hAnsi="Arial"/>
                <w:sz w:val="21"/>
                <w:szCs w:val="21"/>
                <w:color w:val="auto"/>
              </w:rPr>
              <w:t>Item 13.</w:t>
            </w:r>
          </w:p>
        </w:tc>
        <w:tc>
          <w:tcPr>
            <w:tcW w:w="6400" w:type="dxa"/>
            <w:vAlign w:val="bottom"/>
            <w:tcBorders>
              <w:bottom w:val="single" w:sz="8" w:color="0000FF"/>
            </w:tcBorders>
            <w:gridSpan w:val="20"/>
          </w:tcPr>
          <w:p>
            <w:pPr>
              <w:spacing w:after="0" w:line="237" w:lineRule="exact"/>
              <w:rPr>
                <w:rFonts w:ascii="Arial" w:cs="Arial" w:eastAsia="Arial" w:hAnsi="Arial"/>
                <w:sz w:val="21"/>
                <w:szCs w:val="21"/>
                <w:color w:val="0000EE"/>
                <w:w w:val="89"/>
              </w:rPr>
            </w:pPr>
            <w:hyperlink w:anchor="page133">
              <w:r>
                <w:rPr>
                  <w:rFonts w:ascii="Arial" w:cs="Arial" w:eastAsia="Arial" w:hAnsi="Arial"/>
                  <w:sz w:val="21"/>
                  <w:szCs w:val="21"/>
                  <w:color w:val="0000EE"/>
                  <w:w w:val="89"/>
                </w:rPr>
                <w:t>Certain Relationships and Related Transactions, and Director Independence</w:t>
              </w:r>
            </w:hyperlink>
          </w:p>
        </w:tc>
        <w:tc>
          <w:tcPr>
            <w:tcW w:w="160" w:type="dxa"/>
            <w:vAlign w:val="bottom"/>
          </w:tcPr>
          <w:p>
            <w:pPr>
              <w:spacing w:after="0"/>
              <w:rPr>
                <w:sz w:val="21"/>
                <w:szCs w:val="21"/>
                <w:color w:val="auto"/>
              </w:rPr>
            </w:pPr>
          </w:p>
        </w:tc>
        <w:tc>
          <w:tcPr>
            <w:tcW w:w="620" w:type="dxa"/>
            <w:vAlign w:val="bottom"/>
          </w:tcPr>
          <w:p>
            <w:pPr>
              <w:jc w:val="right"/>
              <w:spacing w:after="0" w:line="237" w:lineRule="exact"/>
              <w:rPr>
                <w:sz w:val="20"/>
                <w:szCs w:val="20"/>
                <w:color w:val="auto"/>
              </w:rPr>
            </w:pPr>
            <w:r>
              <w:rPr>
                <w:rFonts w:ascii="Arial" w:cs="Arial" w:eastAsia="Arial" w:hAnsi="Arial"/>
                <w:sz w:val="21"/>
                <w:szCs w:val="21"/>
                <w:color w:val="auto"/>
              </w:rPr>
              <w:t>133</w:t>
            </w: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Item 14.</w:t>
            </w:r>
          </w:p>
        </w:tc>
        <w:tc>
          <w:tcPr>
            <w:tcW w:w="6560" w:type="dxa"/>
            <w:vAlign w:val="bottom"/>
            <w:gridSpan w:val="21"/>
            <w:shd w:val="clear" w:color="auto" w:fill="CCEEFF"/>
          </w:tcPr>
          <w:p>
            <w:pPr>
              <w:spacing w:after="0" w:line="237" w:lineRule="exact"/>
              <w:rPr>
                <w:rFonts w:ascii="Arial" w:cs="Arial" w:eastAsia="Arial" w:hAnsi="Arial"/>
                <w:sz w:val="21"/>
                <w:szCs w:val="21"/>
                <w:color w:val="0000EE"/>
              </w:rPr>
            </w:pPr>
            <w:hyperlink w:anchor="page133">
              <w:r>
                <w:rPr>
                  <w:rFonts w:ascii="Arial" w:cs="Arial" w:eastAsia="Arial" w:hAnsi="Arial"/>
                  <w:sz w:val="21"/>
                  <w:szCs w:val="21"/>
                  <w:color w:val="0000EE"/>
                </w:rPr>
                <w:t>Principal Accounting Fees and Services</w:t>
              </w:r>
            </w:hyperlink>
          </w:p>
        </w:tc>
        <w:tc>
          <w:tcPr>
            <w:tcW w:w="6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134</w:t>
            </w:r>
          </w:p>
        </w:tc>
        <w:tc>
          <w:tcPr>
            <w:tcW w:w="0" w:type="dxa"/>
            <w:vAlign w:val="bottom"/>
          </w:tcPr>
          <w:p>
            <w:pPr>
              <w:spacing w:after="0"/>
              <w:rPr>
                <w:sz w:val="1"/>
                <w:szCs w:val="1"/>
                <w:color w:val="auto"/>
              </w:rPr>
            </w:pPr>
          </w:p>
        </w:tc>
      </w:tr>
      <w:tr>
        <w:trPr>
          <w:trHeight w:val="264"/>
        </w:trPr>
        <w:tc>
          <w:tcPr>
            <w:tcW w:w="1040" w:type="dxa"/>
            <w:vAlign w:val="bottom"/>
            <w:tcBorders>
              <w:top w:val="single" w:sz="8" w:color="CCEE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6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140" w:type="dxa"/>
            <w:vAlign w:val="bottom"/>
            <w:gridSpan w:val="12"/>
            <w:shd w:val="clear" w:color="auto" w:fill="CCEEFF"/>
          </w:tcPr>
          <w:p>
            <w:pPr>
              <w:jc w:val="center"/>
              <w:ind w:right="2420"/>
              <w:spacing w:after="0"/>
              <w:rPr>
                <w:sz w:val="20"/>
                <w:szCs w:val="20"/>
                <w:color w:val="auto"/>
              </w:rPr>
            </w:pPr>
            <w:r>
              <w:rPr>
                <w:rFonts w:ascii="Arial" w:cs="Arial" w:eastAsia="Arial" w:hAnsi="Arial"/>
                <w:sz w:val="21"/>
                <w:szCs w:val="21"/>
                <w:color w:val="auto"/>
                <w:w w:val="93"/>
              </w:rPr>
              <w:t>Part IV</w:t>
            </w: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Item 15.</w:t>
            </w:r>
          </w:p>
        </w:tc>
        <w:tc>
          <w:tcPr>
            <w:tcW w:w="6560" w:type="dxa"/>
            <w:vAlign w:val="bottom"/>
            <w:gridSpan w:val="21"/>
            <w:shd w:val="clear" w:color="auto" w:fill="CCEEFF"/>
          </w:tcPr>
          <w:p>
            <w:pPr>
              <w:spacing w:after="0" w:line="237" w:lineRule="exact"/>
              <w:rPr>
                <w:rFonts w:ascii="Arial" w:cs="Arial" w:eastAsia="Arial" w:hAnsi="Arial"/>
                <w:sz w:val="21"/>
                <w:szCs w:val="21"/>
                <w:color w:val="0000EE"/>
              </w:rPr>
            </w:pPr>
            <w:hyperlink w:anchor="page134">
              <w:r>
                <w:rPr>
                  <w:rFonts w:ascii="Arial" w:cs="Arial" w:eastAsia="Arial" w:hAnsi="Arial"/>
                  <w:sz w:val="21"/>
                  <w:szCs w:val="21"/>
                  <w:color w:val="0000EE"/>
                </w:rPr>
                <w:t>Exhibits, Financial Statement Schedules</w:t>
              </w:r>
            </w:hyperlink>
          </w:p>
        </w:tc>
        <w:tc>
          <w:tcPr>
            <w:tcW w:w="6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134</w:t>
            </w:r>
          </w:p>
        </w:tc>
        <w:tc>
          <w:tcPr>
            <w:tcW w:w="0" w:type="dxa"/>
            <w:vAlign w:val="bottom"/>
          </w:tcPr>
          <w:p>
            <w:pPr>
              <w:spacing w:after="0"/>
              <w:rPr>
                <w:sz w:val="1"/>
                <w:szCs w:val="1"/>
                <w:color w:val="auto"/>
              </w:rPr>
            </w:pPr>
          </w:p>
        </w:tc>
      </w:tr>
      <w:tr>
        <w:trPr>
          <w:trHeight w:val="415"/>
        </w:trPr>
        <w:tc>
          <w:tcPr>
            <w:tcW w:w="1040" w:type="dxa"/>
            <w:vAlign w:val="bottom"/>
            <w:tcBorders>
              <w:top w:val="single" w:sz="8" w:color="CCEEFF"/>
              <w:bottom w:val="single" w:sz="8" w:color="909090"/>
            </w:tcBorders>
          </w:tcPr>
          <w:p>
            <w:pPr>
              <w:spacing w:after="0"/>
              <w:rPr>
                <w:sz w:val="24"/>
                <w:szCs w:val="24"/>
                <w:color w:val="auto"/>
              </w:rPr>
            </w:pPr>
          </w:p>
        </w:tc>
        <w:tc>
          <w:tcPr>
            <w:tcW w:w="760" w:type="dxa"/>
            <w:vAlign w:val="bottom"/>
            <w:tcBorders>
              <w:top w:val="single" w:sz="8" w:color="0000FF"/>
              <w:bottom w:val="single" w:sz="8" w:color="909090"/>
            </w:tcBorders>
          </w:tcPr>
          <w:p>
            <w:pPr>
              <w:spacing w:after="0"/>
              <w:rPr>
                <w:sz w:val="24"/>
                <w:szCs w:val="24"/>
                <w:color w:val="auto"/>
              </w:rPr>
            </w:pPr>
          </w:p>
        </w:tc>
        <w:tc>
          <w:tcPr>
            <w:tcW w:w="100" w:type="dxa"/>
            <w:vAlign w:val="bottom"/>
            <w:tcBorders>
              <w:top w:val="single" w:sz="8" w:color="0000FF"/>
              <w:bottom w:val="single" w:sz="8" w:color="909090"/>
            </w:tcBorders>
          </w:tcPr>
          <w:p>
            <w:pPr>
              <w:spacing w:after="0"/>
              <w:rPr>
                <w:sz w:val="24"/>
                <w:szCs w:val="24"/>
                <w:color w:val="auto"/>
              </w:rPr>
            </w:pPr>
          </w:p>
        </w:tc>
        <w:tc>
          <w:tcPr>
            <w:tcW w:w="300" w:type="dxa"/>
            <w:vAlign w:val="bottom"/>
            <w:tcBorders>
              <w:top w:val="single" w:sz="8" w:color="0000FF"/>
              <w:bottom w:val="single" w:sz="8" w:color="909090"/>
            </w:tcBorders>
          </w:tcPr>
          <w:p>
            <w:pPr>
              <w:spacing w:after="0"/>
              <w:rPr>
                <w:sz w:val="24"/>
                <w:szCs w:val="24"/>
                <w:color w:val="auto"/>
              </w:rPr>
            </w:pPr>
          </w:p>
        </w:tc>
        <w:tc>
          <w:tcPr>
            <w:tcW w:w="380" w:type="dxa"/>
            <w:vAlign w:val="bottom"/>
            <w:tcBorders>
              <w:top w:val="single" w:sz="8" w:color="0000FF"/>
              <w:bottom w:val="single" w:sz="8" w:color="909090"/>
            </w:tcBorders>
          </w:tcPr>
          <w:p>
            <w:pPr>
              <w:spacing w:after="0"/>
              <w:rPr>
                <w:sz w:val="24"/>
                <w:szCs w:val="24"/>
                <w:color w:val="auto"/>
              </w:rPr>
            </w:pPr>
          </w:p>
        </w:tc>
        <w:tc>
          <w:tcPr>
            <w:tcW w:w="40" w:type="dxa"/>
            <w:vAlign w:val="bottom"/>
            <w:tcBorders>
              <w:top w:val="single" w:sz="8" w:color="0000FF"/>
              <w:bottom w:val="single" w:sz="8" w:color="909090"/>
            </w:tcBorders>
          </w:tcPr>
          <w:p>
            <w:pPr>
              <w:spacing w:after="0"/>
              <w:rPr>
                <w:sz w:val="24"/>
                <w:szCs w:val="24"/>
                <w:color w:val="auto"/>
              </w:rPr>
            </w:pPr>
          </w:p>
        </w:tc>
        <w:tc>
          <w:tcPr>
            <w:tcW w:w="160" w:type="dxa"/>
            <w:vAlign w:val="bottom"/>
            <w:tcBorders>
              <w:top w:val="single" w:sz="8" w:color="0000FF"/>
              <w:bottom w:val="single" w:sz="8" w:color="909090"/>
            </w:tcBorders>
          </w:tcPr>
          <w:p>
            <w:pPr>
              <w:spacing w:after="0"/>
              <w:rPr>
                <w:sz w:val="24"/>
                <w:szCs w:val="24"/>
                <w:color w:val="auto"/>
              </w:rPr>
            </w:pPr>
          </w:p>
        </w:tc>
        <w:tc>
          <w:tcPr>
            <w:tcW w:w="280" w:type="dxa"/>
            <w:vAlign w:val="bottom"/>
            <w:tcBorders>
              <w:top w:val="single" w:sz="8" w:color="0000FF"/>
              <w:bottom w:val="single" w:sz="8" w:color="909090"/>
            </w:tcBorders>
          </w:tcPr>
          <w:p>
            <w:pPr>
              <w:spacing w:after="0"/>
              <w:rPr>
                <w:sz w:val="24"/>
                <w:szCs w:val="24"/>
                <w:color w:val="auto"/>
              </w:rPr>
            </w:pPr>
          </w:p>
        </w:tc>
        <w:tc>
          <w:tcPr>
            <w:tcW w:w="100" w:type="dxa"/>
            <w:vAlign w:val="bottom"/>
            <w:tcBorders>
              <w:top w:val="single" w:sz="8" w:color="0000FF"/>
              <w:bottom w:val="single" w:sz="8" w:color="909090"/>
            </w:tcBorders>
          </w:tcPr>
          <w:p>
            <w:pPr>
              <w:spacing w:after="0"/>
              <w:rPr>
                <w:sz w:val="24"/>
                <w:szCs w:val="24"/>
                <w:color w:val="auto"/>
              </w:rPr>
            </w:pPr>
          </w:p>
        </w:tc>
        <w:tc>
          <w:tcPr>
            <w:tcW w:w="300" w:type="dxa"/>
            <w:vAlign w:val="bottom"/>
            <w:tcBorders>
              <w:top w:val="single" w:sz="8" w:color="0000FF"/>
              <w:bottom w:val="single" w:sz="8" w:color="909090"/>
            </w:tcBorders>
          </w:tcPr>
          <w:p>
            <w:pPr>
              <w:spacing w:after="0"/>
              <w:rPr>
                <w:sz w:val="24"/>
                <w:szCs w:val="24"/>
                <w:color w:val="auto"/>
              </w:rPr>
            </w:pPr>
          </w:p>
        </w:tc>
        <w:tc>
          <w:tcPr>
            <w:tcW w:w="720" w:type="dxa"/>
            <w:vAlign w:val="bottom"/>
            <w:tcBorders>
              <w:top w:val="single" w:sz="8" w:color="0000FF"/>
              <w:bottom w:val="single" w:sz="8" w:color="909090"/>
            </w:tcBorders>
          </w:tcPr>
          <w:p>
            <w:pPr>
              <w:spacing w:after="0"/>
              <w:rPr>
                <w:sz w:val="24"/>
                <w:szCs w:val="24"/>
                <w:color w:val="auto"/>
              </w:rPr>
            </w:pPr>
          </w:p>
        </w:tc>
        <w:tc>
          <w:tcPr>
            <w:tcW w:w="220" w:type="dxa"/>
            <w:vAlign w:val="bottom"/>
            <w:tcBorders>
              <w:top w:val="single" w:sz="8" w:color="0000FF"/>
              <w:bottom w:val="single" w:sz="8" w:color="909090"/>
            </w:tcBorders>
          </w:tcPr>
          <w:p>
            <w:pPr>
              <w:spacing w:after="0"/>
              <w:rPr>
                <w:sz w:val="24"/>
                <w:szCs w:val="24"/>
                <w:color w:val="auto"/>
              </w:rPr>
            </w:pPr>
          </w:p>
        </w:tc>
        <w:tc>
          <w:tcPr>
            <w:tcW w:w="40" w:type="dxa"/>
            <w:vAlign w:val="bottom"/>
            <w:tcBorders>
              <w:top w:val="single" w:sz="8" w:color="0000FF"/>
              <w:bottom w:val="single" w:sz="8" w:color="909090"/>
            </w:tcBorders>
          </w:tcPr>
          <w:p>
            <w:pPr>
              <w:spacing w:after="0"/>
              <w:rPr>
                <w:sz w:val="24"/>
                <w:szCs w:val="24"/>
                <w:color w:val="auto"/>
              </w:rPr>
            </w:pPr>
          </w:p>
        </w:tc>
        <w:tc>
          <w:tcPr>
            <w:tcW w:w="520" w:type="dxa"/>
            <w:vAlign w:val="bottom"/>
            <w:tcBorders>
              <w:top w:val="single" w:sz="8" w:color="CCEEFF"/>
              <w:bottom w:val="single" w:sz="8" w:color="909090"/>
            </w:tcBorders>
          </w:tcPr>
          <w:p>
            <w:pPr>
              <w:spacing w:after="0"/>
              <w:rPr>
                <w:sz w:val="24"/>
                <w:szCs w:val="24"/>
                <w:color w:val="auto"/>
              </w:rPr>
            </w:pPr>
          </w:p>
        </w:tc>
        <w:tc>
          <w:tcPr>
            <w:tcW w:w="880" w:type="dxa"/>
            <w:vAlign w:val="bottom"/>
            <w:tcBorders>
              <w:top w:val="single" w:sz="8" w:color="CCEEFF"/>
              <w:bottom w:val="single" w:sz="8" w:color="909090"/>
            </w:tcBorders>
          </w:tcPr>
          <w:p>
            <w:pPr>
              <w:spacing w:after="0"/>
              <w:rPr>
                <w:sz w:val="24"/>
                <w:szCs w:val="24"/>
                <w:color w:val="auto"/>
              </w:rPr>
            </w:pPr>
          </w:p>
        </w:tc>
        <w:tc>
          <w:tcPr>
            <w:tcW w:w="320" w:type="dxa"/>
            <w:vAlign w:val="bottom"/>
            <w:tcBorders>
              <w:top w:val="single" w:sz="8" w:color="CCEEFF"/>
              <w:bottom w:val="single" w:sz="8" w:color="909090"/>
            </w:tcBorders>
          </w:tcPr>
          <w:p>
            <w:pPr>
              <w:spacing w:after="0"/>
              <w:rPr>
                <w:sz w:val="24"/>
                <w:szCs w:val="24"/>
                <w:color w:val="auto"/>
              </w:rPr>
            </w:pPr>
          </w:p>
        </w:tc>
        <w:tc>
          <w:tcPr>
            <w:tcW w:w="680" w:type="dxa"/>
            <w:vAlign w:val="bottom"/>
            <w:tcBorders>
              <w:top w:val="single" w:sz="8" w:color="CCEEFF"/>
              <w:bottom w:val="single" w:sz="8" w:color="909090"/>
            </w:tcBorders>
          </w:tcPr>
          <w:p>
            <w:pPr>
              <w:spacing w:after="0"/>
              <w:rPr>
                <w:sz w:val="24"/>
                <w:szCs w:val="24"/>
                <w:color w:val="auto"/>
              </w:rPr>
            </w:pPr>
          </w:p>
        </w:tc>
        <w:tc>
          <w:tcPr>
            <w:tcW w:w="280" w:type="dxa"/>
            <w:vAlign w:val="bottom"/>
            <w:tcBorders>
              <w:top w:val="single" w:sz="8" w:color="CCEEFF"/>
              <w:bottom w:val="single" w:sz="8" w:color="909090"/>
            </w:tcBorders>
          </w:tcPr>
          <w:p>
            <w:pPr>
              <w:spacing w:after="0"/>
              <w:rPr>
                <w:sz w:val="24"/>
                <w:szCs w:val="24"/>
                <w:color w:val="auto"/>
              </w:rPr>
            </w:pPr>
          </w:p>
        </w:tc>
        <w:tc>
          <w:tcPr>
            <w:tcW w:w="220" w:type="dxa"/>
            <w:vAlign w:val="bottom"/>
            <w:tcBorders>
              <w:top w:val="single" w:sz="8" w:color="CCEEFF"/>
              <w:bottom w:val="single" w:sz="8" w:color="909090"/>
            </w:tcBorders>
          </w:tcPr>
          <w:p>
            <w:pPr>
              <w:spacing w:after="0"/>
              <w:rPr>
                <w:sz w:val="24"/>
                <w:szCs w:val="24"/>
                <w:color w:val="auto"/>
              </w:rPr>
            </w:pPr>
          </w:p>
        </w:tc>
        <w:tc>
          <w:tcPr>
            <w:tcW w:w="80" w:type="dxa"/>
            <w:vAlign w:val="bottom"/>
            <w:tcBorders>
              <w:top w:val="single" w:sz="8" w:color="CCEEFF"/>
              <w:bottom w:val="single" w:sz="8" w:color="909090"/>
            </w:tcBorders>
          </w:tcPr>
          <w:p>
            <w:pPr>
              <w:spacing w:after="0"/>
              <w:rPr>
                <w:sz w:val="24"/>
                <w:szCs w:val="24"/>
                <w:color w:val="auto"/>
              </w:rPr>
            </w:pPr>
          </w:p>
        </w:tc>
        <w:tc>
          <w:tcPr>
            <w:tcW w:w="20" w:type="dxa"/>
            <w:vAlign w:val="bottom"/>
            <w:tcBorders>
              <w:top w:val="single" w:sz="8" w:color="CCEEFF"/>
              <w:bottom w:val="single" w:sz="8" w:color="909090"/>
            </w:tcBorders>
          </w:tcPr>
          <w:p>
            <w:pPr>
              <w:spacing w:after="0"/>
              <w:rPr>
                <w:sz w:val="24"/>
                <w:szCs w:val="24"/>
                <w:color w:val="auto"/>
              </w:rPr>
            </w:pPr>
          </w:p>
        </w:tc>
        <w:tc>
          <w:tcPr>
            <w:tcW w:w="160" w:type="dxa"/>
            <w:vAlign w:val="bottom"/>
            <w:tcBorders>
              <w:top w:val="single" w:sz="8" w:color="CCEEFF"/>
              <w:bottom w:val="single" w:sz="8" w:color="909090"/>
            </w:tcBorders>
          </w:tcPr>
          <w:p>
            <w:pPr>
              <w:spacing w:after="0"/>
              <w:rPr>
                <w:sz w:val="24"/>
                <w:szCs w:val="24"/>
                <w:color w:val="auto"/>
              </w:rPr>
            </w:pPr>
          </w:p>
        </w:tc>
        <w:tc>
          <w:tcPr>
            <w:tcW w:w="620" w:type="dxa"/>
            <w:vAlign w:val="bottom"/>
            <w:tcBorders>
              <w:top w:val="single" w:sz="8" w:color="CCEEFF"/>
              <w:bottom w:val="single" w:sz="8" w:color="90909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 w:right="1440"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9"/>
          <w:szCs w:val="19"/>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236" w:lineRule="exact"/>
        <w:rPr>
          <w:sz w:val="20"/>
          <w:szCs w:val="20"/>
          <w:color w:val="auto"/>
        </w:rPr>
      </w:pPr>
    </w:p>
    <w:p>
      <w:pPr>
        <w:jc w:val="both"/>
        <w:ind w:right="319"/>
        <w:spacing w:after="0" w:line="281" w:lineRule="auto"/>
        <w:rPr>
          <w:sz w:val="20"/>
          <w:szCs w:val="20"/>
          <w:color w:val="auto"/>
        </w:rPr>
      </w:pPr>
      <w:r>
        <w:rPr>
          <w:rFonts w:ascii="Arial" w:cs="Arial" w:eastAsia="Arial" w:hAnsi="Arial"/>
          <w:sz w:val="17"/>
          <w:szCs w:val="17"/>
          <w:color w:val="auto"/>
        </w:rPr>
        <w:t>Security National Financial Corporation (the “Company”) operates in three reportable business segments: life insurance, cemetery and mortuary, and mortgages. The life insurance segment is engaged in the business of selling and servicing selected lines of life insurance, annuity products, and accident and health insurance. These products are marketed in 40 states through a commissioned sales force of independent licensed insurance agents who may also sell insurance products of other companies. The cemetery and mortuary segment consists of eight mortuaries and five cemeteries in the state of Utah and one cemetery in the state of California. The Company also engages in pre-need selling of funeral, cemetery, mortuary, and cremation services through its Utah and California operations. Many of the insurance agents also sell pre-need funeral, cemetery, and cremation services. The mortgage segment originates and underwrites or otherwise purchases residential and commercial loans for new construction, existing homes, and other real estate projects. The mortgage segment operates through 98 retail offices in 23 states, and is an approved mortgage lender in several other states.</w:t>
      </w:r>
    </w:p>
    <w:p>
      <w:pPr>
        <w:spacing w:after="0" w:line="173" w:lineRule="exact"/>
        <w:rPr>
          <w:sz w:val="20"/>
          <w:szCs w:val="20"/>
          <w:color w:val="auto"/>
        </w:rPr>
      </w:pPr>
    </w:p>
    <w:p>
      <w:pPr>
        <w:jc w:val="both"/>
        <w:ind w:right="319"/>
        <w:spacing w:after="0" w:line="267" w:lineRule="auto"/>
        <w:rPr>
          <w:sz w:val="20"/>
          <w:szCs w:val="20"/>
          <w:color w:val="auto"/>
        </w:rPr>
      </w:pPr>
      <w:r>
        <w:rPr>
          <w:rFonts w:ascii="Arial" w:cs="Arial" w:eastAsia="Arial" w:hAnsi="Arial"/>
          <w:sz w:val="18"/>
          <w:szCs w:val="18"/>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their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182" w:lineRule="exact"/>
        <w:rPr>
          <w:sz w:val="20"/>
          <w:szCs w:val="20"/>
          <w:color w:val="auto"/>
        </w:rPr>
      </w:pPr>
    </w:p>
    <w:p>
      <w:pPr>
        <w:jc w:val="both"/>
        <w:ind w:right="319"/>
        <w:spacing w:after="0" w:line="279" w:lineRule="auto"/>
        <w:rPr>
          <w:sz w:val="20"/>
          <w:szCs w:val="20"/>
          <w:color w:val="auto"/>
        </w:rPr>
      </w:pPr>
      <w:r>
        <w:rPr>
          <w:rFonts w:ascii="Arial" w:cs="Arial" w:eastAsia="Arial" w:hAnsi="Arial"/>
          <w:sz w:val="17"/>
          <w:szCs w:val="17"/>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w:t>
      </w:r>
    </w:p>
    <w:p>
      <w:pPr>
        <w:spacing w:after="0" w:line="1"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color w:val="auto"/>
        </w:rPr>
        <w:t>(1998), Menlo Life Insurance Company (1999), Acadian Life Insurance Company (2002), Paramount Security Life Insurance Company (2004), Memorial Insurance Company of America (2005),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and Kilpatrick Life Insurance Company (2019).</w:t>
      </w:r>
    </w:p>
    <w:p>
      <w:pPr>
        <w:spacing w:after="0" w:line="182"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and Heber Valley Funeral Home, Inc. (2019).</w:t>
      </w:r>
    </w:p>
    <w:p>
      <w:pPr>
        <w:spacing w:after="0" w:line="189"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In 1993, the Company formed SecurityNational Mortgage Company (“SecurityNational Mortgage”) to originate and refinance residential mortgage loans. In 2012, the Company formed Green Street Mortgage Services, Inc. (now known as EverLEND Mortgage Company) (“EverLEND Mortgage”) also to originate and refinance residential mortgage loans.</w:t>
      </w:r>
    </w:p>
    <w:p>
      <w:pPr>
        <w:spacing w:after="0" w:line="189"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See Note 15 of the Notes to Consolidated Financial Statements for additional information regarding business segments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Life Insurance</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Products</w:t>
      </w:r>
    </w:p>
    <w:p>
      <w:pPr>
        <w:spacing w:after="0" w:line="230"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The Company, through Security National Life, First Guaranty Insurance Company (“First Guaranty”), and Kilpatrick Life Insurance Company (“Kilpatrick”), issues and distributes selected lines of life insurance and annuities. The Company’s life insurance business includes funeral plans and interest-sensitive life insurance, as well as other traditional life, accident, and health insurance products. The Company places specific marketing emphasis on funeral</w:t>
      </w:r>
    </w:p>
    <w:p>
      <w:pPr>
        <w:sectPr>
          <w:pgSz w:w="11900" w:h="16838" w:orient="portrait"/>
          <w:cols w:equalWidth="0" w:num="1">
            <w:col w:w="9179"/>
          </w:cols>
          <w:pgMar w:left="1280" w:top="118" w:right="1440" w:bottom="1440" w:gutter="0" w:footer="0" w:header="0"/>
        </w:sect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type w:val="continuous"/>
        </w:sectPr>
      </w:pPr>
    </w:p>
    <w:bookmarkStart w:id="4" w:name="page5"/>
    <w:bookmarkEnd w:id="4"/>
    <w:p>
      <w:pPr>
        <w:jc w:val="both"/>
        <w:ind w:right="319"/>
        <w:spacing w:after="0" w:line="256" w:lineRule="auto"/>
        <w:rPr>
          <w:sz w:val="20"/>
          <w:szCs w:val="20"/>
          <w:color w:val="auto"/>
        </w:rPr>
      </w:pPr>
      <w:r>
        <w:rPr>
          <w:rFonts w:ascii="Arial" w:cs="Arial" w:eastAsia="Arial" w:hAnsi="Arial"/>
          <w:sz w:val="19"/>
          <w:szCs w:val="19"/>
          <w:color w:val="auto"/>
        </w:rPr>
        <w:t>plans through pre-need planning. The Company’s insurance subsidiaries, Memorial Insurance Company of America (“Memorial Insurance”), Southern Security Life Insurance Company, Inc. (“Southern Security”), Trans-Western Life Insurance Company (“Trans-Western”), First Guaranty, and Kilpatrick, service and maintain policies that were purchased prior to their acquisition by Security National Life.</w:t>
      </w:r>
    </w:p>
    <w:p>
      <w:pPr>
        <w:spacing w:after="0" w:line="190" w:lineRule="exact"/>
        <w:rPr>
          <w:sz w:val="20"/>
          <w:szCs w:val="20"/>
          <w:color w:val="auto"/>
        </w:rPr>
      </w:pPr>
    </w:p>
    <w:p>
      <w:pPr>
        <w:jc w:val="both"/>
        <w:ind w:right="319"/>
        <w:spacing w:after="0" w:line="267" w:lineRule="auto"/>
        <w:rPr>
          <w:sz w:val="20"/>
          <w:szCs w:val="20"/>
          <w:color w:val="auto"/>
        </w:rPr>
      </w:pPr>
      <w:r>
        <w:rPr>
          <w:rFonts w:ascii="Arial" w:cs="Arial" w:eastAsia="Arial" w:hAnsi="Arial"/>
          <w:sz w:val="18"/>
          <w:szCs w:val="18"/>
          <w:color w:val="auto"/>
        </w:rPr>
        <w:t>A funeral plan is a small face value life insurance policy that generally has face coverage of up to $25,000. The Company believes that funeral plans represent a marketing niche that has lower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Markets and Distribution</w:t>
      </w:r>
    </w:p>
    <w:p>
      <w:pPr>
        <w:spacing w:after="0" w:line="230"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The Company is licensed to sell insurance in 40 states. The Company, in marketing its life insurance products, seeks to locate, develop and service specific niche markets. The Company’s funeral plan policies are sold primarily to persons who range in age from 45 to 85 and have low to moderate income. A majority of the Company’s funeral plan premiums come from the states of Arkansas, California, Florida, Georgia, Louisiana, Mississippi, Texas, and Utah.</w:t>
      </w:r>
    </w:p>
    <w:p>
      <w:pPr>
        <w:spacing w:after="0" w:line="194" w:lineRule="exact"/>
        <w:rPr>
          <w:sz w:val="20"/>
          <w:szCs w:val="20"/>
          <w:color w:val="auto"/>
        </w:rPr>
      </w:pPr>
    </w:p>
    <w:p>
      <w:pPr>
        <w:jc w:val="both"/>
        <w:ind w:right="319"/>
        <w:spacing w:after="0" w:line="275" w:lineRule="auto"/>
        <w:rPr>
          <w:sz w:val="20"/>
          <w:szCs w:val="20"/>
          <w:color w:val="auto"/>
        </w:rPr>
      </w:pPr>
      <w:r>
        <w:rPr>
          <w:rFonts w:ascii="Arial" w:cs="Arial" w:eastAsia="Arial" w:hAnsi="Arial"/>
          <w:sz w:val="18"/>
          <w:szCs w:val="18"/>
          <w:color w:val="auto"/>
        </w:rPr>
        <w:t>The Company sells its life insurance products through direct agents, brokers, and independent licensed agents who may also sell insurance products of other companies. The commissions on life insurance products range from approximately 50% to 120% of first year premiums. In those cases, where the Company utilizes its direct agents in selling such policies, those agents customarily receive advances against future commissions.</w:t>
      </w:r>
    </w:p>
    <w:p>
      <w:pPr>
        <w:spacing w:after="0" w:line="172" w:lineRule="exact"/>
        <w:rPr>
          <w:sz w:val="20"/>
          <w:szCs w:val="20"/>
          <w:color w:val="auto"/>
        </w:rPr>
      </w:pPr>
    </w:p>
    <w:p>
      <w:pPr>
        <w:jc w:val="both"/>
        <w:ind w:right="319"/>
        <w:spacing w:after="0" w:line="275" w:lineRule="auto"/>
        <w:rPr>
          <w:sz w:val="20"/>
          <w:szCs w:val="20"/>
          <w:color w:val="auto"/>
        </w:rPr>
      </w:pPr>
      <w:r>
        <w:rPr>
          <w:rFonts w:ascii="Arial" w:cs="Arial" w:eastAsia="Arial" w:hAnsi="Arial"/>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72"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CEEFF"/>
            </w:tcBorders>
          </w:tcPr>
          <w:p>
            <w:pPr>
              <w:spacing w:after="0"/>
              <w:rPr>
                <w:sz w:val="15"/>
                <w:szCs w:val="15"/>
                <w:color w:val="auto"/>
              </w:rPr>
            </w:pPr>
          </w:p>
        </w:tc>
      </w:tr>
      <w:tr>
        <w:trPr>
          <w:trHeight w:val="165"/>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Life Insurance</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color w:val="auto"/>
              </w:rPr>
              <w:t>Policy/Cert Count as of December 31</w:t>
            </w:r>
          </w:p>
        </w:tc>
        <w:tc>
          <w:tcPr>
            <w:tcW w:w="860" w:type="dxa"/>
            <w:vAlign w:val="bottom"/>
          </w:tcPr>
          <w:p>
            <w:pPr>
              <w:jc w:val="right"/>
              <w:spacing w:after="0"/>
              <w:rPr>
                <w:sz w:val="20"/>
                <w:szCs w:val="20"/>
                <w:color w:val="auto"/>
              </w:rPr>
            </w:pPr>
            <w:r>
              <w:rPr>
                <w:rFonts w:ascii="Arial" w:cs="Arial" w:eastAsia="Arial" w:hAnsi="Arial"/>
                <w:sz w:val="14"/>
                <w:szCs w:val="14"/>
                <w:color w:val="auto"/>
              </w:rPr>
              <w:t>659,237</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669,064</w:t>
            </w:r>
          </w:p>
        </w:tc>
        <w:tc>
          <w:tcPr>
            <w:tcW w:w="340" w:type="dxa"/>
            <w:vAlign w:val="bottom"/>
          </w:tcPr>
          <w:p>
            <w:pPr>
              <w:jc w:val="right"/>
              <w:ind w:right="90"/>
              <w:spacing w:after="0"/>
              <w:rPr>
                <w:sz w:val="20"/>
                <w:szCs w:val="20"/>
                <w:color w:val="auto"/>
              </w:rPr>
            </w:pPr>
            <w:r>
              <w:rPr>
                <w:rFonts w:ascii="Arial" w:cs="Arial" w:eastAsia="Arial" w:hAnsi="Arial"/>
                <w:sz w:val="14"/>
                <w:szCs w:val="14"/>
                <w:color w:val="auto"/>
                <w:w w:val="93"/>
              </w:rPr>
              <w:t>(1)</w:t>
            </w:r>
          </w:p>
        </w:tc>
        <w:tc>
          <w:tcPr>
            <w:tcW w:w="880" w:type="dxa"/>
            <w:vAlign w:val="bottom"/>
          </w:tcPr>
          <w:p>
            <w:pPr>
              <w:jc w:val="right"/>
              <w:spacing w:after="0"/>
              <w:rPr>
                <w:sz w:val="20"/>
                <w:szCs w:val="20"/>
                <w:color w:val="auto"/>
              </w:rPr>
            </w:pPr>
            <w:r>
              <w:rPr>
                <w:rFonts w:ascii="Arial" w:cs="Arial" w:eastAsia="Arial" w:hAnsi="Arial"/>
                <w:sz w:val="14"/>
                <w:szCs w:val="14"/>
                <w:color w:val="auto"/>
              </w:rPr>
              <w:t>531,831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533,065</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531,775</w:t>
            </w:r>
          </w:p>
        </w:tc>
        <w:tc>
          <w:tcPr>
            <w:tcW w:w="340" w:type="dxa"/>
            <w:vAlign w:val="bottom"/>
          </w:tcPr>
          <w:p>
            <w:pPr>
              <w:jc w:val="right"/>
              <w:ind w:right="90"/>
              <w:spacing w:after="0"/>
              <w:rPr>
                <w:sz w:val="20"/>
                <w:szCs w:val="20"/>
                <w:color w:val="auto"/>
              </w:rPr>
            </w:pPr>
            <w:r>
              <w:rPr>
                <w:rFonts w:ascii="Arial" w:cs="Arial" w:eastAsia="Arial" w:hAnsi="Arial"/>
                <w:sz w:val="14"/>
                <w:szCs w:val="14"/>
                <w:color w:val="auto"/>
                <w:w w:val="93"/>
              </w:rPr>
              <w:t>(2)</w:t>
            </w:r>
          </w:p>
        </w:tc>
      </w:tr>
      <w:tr>
        <w:trPr>
          <w:trHeight w:val="171"/>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Insurance in force as of December 31 (omitted 000)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$2,890,791</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$2,877,402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3"/>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$1,838,488</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$1,759,148</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$1,672,081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3"/>
              </w:rPr>
              <w:t>(2)</w:t>
            </w: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color w:val="auto"/>
              </w:rPr>
              <w:t>Premiums Collected (omitted 000)</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$92,058</w:t>
            </w:r>
          </w:p>
        </w:tc>
        <w:tc>
          <w:tcPr>
            <w:tcW w:w="1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$78,253</w:t>
            </w:r>
          </w:p>
        </w:tc>
        <w:tc>
          <w:tcPr>
            <w:tcW w:w="340" w:type="dxa"/>
            <w:vAlign w:val="bottom"/>
          </w:tcPr>
          <w:p>
            <w:pPr>
              <w:jc w:val="right"/>
              <w:ind w:right="90"/>
              <w:spacing w:after="0" w:line="155" w:lineRule="exact"/>
              <w:rPr>
                <w:sz w:val="20"/>
                <w:szCs w:val="20"/>
                <w:color w:val="auto"/>
              </w:rPr>
            </w:pPr>
            <w:r>
              <w:rPr>
                <w:rFonts w:ascii="Arial" w:cs="Arial" w:eastAsia="Arial" w:hAnsi="Arial"/>
                <w:sz w:val="14"/>
                <w:szCs w:val="14"/>
                <w:color w:val="auto"/>
                <w:w w:val="93"/>
              </w:rPr>
              <w:t>(1)</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$74,965</w:t>
            </w: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$69,565</w:t>
            </w:r>
          </w:p>
        </w:tc>
        <w:tc>
          <w:tcPr>
            <w:tcW w:w="1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$65,220</w:t>
            </w:r>
          </w:p>
        </w:tc>
        <w:tc>
          <w:tcPr>
            <w:tcW w:w="340" w:type="dxa"/>
            <w:vAlign w:val="bottom"/>
          </w:tcPr>
          <w:p>
            <w:pPr>
              <w:jc w:val="right"/>
              <w:ind w:right="90"/>
              <w:spacing w:after="0" w:line="155" w:lineRule="exact"/>
              <w:rPr>
                <w:sz w:val="20"/>
                <w:szCs w:val="20"/>
                <w:color w:val="auto"/>
              </w:rPr>
            </w:pPr>
            <w:r>
              <w:rPr>
                <w:rFonts w:ascii="Arial" w:cs="Arial" w:eastAsia="Arial" w:hAnsi="Arial"/>
                <w:sz w:val="14"/>
                <w:szCs w:val="14"/>
                <w:color w:val="auto"/>
                <w:w w:val="93"/>
              </w:rPr>
              <w:t>(2)</w:t>
            </w:r>
          </w:p>
        </w:tc>
      </w:tr>
      <w:tr>
        <w:trPr>
          <w:trHeight w:val="246"/>
        </w:trPr>
        <w:tc>
          <w:tcPr>
            <w:tcW w:w="3380" w:type="dxa"/>
            <w:vAlign w:val="bottom"/>
          </w:tcPr>
          <w:p>
            <w:pPr>
              <w:spacing w:after="0"/>
              <w:rPr>
                <w:sz w:val="20"/>
                <w:szCs w:val="20"/>
                <w:color w:val="auto"/>
              </w:rPr>
            </w:pPr>
            <w:r>
              <w:rPr>
                <w:rFonts w:ascii="Arial" w:cs="Arial" w:eastAsia="Arial" w:hAnsi="Arial"/>
                <w:sz w:val="19"/>
                <w:szCs w:val="19"/>
                <w:color w:val="auto"/>
              </w:rPr>
              <w:t>_____________</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2" w:lineRule="exact"/>
        <w:rPr>
          <w:sz w:val="20"/>
          <w:szCs w:val="20"/>
          <w:color w:val="auto"/>
        </w:rPr>
      </w:pPr>
    </w:p>
    <w:p>
      <w:pPr>
        <w:ind w:left="620" w:hanging="308"/>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Includes the acquisition of Kilpatrick</w:t>
      </w:r>
    </w:p>
    <w:p>
      <w:pPr>
        <w:spacing w:after="0" w:line="21" w:lineRule="exact"/>
        <w:rPr>
          <w:rFonts w:ascii="Arial" w:cs="Arial" w:eastAsia="Arial" w:hAnsi="Arial"/>
          <w:sz w:val="19"/>
          <w:szCs w:val="19"/>
          <w:color w:val="auto"/>
        </w:rPr>
      </w:pPr>
    </w:p>
    <w:p>
      <w:pPr>
        <w:ind w:left="620" w:right="339" w:hanging="308"/>
        <w:spacing w:after="0" w:line="259" w:lineRule="auto"/>
        <w:tabs>
          <w:tab w:leader="none" w:pos="620" w:val="left"/>
        </w:tabs>
        <w:numPr>
          <w:ilvl w:val="0"/>
          <w:numId w:val="3"/>
        </w:numPr>
        <w:rPr>
          <w:rFonts w:ascii="Arial" w:cs="Arial" w:eastAsia="Arial" w:hAnsi="Arial"/>
          <w:sz w:val="19"/>
          <w:szCs w:val="19"/>
          <w:i w:val="1"/>
          <w:iCs w:val="1"/>
          <w:color w:val="auto"/>
        </w:rPr>
      </w:pPr>
      <w:r>
        <w:rPr>
          <w:rFonts w:ascii="Arial" w:cs="Arial" w:eastAsia="Arial" w:hAnsi="Arial"/>
          <w:sz w:val="19"/>
          <w:szCs w:val="19"/>
          <w:color w:val="auto"/>
        </w:rPr>
        <w:t>Includes the acquisition of First Guaranty and the termination of the reinsurance assumed from Servicemembers’ Group Life Insurance (“SGLI”)</w:t>
      </w: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5" w:name="page6"/>
    <w:bookmarkEnd w:id="5"/>
    <w:p>
      <w:pPr>
        <w:ind w:left="240"/>
        <w:spacing w:after="0"/>
        <w:rPr>
          <w:sz w:val="20"/>
          <w:szCs w:val="20"/>
          <w:color w:val="auto"/>
        </w:rPr>
      </w:pPr>
      <w:r>
        <w:rPr>
          <w:rFonts w:ascii="Arial" w:cs="Arial" w:eastAsia="Arial" w:hAnsi="Arial"/>
          <w:sz w:val="19"/>
          <w:szCs w:val="19"/>
          <w:i w:val="1"/>
          <w:iCs w:val="1"/>
          <w:color w:val="auto"/>
        </w:rPr>
        <w:t>Underwriting</w:t>
      </w:r>
    </w:p>
    <w:p>
      <w:pPr>
        <w:spacing w:after="0" w:line="231" w:lineRule="exact"/>
        <w:rPr>
          <w:sz w:val="20"/>
          <w:szCs w:val="20"/>
          <w:color w:val="auto"/>
        </w:rPr>
      </w:pPr>
    </w:p>
    <w:p>
      <w:pPr>
        <w:jc w:val="both"/>
        <w:ind w:right="319"/>
        <w:spacing w:after="0" w:line="275" w:lineRule="auto"/>
        <w:rPr>
          <w:sz w:val="20"/>
          <w:szCs w:val="20"/>
          <w:color w:val="auto"/>
        </w:rPr>
      </w:pPr>
      <w:r>
        <w:rPr>
          <w:rFonts w:ascii="Arial" w:cs="Arial" w:eastAsia="Arial" w:hAnsi="Arial"/>
          <w:sz w:val="18"/>
          <w:szCs w:val="18"/>
          <w:color w:val="auto"/>
        </w:rPr>
        <w:t>The factors considered in evaluating an application for ordinary life insurance coverage can include the applicant’s age, occupation, general health, and medical history. Upon receipt of a satisfactory (non-funeral plan insurance) application, which contains pertinent medical questions, the Company issues insurance based upon its medical limits and requirements subject to the following general non-medical limits:</w:t>
      </w:r>
    </w:p>
    <w:p>
      <w:pPr>
        <w:spacing w:after="0" w:line="186"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9"/>
                <w:szCs w:val="19"/>
                <w:color w:val="auto"/>
              </w:rPr>
              <w:t>Age Nearest</w:t>
            </w:r>
          </w:p>
        </w:tc>
        <w:tc>
          <w:tcPr>
            <w:tcW w:w="2100" w:type="dxa"/>
            <w:vAlign w:val="bottom"/>
          </w:tcPr>
          <w:p>
            <w:pPr>
              <w:spacing w:after="0"/>
              <w:rPr>
                <w:sz w:val="19"/>
                <w:szCs w:val="19"/>
                <w:color w:val="auto"/>
              </w:rPr>
            </w:pPr>
          </w:p>
        </w:tc>
        <w:tc>
          <w:tcPr>
            <w:tcW w:w="2220" w:type="dxa"/>
            <w:vAlign w:val="bottom"/>
            <w:gridSpan w:val="3"/>
          </w:tcPr>
          <w:p>
            <w:pPr>
              <w:jc w:val="center"/>
              <w:ind w:right="120"/>
              <w:spacing w:after="0"/>
              <w:rPr>
                <w:sz w:val="20"/>
                <w:szCs w:val="20"/>
                <w:color w:val="auto"/>
              </w:rPr>
            </w:pPr>
            <w:r>
              <w:rPr>
                <w:rFonts w:ascii="Arial" w:cs="Arial" w:eastAsia="Arial" w:hAnsi="Arial"/>
                <w:sz w:val="19"/>
                <w:szCs w:val="19"/>
                <w:color w:val="auto"/>
                <w:w w:val="95"/>
              </w:rPr>
              <w:t>Non-Medical</w:t>
            </w:r>
          </w:p>
        </w:tc>
      </w:tr>
      <w:tr>
        <w:trPr>
          <w:trHeight w:val="228"/>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9"/>
                <w:szCs w:val="19"/>
                <w:color w:val="auto"/>
              </w:rPr>
              <w:t>Birthday</w:t>
            </w:r>
          </w:p>
        </w:tc>
        <w:tc>
          <w:tcPr>
            <w:tcW w:w="2100" w:type="dxa"/>
            <w:vAlign w:val="bottom"/>
          </w:tcPr>
          <w:p>
            <w:pPr>
              <w:spacing w:after="0"/>
              <w:rPr>
                <w:sz w:val="19"/>
                <w:szCs w:val="19"/>
                <w:color w:val="auto"/>
              </w:rPr>
            </w:pPr>
          </w:p>
        </w:tc>
        <w:tc>
          <w:tcPr>
            <w:tcW w:w="2220" w:type="dxa"/>
            <w:vAlign w:val="bottom"/>
            <w:gridSpan w:val="3"/>
          </w:tcPr>
          <w:p>
            <w:pPr>
              <w:jc w:val="center"/>
              <w:ind w:right="120"/>
              <w:spacing w:after="0"/>
              <w:rPr>
                <w:sz w:val="20"/>
                <w:szCs w:val="20"/>
                <w:color w:val="auto"/>
              </w:rPr>
            </w:pPr>
            <w:r>
              <w:rPr>
                <w:rFonts w:ascii="Arial" w:cs="Arial" w:eastAsia="Arial" w:hAnsi="Arial"/>
                <w:sz w:val="19"/>
                <w:szCs w:val="19"/>
                <w:color w:val="auto"/>
              </w:rPr>
              <w:t>Limits</w:t>
            </w:r>
          </w:p>
        </w:tc>
      </w:tr>
      <w:tr>
        <w:trPr>
          <w:trHeight w:val="26"/>
        </w:trPr>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r>
      <w:tr>
        <w:trPr>
          <w:trHeight w:val="251"/>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0-50</w:t>
            </w:r>
          </w:p>
        </w:tc>
        <w:tc>
          <w:tcPr>
            <w:tcW w:w="2180" w:type="dxa"/>
            <w:vAlign w:val="bottom"/>
            <w:shd w:val="clear" w:color="auto" w:fill="CCEEFF"/>
          </w:tcPr>
          <w:p>
            <w:pPr>
              <w:spacing w:after="0"/>
              <w:rPr>
                <w:sz w:val="21"/>
                <w:szCs w:val="21"/>
                <w:color w:val="auto"/>
              </w:rPr>
            </w:pPr>
          </w:p>
        </w:tc>
        <w:tc>
          <w:tcPr>
            <w:tcW w:w="210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rPr>
              <w:t>$</w:t>
            </w:r>
          </w:p>
        </w:tc>
        <w:tc>
          <w:tcPr>
            <w:tcW w:w="2220" w:type="dxa"/>
            <w:vAlign w:val="bottom"/>
            <w:gridSpan w:val="3"/>
            <w:shd w:val="clear" w:color="auto" w:fill="CCEEFF"/>
          </w:tcPr>
          <w:p>
            <w:pPr>
              <w:jc w:val="center"/>
              <w:ind w:right="120"/>
              <w:spacing w:after="0"/>
              <w:rPr>
                <w:sz w:val="20"/>
                <w:szCs w:val="20"/>
                <w:color w:val="auto"/>
              </w:rPr>
            </w:pPr>
            <w:r>
              <w:rPr>
                <w:rFonts w:ascii="Arial" w:cs="Arial" w:eastAsia="Arial" w:hAnsi="Arial"/>
                <w:sz w:val="19"/>
                <w:szCs w:val="19"/>
                <w:color w:val="auto"/>
                <w:w w:val="90"/>
              </w:rPr>
              <w:t>100,000</w:t>
            </w:r>
          </w:p>
        </w:tc>
      </w:tr>
      <w:tr>
        <w:trPr>
          <w:trHeight w:val="248"/>
        </w:trPr>
        <w:tc>
          <w:tcPr>
            <w:tcW w:w="2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Arial" w:cs="Arial" w:eastAsia="Arial" w:hAnsi="Arial"/>
                <w:sz w:val="19"/>
                <w:szCs w:val="19"/>
                <w:color w:val="auto"/>
              </w:rPr>
              <w:t>51-up</w:t>
            </w:r>
          </w:p>
        </w:tc>
        <w:tc>
          <w:tcPr>
            <w:tcW w:w="2100" w:type="dxa"/>
            <w:vAlign w:val="bottom"/>
          </w:tcPr>
          <w:p>
            <w:pPr>
              <w:spacing w:after="0"/>
              <w:rPr>
                <w:sz w:val="21"/>
                <w:szCs w:val="21"/>
                <w:color w:val="auto"/>
              </w:rPr>
            </w:pPr>
          </w:p>
        </w:tc>
        <w:tc>
          <w:tcPr>
            <w:tcW w:w="2220" w:type="dxa"/>
            <w:vAlign w:val="bottom"/>
            <w:gridSpan w:val="3"/>
          </w:tcPr>
          <w:p>
            <w:pPr>
              <w:jc w:val="center"/>
              <w:ind w:right="100"/>
              <w:spacing w:after="0"/>
              <w:rPr>
                <w:sz w:val="20"/>
                <w:szCs w:val="20"/>
                <w:color w:val="auto"/>
              </w:rPr>
            </w:pPr>
            <w:r>
              <w:rPr>
                <w:rFonts w:ascii="Arial" w:cs="Arial" w:eastAsia="Arial" w:hAnsi="Arial"/>
                <w:sz w:val="19"/>
                <w:szCs w:val="19"/>
                <w:color w:val="auto"/>
                <w:w w:val="97"/>
              </w:rPr>
              <w:t>Medical information</w:t>
            </w:r>
          </w:p>
        </w:tc>
      </w:tr>
      <w:tr>
        <w:trPr>
          <w:trHeight w:val="253"/>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2220" w:type="dxa"/>
            <w:vAlign w:val="bottom"/>
            <w:gridSpan w:val="3"/>
            <w:shd w:val="clear" w:color="auto" w:fill="CCEEFF"/>
          </w:tcPr>
          <w:p>
            <w:pPr>
              <w:jc w:val="center"/>
              <w:ind w:right="120"/>
              <w:spacing w:after="0"/>
              <w:rPr>
                <w:sz w:val="20"/>
                <w:szCs w:val="20"/>
                <w:color w:val="auto"/>
              </w:rPr>
            </w:pPr>
            <w:r>
              <w:rPr>
                <w:rFonts w:ascii="Arial" w:cs="Arial" w:eastAsia="Arial" w:hAnsi="Arial"/>
                <w:sz w:val="19"/>
                <w:szCs w:val="19"/>
                <w:color w:val="auto"/>
                <w:w w:val="93"/>
              </w:rPr>
              <w:t>required (APS or exam)</w:t>
            </w:r>
          </w:p>
        </w:tc>
      </w:tr>
    </w:tbl>
    <w:p>
      <w:pPr>
        <w:spacing w:after="0" w:line="128"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When underwriting life insurance, the Company will sometimes issue policies with higher premium rates for substandard risks.</w:t>
      </w:r>
    </w:p>
    <w:p>
      <w:pPr>
        <w:spacing w:after="0" w:line="170"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The Company’s funeral plan insurance is written on a simplified medical application with underwriting requirements being a completed application, a phone inspection on the applicant, and an intelliscript prescription history inquiry. There are several underwriting classes in which an applicant can be placed.</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Annuities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Products</w:t>
      </w:r>
    </w:p>
    <w:p>
      <w:pPr>
        <w:spacing w:after="0" w:line="230"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of time, such as an individual’s life, or for such other period as may be designated.</w:t>
      </w:r>
    </w:p>
    <w:p>
      <w:pPr>
        <w:spacing w:after="0" w:line="181"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Annuities have guaranteed interest rates that range from 1% to 6.5% per annum. Rates above the guaranteed interest rate credited are periodically modified by the Board of Directors at its discretion. In order for the Company to realize a profit on an annuity product, the Company must maintain an interest rate spread between its investment income and the interest rate credited to the annuities. Commissions, issuance expenses, and general and administrative expenses are deducted from this interest rate spread.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Markets and Distribution</w:t>
      </w:r>
    </w:p>
    <w:p>
      <w:pPr>
        <w:spacing w:after="0" w:line="230" w:lineRule="exact"/>
        <w:rPr>
          <w:sz w:val="20"/>
          <w:szCs w:val="20"/>
          <w:color w:val="auto"/>
        </w:rPr>
      </w:pPr>
    </w:p>
    <w:p>
      <w:pPr>
        <w:jc w:val="both"/>
        <w:ind w:right="319"/>
        <w:spacing w:after="0" w:line="282" w:lineRule="auto"/>
        <w:rPr>
          <w:sz w:val="20"/>
          <w:szCs w:val="20"/>
          <w:color w:val="auto"/>
        </w:rPr>
      </w:pPr>
      <w:r>
        <w:rPr>
          <w:rFonts w:ascii="Arial" w:cs="Arial" w:eastAsia="Arial" w:hAnsi="Arial"/>
          <w:sz w:val="18"/>
          <w:szCs w:val="18"/>
          <w:color w:val="auto"/>
        </w:rPr>
        <w:t>The general market for the Company’s annuities is middle to older age individuals. A major source of annuity sales come from direct agents and are sold in conjunction with other insurance sales. If an individual does not qualify for a funeral plan, the agent will often sell that individual an annuity to fund final expenses.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annuity business for the five years ended December 31,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2019</w:t>
            </w:r>
          </w:p>
        </w:tc>
        <w:tc>
          <w:tcPr>
            <w:tcW w:w="4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2017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2016</w:t>
            </w:r>
          </w:p>
        </w:tc>
        <w:tc>
          <w:tcPr>
            <w:tcW w:w="440" w:type="dxa"/>
            <w:vAlign w:val="bottom"/>
            <w:tcBorders>
              <w:bottom w:val="single" w:sz="8" w:color="CCEEFF"/>
            </w:tcBorders>
          </w:tcPr>
          <w:p>
            <w:pPr>
              <w:spacing w:after="0"/>
              <w:rPr>
                <w:sz w:val="18"/>
                <w:szCs w:val="18"/>
                <w:color w:val="auto"/>
              </w:rPr>
            </w:pPr>
          </w:p>
        </w:tc>
      </w:tr>
      <w:tr>
        <w:trPr>
          <w:trHeight w:val="224"/>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Annuities Policy/Cert Count as of December 31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25,476</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26,565</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91"/>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22,729</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21,364</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91"/>
              </w:rPr>
              <w:t>(2)</w:t>
            </w:r>
          </w:p>
        </w:tc>
      </w:tr>
      <w:tr>
        <w:trPr>
          <w:trHeight w:val="204"/>
        </w:trPr>
        <w:tc>
          <w:tcPr>
            <w:tcW w:w="3380" w:type="dxa"/>
            <w:vAlign w:val="bottom"/>
          </w:tcPr>
          <w:p>
            <w:pPr>
              <w:spacing w:after="0"/>
              <w:rPr>
                <w:sz w:val="20"/>
                <w:szCs w:val="20"/>
                <w:color w:val="auto"/>
              </w:rPr>
            </w:pPr>
            <w:r>
              <w:rPr>
                <w:rFonts w:ascii="Arial" w:cs="Arial" w:eastAsia="Arial" w:hAnsi="Arial"/>
                <w:sz w:val="16"/>
                <w:szCs w:val="16"/>
                <w:color w:val="auto"/>
              </w:rPr>
              <w:t>Deposits Collected (omitted 000)</w:t>
            </w:r>
          </w:p>
        </w:tc>
        <w:tc>
          <w:tcPr>
            <w:tcW w:w="760" w:type="dxa"/>
            <w:vAlign w:val="bottom"/>
          </w:tcPr>
          <w:p>
            <w:pPr>
              <w:jc w:val="right"/>
              <w:spacing w:after="0"/>
              <w:rPr>
                <w:sz w:val="20"/>
                <w:szCs w:val="20"/>
                <w:color w:val="auto"/>
              </w:rPr>
            </w:pPr>
            <w:r>
              <w:rPr>
                <w:rFonts w:ascii="Arial" w:cs="Arial" w:eastAsia="Arial" w:hAnsi="Arial"/>
                <w:sz w:val="16"/>
                <w:szCs w:val="16"/>
                <w:color w:val="auto"/>
              </w:rPr>
              <w:t>$9,637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$10,400</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w w:val="91"/>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$9,644</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$10,353</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$11,019</w:t>
            </w:r>
          </w:p>
        </w:tc>
        <w:tc>
          <w:tcPr>
            <w:tcW w:w="440" w:type="dxa"/>
            <w:vAlign w:val="bottom"/>
          </w:tcPr>
          <w:p>
            <w:pPr>
              <w:jc w:val="right"/>
              <w:ind w:right="161"/>
              <w:spacing w:after="0"/>
              <w:rPr>
                <w:sz w:val="20"/>
                <w:szCs w:val="20"/>
                <w:color w:val="auto"/>
              </w:rPr>
            </w:pPr>
            <w:r>
              <w:rPr>
                <w:rFonts w:ascii="Arial" w:cs="Arial" w:eastAsia="Arial" w:hAnsi="Arial"/>
                <w:sz w:val="16"/>
                <w:szCs w:val="16"/>
                <w:color w:val="auto"/>
                <w:w w:val="91"/>
              </w:rPr>
              <w:t>(2)</w:t>
            </w:r>
          </w:p>
        </w:tc>
      </w:tr>
      <w:tr>
        <w:trPr>
          <w:trHeight w:val="249"/>
        </w:trPr>
        <w:tc>
          <w:tcPr>
            <w:tcW w:w="3380" w:type="dxa"/>
            <w:vAlign w:val="bottom"/>
          </w:tcPr>
          <w:p>
            <w:pPr>
              <w:spacing w:after="0"/>
              <w:rPr>
                <w:sz w:val="20"/>
                <w:szCs w:val="20"/>
                <w:color w:val="auto"/>
              </w:rPr>
            </w:pPr>
            <w:r>
              <w:rPr>
                <w:rFonts w:ascii="Arial" w:cs="Arial" w:eastAsia="Arial" w:hAnsi="Arial"/>
                <w:sz w:val="19"/>
                <w:szCs w:val="19"/>
                <w:color w:val="auto"/>
              </w:rPr>
              <w:t>____________</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202" w:lineRule="exact"/>
        <w:rPr>
          <w:sz w:val="20"/>
          <w:szCs w:val="20"/>
          <w:color w:val="auto"/>
        </w:rPr>
      </w:pPr>
    </w:p>
    <w:p>
      <w:pPr>
        <w:ind w:left="620" w:hanging="30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Includes the acquisition of Kilpatrick</w:t>
      </w:r>
    </w:p>
    <w:p>
      <w:pPr>
        <w:spacing w:after="0" w:line="21" w:lineRule="exact"/>
        <w:rPr>
          <w:rFonts w:ascii="Arial" w:cs="Arial" w:eastAsia="Arial" w:hAnsi="Arial"/>
          <w:sz w:val="19"/>
          <w:szCs w:val="19"/>
          <w:color w:val="auto"/>
        </w:rPr>
      </w:pPr>
    </w:p>
    <w:p>
      <w:pPr>
        <w:ind w:left="620" w:hanging="30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Includes the acquisition of First Guaranty</w:t>
      </w: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Accident and Health</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9"/>
          <w:szCs w:val="19"/>
          <w:i w:val="1"/>
          <w:iCs w:val="1"/>
          <w:color w:val="auto"/>
        </w:rPr>
        <w:t>Products</w:t>
      </w:r>
    </w:p>
    <w:p>
      <w:pPr>
        <w:spacing w:after="0" w:line="230" w:lineRule="exact"/>
        <w:rPr>
          <w:sz w:val="20"/>
          <w:szCs w:val="20"/>
          <w:color w:val="auto"/>
        </w:rPr>
      </w:pPr>
    </w:p>
    <w:p>
      <w:pPr>
        <w:jc w:val="both"/>
        <w:ind w:right="319"/>
        <w:spacing w:after="0" w:line="275" w:lineRule="auto"/>
        <w:rPr>
          <w:sz w:val="20"/>
          <w:szCs w:val="20"/>
          <w:color w:val="auto"/>
        </w:rPr>
      </w:pPr>
      <w:r>
        <w:rPr>
          <w:rFonts w:ascii="Arial" w:cs="Arial" w:eastAsia="Arial" w:hAnsi="Arial"/>
          <w:sz w:val="18"/>
          <w:szCs w:val="18"/>
          <w:color w:val="auto"/>
        </w:rPr>
        <w:t>With the acquisition of Capital Investors in 1994, the Company acquired a small block of accident and health policies. Since 1999, the Company has offered a low-cost comprehensive diver’s accident policy that provides worldwide coverage for medical expense reimbursement in the event of a diving accident. With the acquisition of Kilpatrick in 2019, the Company also acquired a block of accident and health policies.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9"/>
          <w:szCs w:val="19"/>
          <w:i w:val="1"/>
          <w:iCs w:val="1"/>
          <w:color w:val="auto"/>
        </w:rPr>
        <w:t>Markets and Distribution</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The Company currently markets its diver’s accident policies through the internet.</w:t>
      </w:r>
    </w:p>
    <w:p>
      <w:pPr>
        <w:spacing w:after="0" w:line="230"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The following table summarizes the accident and health insurance business for the five years ended December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1"/>
                <w:szCs w:val="21"/>
                <w:color w:val="auto"/>
              </w:rPr>
            </w:pPr>
          </w:p>
        </w:tc>
        <w:tc>
          <w:tcPr>
            <w:tcW w:w="780" w:type="dxa"/>
            <w:vAlign w:val="bottom"/>
          </w:tcPr>
          <w:p>
            <w:pPr>
              <w:jc w:val="right"/>
              <w:ind w:right="89"/>
              <w:spacing w:after="0"/>
              <w:rPr>
                <w:sz w:val="20"/>
                <w:szCs w:val="20"/>
                <w:color w:val="auto"/>
              </w:rPr>
            </w:pPr>
            <w:r>
              <w:rPr>
                <w:rFonts w:ascii="Arial" w:cs="Arial" w:eastAsia="Arial" w:hAnsi="Arial"/>
                <w:sz w:val="19"/>
                <w:szCs w:val="19"/>
                <w:color w:val="auto"/>
              </w:rPr>
              <w:t>2020</w:t>
            </w:r>
          </w:p>
        </w:tc>
        <w:tc>
          <w:tcPr>
            <w:tcW w:w="140" w:type="dxa"/>
            <w:vAlign w:val="bottom"/>
          </w:tcPr>
          <w:p>
            <w:pPr>
              <w:spacing w:after="0"/>
              <w:rPr>
                <w:sz w:val="21"/>
                <w:szCs w:val="21"/>
                <w:color w:val="auto"/>
              </w:rPr>
            </w:pPr>
          </w:p>
        </w:tc>
        <w:tc>
          <w:tcPr>
            <w:tcW w:w="780" w:type="dxa"/>
            <w:vAlign w:val="bottom"/>
          </w:tcPr>
          <w:p>
            <w:pPr>
              <w:jc w:val="right"/>
              <w:ind w:right="109"/>
              <w:spacing w:after="0"/>
              <w:rPr>
                <w:sz w:val="20"/>
                <w:szCs w:val="20"/>
                <w:color w:val="auto"/>
              </w:rPr>
            </w:pPr>
            <w:r>
              <w:rPr>
                <w:rFonts w:ascii="Arial" w:cs="Arial" w:eastAsia="Arial" w:hAnsi="Arial"/>
                <w:sz w:val="19"/>
                <w:szCs w:val="19"/>
                <w:color w:val="auto"/>
              </w:rPr>
              <w:t>2019</w:t>
            </w:r>
          </w:p>
        </w:tc>
        <w:tc>
          <w:tcPr>
            <w:tcW w:w="240" w:type="dxa"/>
            <w:vAlign w:val="bottom"/>
          </w:tcPr>
          <w:p>
            <w:pPr>
              <w:spacing w:after="0"/>
              <w:rPr>
                <w:sz w:val="21"/>
                <w:szCs w:val="21"/>
                <w:color w:val="auto"/>
              </w:rPr>
            </w:pPr>
          </w:p>
        </w:tc>
        <w:tc>
          <w:tcPr>
            <w:tcW w:w="860" w:type="dxa"/>
            <w:vAlign w:val="bottom"/>
          </w:tcPr>
          <w:p>
            <w:pPr>
              <w:jc w:val="right"/>
              <w:ind w:right="149"/>
              <w:spacing w:after="0"/>
              <w:rPr>
                <w:sz w:val="20"/>
                <w:szCs w:val="20"/>
                <w:color w:val="auto"/>
              </w:rPr>
            </w:pPr>
            <w:r>
              <w:rPr>
                <w:rFonts w:ascii="Arial" w:cs="Arial" w:eastAsia="Arial" w:hAnsi="Arial"/>
                <w:sz w:val="19"/>
                <w:szCs w:val="19"/>
                <w:color w:val="auto"/>
              </w:rPr>
              <w:t>2018</w:t>
            </w:r>
          </w:p>
        </w:tc>
        <w:tc>
          <w:tcPr>
            <w:tcW w:w="60" w:type="dxa"/>
            <w:vAlign w:val="bottom"/>
          </w:tcPr>
          <w:p>
            <w:pPr>
              <w:spacing w:after="0"/>
              <w:rPr>
                <w:sz w:val="21"/>
                <w:szCs w:val="21"/>
                <w:color w:val="auto"/>
              </w:rPr>
            </w:pPr>
          </w:p>
        </w:tc>
        <w:tc>
          <w:tcPr>
            <w:tcW w:w="780" w:type="dxa"/>
            <w:vAlign w:val="bottom"/>
          </w:tcPr>
          <w:p>
            <w:pPr>
              <w:jc w:val="right"/>
              <w:ind w:right="89"/>
              <w:spacing w:after="0"/>
              <w:rPr>
                <w:sz w:val="20"/>
                <w:szCs w:val="20"/>
                <w:color w:val="auto"/>
              </w:rPr>
            </w:pPr>
            <w:r>
              <w:rPr>
                <w:rFonts w:ascii="Arial" w:cs="Arial" w:eastAsia="Arial" w:hAnsi="Arial"/>
                <w:sz w:val="19"/>
                <w:szCs w:val="19"/>
                <w:color w:val="auto"/>
              </w:rPr>
              <w:t>2017</w:t>
            </w:r>
          </w:p>
        </w:tc>
        <w:tc>
          <w:tcPr>
            <w:tcW w:w="80" w:type="dxa"/>
            <w:vAlign w:val="bottom"/>
          </w:tcPr>
          <w:p>
            <w:pPr>
              <w:spacing w:after="0"/>
              <w:rPr>
                <w:sz w:val="21"/>
                <w:szCs w:val="21"/>
                <w:color w:val="auto"/>
              </w:rPr>
            </w:pPr>
          </w:p>
        </w:tc>
        <w:tc>
          <w:tcPr>
            <w:tcW w:w="800" w:type="dxa"/>
            <w:vAlign w:val="bottom"/>
          </w:tcPr>
          <w:p>
            <w:pPr>
              <w:jc w:val="right"/>
              <w:ind w:right="109"/>
              <w:spacing w:after="0"/>
              <w:rPr>
                <w:sz w:val="20"/>
                <w:szCs w:val="20"/>
                <w:color w:val="auto"/>
              </w:rPr>
            </w:pPr>
            <w:r>
              <w:rPr>
                <w:rFonts w:ascii="Arial" w:cs="Arial" w:eastAsia="Arial" w:hAnsi="Arial"/>
                <w:sz w:val="19"/>
                <w:szCs w:val="19"/>
                <w:color w:val="auto"/>
              </w:rPr>
              <w:t>2016</w:t>
            </w:r>
          </w:p>
        </w:tc>
      </w:tr>
      <w:tr>
        <w:trPr>
          <w:trHeight w:val="21"/>
        </w:trPr>
        <w:tc>
          <w:tcPr>
            <w:tcW w:w="43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1"/>
        </w:trPr>
        <w:tc>
          <w:tcPr>
            <w:tcW w:w="4300" w:type="dxa"/>
            <w:vAlign w:val="bottom"/>
            <w:shd w:val="clear" w:color="auto" w:fill="CCEEFF"/>
          </w:tcPr>
          <w:p>
            <w:pPr>
              <w:spacing w:after="0" w:line="201" w:lineRule="exact"/>
              <w:rPr>
                <w:sz w:val="20"/>
                <w:szCs w:val="20"/>
                <w:color w:val="auto"/>
              </w:rPr>
            </w:pPr>
            <w:r>
              <w:rPr>
                <w:rFonts w:ascii="Arial" w:cs="Arial" w:eastAsia="Arial" w:hAnsi="Arial"/>
                <w:sz w:val="19"/>
                <w:szCs w:val="19"/>
                <w:color w:val="auto"/>
              </w:rPr>
              <w:t>Accident and Health Policy/Cert Count as of</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54"/>
        </w:trPr>
        <w:tc>
          <w:tcPr>
            <w:tcW w:w="4300" w:type="dxa"/>
            <w:vAlign w:val="bottom"/>
            <w:shd w:val="clear" w:color="auto" w:fill="CCEEFF"/>
          </w:tcPr>
          <w:p>
            <w:pPr>
              <w:spacing w:after="0"/>
              <w:rPr>
                <w:sz w:val="20"/>
                <w:szCs w:val="20"/>
                <w:color w:val="auto"/>
              </w:rPr>
            </w:pPr>
            <w:r>
              <w:rPr>
                <w:rFonts w:ascii="Arial" w:cs="Arial" w:eastAsia="Arial" w:hAnsi="Arial"/>
                <w:sz w:val="19"/>
                <w:szCs w:val="19"/>
                <w:color w:val="auto"/>
              </w:rPr>
              <w:t>December 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34"/>
        </w:trPr>
        <w:tc>
          <w:tcPr>
            <w:tcW w:w="4300" w:type="dxa"/>
            <w:vAlign w:val="bottom"/>
          </w:tcPr>
          <w:p>
            <w:pPr>
              <w:spacing w:after="0"/>
              <w:rPr>
                <w:sz w:val="20"/>
                <w:szCs w:val="20"/>
                <w:color w:val="auto"/>
              </w:rPr>
            </w:pPr>
            <w:r>
              <w:rPr>
                <w:rFonts w:ascii="Arial" w:cs="Arial" w:eastAsia="Arial" w:hAnsi="Arial"/>
                <w:sz w:val="19"/>
                <w:szCs w:val="19"/>
                <w:color w:val="auto"/>
              </w:rPr>
              <w:t>Premiums Collected (omitted 000)</w:t>
            </w: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46"/>
        </w:trPr>
        <w:tc>
          <w:tcPr>
            <w:tcW w:w="4300" w:type="dxa"/>
            <w:vAlign w:val="bottom"/>
          </w:tcPr>
          <w:p>
            <w:pPr>
              <w:spacing w:after="0"/>
              <w:rPr>
                <w:sz w:val="20"/>
                <w:szCs w:val="20"/>
                <w:color w:val="auto"/>
              </w:rPr>
            </w:pPr>
            <w:r>
              <w:rPr>
                <w:rFonts w:ascii="Arial" w:cs="Arial" w:eastAsia="Arial" w:hAnsi="Arial"/>
                <w:sz w:val="19"/>
                <w:szCs w:val="19"/>
                <w:color w:val="auto"/>
              </w:rPr>
              <w:t>____________</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(1) Includes the acquisition of Kilpatrick</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Reinsurance</w:t>
      </w:r>
    </w:p>
    <w:p>
      <w:pPr>
        <w:spacing w:after="0" w:line="236" w:lineRule="exact"/>
        <w:rPr>
          <w:sz w:val="20"/>
          <w:szCs w:val="20"/>
          <w:color w:val="auto"/>
        </w:rPr>
      </w:pPr>
    </w:p>
    <w:p>
      <w:pPr>
        <w:jc w:val="both"/>
        <w:ind w:right="319"/>
        <w:spacing w:after="0" w:line="282" w:lineRule="auto"/>
        <w:rPr>
          <w:sz w:val="20"/>
          <w:szCs w:val="20"/>
          <w:color w:val="auto"/>
        </w:rPr>
      </w:pPr>
      <w:r>
        <w:rPr>
          <w:rFonts w:ascii="Arial" w:cs="Arial" w:eastAsia="Arial" w:hAnsi="Arial"/>
          <w:sz w:val="18"/>
          <w:szCs w:val="18"/>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167" w:lineRule="exact"/>
        <w:rPr>
          <w:sz w:val="20"/>
          <w:szCs w:val="20"/>
          <w:color w:val="auto"/>
        </w:rPr>
      </w:pPr>
    </w:p>
    <w:p>
      <w:pPr>
        <w:jc w:val="both"/>
        <w:ind w:right="319"/>
        <w:spacing w:after="0" w:line="282" w:lineRule="auto"/>
        <w:rPr>
          <w:sz w:val="20"/>
          <w:szCs w:val="20"/>
          <w:color w:val="auto"/>
        </w:rPr>
      </w:pPr>
      <w:r>
        <w:rPr>
          <w:rFonts w:ascii="Arial" w:cs="Arial" w:eastAsia="Arial" w:hAnsi="Arial"/>
          <w:sz w:val="18"/>
          <w:szCs w:val="18"/>
          <w:color w:val="auto"/>
        </w:rPr>
        <w:t>The Company currently cedes and assumes certain risks with various authorized unaffiliated reinsurers pursuant to reinsurance treaties, which are generally renewed annually. The premiums paid by the Company are based on a number of factors, primarily including the age of the insured and the risk ceded to the reinsurer.</w:t>
      </w:r>
    </w:p>
    <w:p>
      <w:pPr>
        <w:spacing w:after="0" w:line="167" w:lineRule="exact"/>
        <w:rPr>
          <w:sz w:val="20"/>
          <w:szCs w:val="20"/>
          <w:color w:val="auto"/>
        </w:rPr>
      </w:pPr>
    </w:p>
    <w:p>
      <w:pPr>
        <w:jc w:val="both"/>
        <w:ind w:right="319"/>
        <w:spacing w:after="0" w:line="306" w:lineRule="auto"/>
        <w:rPr>
          <w:sz w:val="20"/>
          <w:szCs w:val="20"/>
          <w:color w:val="auto"/>
        </w:rPr>
      </w:pPr>
      <w:r>
        <w:rPr>
          <w:rFonts w:ascii="Arial" w:cs="Arial" w:eastAsia="Arial" w:hAnsi="Arial"/>
          <w:sz w:val="17"/>
          <w:szCs w:val="17"/>
          <w:color w:val="auto"/>
        </w:rPr>
        <w:t>It is the Company’s policy to retain no more than $100,000 of ordinary insurance per insured life, with the excess risk being reinsured. The total amount of life insurance reinsured by other companies as of December 31, 2020, was $377,138,000, which represents approximately 13.0% of the Company’s life insurance in force on that date.</w:t>
      </w:r>
    </w:p>
    <w:p>
      <w:pPr>
        <w:spacing w:after="0" w:line="149" w:lineRule="exact"/>
        <w:rPr>
          <w:sz w:val="20"/>
          <w:szCs w:val="20"/>
          <w:color w:val="auto"/>
        </w:rPr>
      </w:pPr>
    </w:p>
    <w:p>
      <w:pPr>
        <w:jc w:val="both"/>
        <w:ind w:right="339"/>
        <w:spacing w:after="0" w:line="305" w:lineRule="auto"/>
        <w:rPr>
          <w:sz w:val="20"/>
          <w:szCs w:val="20"/>
          <w:color w:val="auto"/>
        </w:rPr>
      </w:pPr>
      <w:r>
        <w:rPr>
          <w:rFonts w:ascii="Arial" w:cs="Arial" w:eastAsia="Arial" w:hAnsi="Arial"/>
          <w:sz w:val="18"/>
          <w:szCs w:val="18"/>
          <w:color w:val="auto"/>
        </w:rPr>
        <w:t>See “Management’s Discussion and Analysis of Results of Operations and Financial Condition” and “Notes to Consolidated Financial Statements” for additional disclosure and discussion regarding reinsurance.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Investments</w:t>
      </w:r>
    </w:p>
    <w:p>
      <w:pPr>
        <w:spacing w:after="0" w:line="236"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The investments that support the Company’s life insurance and annuity obligations are determined by the investment committees of the Company’s subsidiaries and ratified by the full Board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193" w:lineRule="exact"/>
        <w:rPr>
          <w:sz w:val="20"/>
          <w:szCs w:val="20"/>
          <w:color w:val="auto"/>
        </w:rPr>
      </w:pPr>
    </w:p>
    <w:p>
      <w:pPr>
        <w:jc w:val="both"/>
        <w:ind w:right="339"/>
        <w:spacing w:after="0" w:line="305" w:lineRule="auto"/>
        <w:rPr>
          <w:sz w:val="20"/>
          <w:szCs w:val="20"/>
          <w:color w:val="auto"/>
        </w:rPr>
      </w:pPr>
      <w:r>
        <w:rPr>
          <w:rFonts w:ascii="Arial" w:cs="Arial" w:eastAsia="Arial" w:hAnsi="Arial"/>
          <w:sz w:val="18"/>
          <w:szCs w:val="18"/>
          <w:color w:val="auto"/>
        </w:rPr>
        <w:t>See “Management’s Discussion and Analysis of Results of Operations and Financial Condition” and “Notes to Consolidated Financial Statements” for additional disclosure and discussion regarding investments.</w:t>
      </w:r>
    </w:p>
    <w:p>
      <w:pPr>
        <w:spacing w:after="0" w:line="1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Cemetery and Mortuary</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9"/>
          <w:szCs w:val="19"/>
          <w:i w:val="1"/>
          <w:iCs w:val="1"/>
          <w:color w:val="auto"/>
        </w:rPr>
        <w:t>Products</w:t>
      </w:r>
    </w:p>
    <w:p>
      <w:pPr>
        <w:spacing w:after="0" w:line="230" w:lineRule="exact"/>
        <w:rPr>
          <w:sz w:val="20"/>
          <w:szCs w:val="20"/>
          <w:color w:val="auto"/>
        </w:rPr>
      </w:pPr>
    </w:p>
    <w:p>
      <w:pPr>
        <w:jc w:val="both"/>
        <w:ind w:right="319"/>
        <w:spacing w:after="0" w:line="287" w:lineRule="auto"/>
        <w:rPr>
          <w:sz w:val="20"/>
          <w:szCs w:val="20"/>
          <w:color w:val="auto"/>
        </w:rPr>
      </w:pPr>
      <w:r>
        <w:rPr>
          <w:rFonts w:ascii="Arial" w:cs="Arial" w:eastAsia="Arial" w:hAnsi="Arial"/>
          <w:sz w:val="17"/>
          <w:szCs w:val="17"/>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six separate stand-alone mortuary facilities.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Markets and Distribution</w:t>
      </w:r>
    </w:p>
    <w:p>
      <w:pPr>
        <w:spacing w:after="0" w:line="230"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Company’s pre-need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geographic area.</w:t>
      </w:r>
    </w:p>
    <w:p>
      <w:pPr>
        <w:spacing w:after="0" w:line="193" w:lineRule="exact"/>
        <w:rPr>
          <w:sz w:val="20"/>
          <w:szCs w:val="20"/>
          <w:color w:val="auto"/>
        </w:rPr>
      </w:pPr>
    </w:p>
    <w:p>
      <w:pPr>
        <w:jc w:val="both"/>
        <w:ind w:right="319"/>
        <w:spacing w:after="0" w:line="292" w:lineRule="auto"/>
        <w:rPr>
          <w:sz w:val="20"/>
          <w:szCs w:val="20"/>
          <w:color w:val="auto"/>
        </w:rPr>
      </w:pPr>
      <w:r>
        <w:rPr>
          <w:rFonts w:ascii="Arial" w:cs="Arial" w:eastAsia="Arial" w:hAnsi="Arial"/>
          <w:sz w:val="16"/>
          <w:szCs w:val="16"/>
          <w:color w:val="auto"/>
        </w:rPr>
        <w:t>The Company actively seeks to sell its cemetery and funeral products to customers on a pre-need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168"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Potential customers are located via telephone sales prospecting, responses to letters mailed by the pre-planning consultants, newspaper inserts, referrals, and door-to-door canvassing. The Company trains its sales representatives and helps generate leads for them.</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Loans</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Products</w:t>
      </w:r>
    </w:p>
    <w:p>
      <w:pPr>
        <w:spacing w:after="0" w:line="230"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The Company, through its wholly owned subsidiaries, SecurityNational Mortgage and EverLEND Mortgage, are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EverLEND Mortgage is approved by the U.S. Department of Housing and Urban Development (HUD), and other secondary market investors, to originate a variety of residential mortgage loan products, which are subsequently sold to investors. The Company uses internal and external funding sources to fund mortgage loans.</w:t>
      </w:r>
    </w:p>
    <w:p>
      <w:pPr>
        <w:spacing w:after="0" w:line="197"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Security National Life originates and funds commercial real estate loans, residential construction loans, and land development loans for internal investment.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Markets and Distribution</w:t>
      </w:r>
    </w:p>
    <w:p>
      <w:pPr>
        <w:spacing w:after="0" w:line="230"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The Company’s residential mortgage lending services are marketed primarily to real estate brokers, builders and directly with consumers. The Company has a strong retail origination presence in the Utah, Florida, Texas, Nevada and Arizona markets and is experiencing rapid growth with sales representatives in these and many other states across the country. See “Management’s Discussion and Analysis of Results of Operations and Financial Condition” and “Notes to Consolidated Financial Statements” for additional disclosure and discussion regarding mortgage loans.</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Recent Acquisitions and Other Business Activities</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Acquisitions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9"/>
          <w:szCs w:val="19"/>
          <w:i w:val="1"/>
          <w:iCs w:val="1"/>
          <w:u w:val="single" w:color="auto"/>
          <w:color w:val="auto"/>
        </w:rPr>
        <w:t>Acquisition of Kilpatrick Life Insurance Company</w:t>
      </w:r>
    </w:p>
    <w:p>
      <w:pPr>
        <w:spacing w:after="0" w:line="230"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On December 13, 2019, the Company, through its wholly-owned subsidiary, Security National Life, completed a stock purchase transaction with Kilpatrick, a Louisiana domiciled insurance company, and Kilpatrick’s shareholders, to purchase all the outstanding shares of common stock of Kilpatrick.</w:t>
      </w:r>
    </w:p>
    <w:p>
      <w:pPr>
        <w:spacing w:after="0" w:line="184"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Under the terms of the transaction, as set forth in the Stock Purchase Agreement, dated October 11, 2019, the Company paid purchase consideration at the closing of the transaction equal to $23,779,940 subject to a $1,400,000 holdback that was deposited into an interest bearing escrow account to be held for a period of eighteen months from the closing date. The current amount that is available to be disbursed to the prior owners is $598,949.</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9"/>
          <w:szCs w:val="19"/>
          <w:i w:val="1"/>
          <w:iCs w:val="1"/>
          <w:u w:val="single" w:color="auto"/>
          <w:color w:val="auto"/>
        </w:rPr>
        <w:t>Acquisition of Probst Family Funerals and Cremations and Heber Valley Funeral Home</w:t>
      </w:r>
    </w:p>
    <w:p>
      <w:pPr>
        <w:spacing w:after="0" w:line="230" w:lineRule="exact"/>
        <w:rPr>
          <w:sz w:val="20"/>
          <w:szCs w:val="20"/>
          <w:color w:val="auto"/>
        </w:rPr>
      </w:pPr>
    </w:p>
    <w:p>
      <w:pPr>
        <w:jc w:val="both"/>
        <w:ind w:right="319"/>
        <w:spacing w:after="0" w:line="275" w:lineRule="auto"/>
        <w:rPr>
          <w:sz w:val="20"/>
          <w:szCs w:val="20"/>
          <w:color w:val="auto"/>
        </w:rPr>
      </w:pPr>
      <w:r>
        <w:rPr>
          <w:rFonts w:ascii="Arial" w:cs="Arial" w:eastAsia="Arial" w:hAnsi="Arial"/>
          <w:sz w:val="18"/>
          <w:szCs w:val="18"/>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72"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Under the terms of the transaction, as set forth in the Asset Purchase Agreement, dated February 15, 2019, the Company paid the net purchase price of $3,315,647 for the business and assets of Probst Family Funerals and Heber Valley Funeral Home, subject to a $150,000 holdback. In August 2019, this escrow account was settled and $137,550 was paid to the prior owners.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Real Estate Development</w:t>
      </w:r>
    </w:p>
    <w:p>
      <w:pPr>
        <w:spacing w:after="0" w:line="230"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The Company is capitalizing on the opportunity to develop commercial and residential assets on its existing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The Company plans to continue its development endeavors as the market demands.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9"/>
          <w:szCs w:val="19"/>
          <w:i w:val="1"/>
          <w:iCs w:val="1"/>
          <w:u w:val="single" w:color="auto"/>
          <w:color w:val="auto"/>
        </w:rPr>
        <w:t>Center53 Development</w:t>
      </w:r>
    </w:p>
    <w:p>
      <w:pPr>
        <w:spacing w:after="0" w:line="230" w:lineRule="exact"/>
        <w:rPr>
          <w:sz w:val="20"/>
          <w:szCs w:val="20"/>
          <w:color w:val="auto"/>
        </w:rPr>
      </w:pPr>
    </w:p>
    <w:p>
      <w:pPr>
        <w:jc w:val="both"/>
        <w:ind w:right="319"/>
        <w:spacing w:after="0" w:line="249" w:lineRule="auto"/>
        <w:rPr>
          <w:sz w:val="20"/>
          <w:szCs w:val="20"/>
          <w:color w:val="auto"/>
        </w:rPr>
      </w:pPr>
      <w:r>
        <w:rPr>
          <w:rFonts w:ascii="Arial" w:cs="Arial" w:eastAsia="Arial" w:hAnsi="Arial"/>
          <w:sz w:val="19"/>
          <w:szCs w:val="19"/>
          <w:color w:val="auto"/>
        </w:rPr>
        <w:t>In 2015, the Company broke ground and commenced development on the first phase of its new corporate campus. The anticipated project, comprising nearly 20 acres of land that is currently owned by the Company in the central valley of Salt Lake City, is envisioned to be a multi-year, phased development. At full development, the project will include nearly one million square-feet in five buildings, ranging from four to ten stories, and will be serviced by three parking structures with about 4,000 stalls. The first phase of the project includes a building and a parking garage consisting of nearly 200,000 square feet of office space with 748 parking stalls. This phase of the campus was completed in July 2017 and is currently 96% occupied. The second phase of the project began in March 2020 and includes a six story building of nearly 218,000 square feet and a parking garage with approximately 870 stalls. The Company will occupy half of the building as its corporate headquarters, and has leased the remainder of the building. It is anticipated that the Company will occupy the building in September 2021.</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Regulation</w:t>
      </w:r>
    </w:p>
    <w:p>
      <w:pPr>
        <w:spacing w:after="0" w:line="236"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The Company’s insurance subsidiaries are subject to comprehensive regulation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w:t>
      </w:r>
    </w:p>
    <w:p>
      <w:pPr>
        <w:sectPr>
          <w:pgSz w:w="11900" w:h="16838" w:orient="portrait"/>
          <w:cols w:equalWidth="0" w:num="1">
            <w:col w:w="9179"/>
          </w:cols>
          <w:pgMar w:left="1280" w:top="118" w:right="1440" w:bottom="1440" w:gutter="0" w:footer="0" w:header="0"/>
        </w:sect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type w:val="continuous"/>
        </w:sectPr>
      </w:pPr>
    </w:p>
    <w:bookmarkStart w:id="9" w:name="page10"/>
    <w:bookmarkEnd w:id="9"/>
    <w:p>
      <w:pPr>
        <w:jc w:val="both"/>
        <w:ind w:right="319"/>
        <w:spacing w:after="0" w:line="256" w:lineRule="auto"/>
        <w:rPr>
          <w:sz w:val="20"/>
          <w:szCs w:val="20"/>
          <w:color w:val="auto"/>
        </w:rPr>
      </w:pPr>
      <w:r>
        <w:rPr>
          <w:rFonts w:ascii="Arial" w:cs="Arial" w:eastAsia="Arial" w:hAnsi="Arial"/>
          <w:sz w:val="19"/>
          <w:szCs w:val="19"/>
          <w:color w:val="auto"/>
        </w:rPr>
        <w:t>and annuity contracts, policy claims, unearned premiums, and other matters. The Company’s insurance subsidiaries are subject to this type of regulation in any state in which they are licensed to do business. Such regulation could involve additional costs, restrict operations, or delay implementation of the Company’s business plans.</w:t>
      </w:r>
    </w:p>
    <w:p>
      <w:pPr>
        <w:spacing w:after="0" w:line="190"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Company’s life insurance subsidiaries are currently subject to regulation in Utah, Arkansas, Louisiana, Mississippi and Texas under insurance holding company legislation, and other states where applicable. Generally, intercompany transfers of assets and dividend payments from insurance subsidiaries are subject to prior notice of approval from the state insurance department, if they are deemed “extraordinary” under these statutes. The insurance subsidiaries are required, under state insurance laws, to file detailed annual reports with the supervisory agencies in each of the states in which they do business. Their business and accounts are also subject to examination by these agencies. The Company was notified that all of its life insurance subsidiaries have been selected for examination for the year ended December 31, 2020 and periods since their last examination. The Company was last examined in 2016 (First Guaranty Insurance), 2017 (Security National Life) and 2019 (Kilpatrick Life). The Texas Department of Banking also audits pre-need insurance policies that are issued in the state of Texas. Pre-need policies are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also indicates the number of new policies issued for that year, all death claims paid that year, and all premiums received.</w:t>
      </w:r>
    </w:p>
    <w:p>
      <w:pPr>
        <w:spacing w:after="0" w:line="185"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and California. Reports are required to be kept on file on a yearly basis which include financial information concerning the number of spaces sold and, where applicable, funds provided to the Endowment Care Trust Fund. Licenses are issued annually on the basis of such reports. The cemeteries maintain city or county licenses where they conduct business.</w:t>
      </w:r>
    </w:p>
    <w:p>
      <w:pPr>
        <w:spacing w:after="0" w:line="197" w:lineRule="exact"/>
        <w:rPr>
          <w:sz w:val="20"/>
          <w:szCs w:val="20"/>
          <w:color w:val="auto"/>
        </w:rPr>
      </w:pPr>
    </w:p>
    <w:p>
      <w:pPr>
        <w:jc w:val="both"/>
        <w:ind w:right="319"/>
        <w:spacing w:after="0" w:line="266" w:lineRule="auto"/>
        <w:rPr>
          <w:sz w:val="20"/>
          <w:szCs w:val="20"/>
          <w:color w:val="auto"/>
        </w:rPr>
      </w:pPr>
      <w:r>
        <w:rPr>
          <w:rFonts w:ascii="Arial" w:cs="Arial" w:eastAsia="Arial" w:hAnsi="Arial"/>
          <w:sz w:val="18"/>
          <w:szCs w:val="18"/>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procedures for loan origination and underwriting, licensing of brokers and loan officers, quality review audits and the fees that can be charged to borrowers. Each year, the Company is required to have an audit completed for each mortgage subsidiary by an independent registered public accounting firm to verify compliance under some of these regulations. In addition to the government regulations, the Company must meet loan requirements, and underwriting guidelines of various investors who purchase the loans.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Taxes</w:t>
      </w:r>
    </w:p>
    <w:p>
      <w:pPr>
        <w:spacing w:after="0" w:line="236"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The Company may be subject to the corporate Alternative Minimum Tax (AMT) for tax years ending prior to January 1, 2018. The Tax Cuts and Jobs Act (the “Tax Act”) repealed the corporate AMT for tax years beginning after December 31, 2017. Also, under the Tax Act, December 31, 2017 policyholder surplus account balances result in taxable income over a period of eight years.</w:t>
      </w:r>
    </w:p>
    <w:p>
      <w:pPr>
        <w:spacing w:after="0" w:line="197"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194"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Company’s non-life insurance company subsidiaries are taxed in general under the regular corporate tax provisions. The following subsidiaries are regulated as life insurance companies but do not meet the Internal Revenue Code definition of a life insurance company, so they are taxed as insurance companies other than life insurance companies: Memorial Insurance, Southern Security, and Trans-Western.</w:t>
      </w:r>
    </w:p>
    <w:p>
      <w:pPr>
        <w:sectPr>
          <w:pgSz w:w="11900" w:h="16838" w:orient="portrait"/>
          <w:cols w:equalWidth="0" w:num="1">
            <w:col w:w="9179"/>
          </w:cols>
          <w:pgMar w:left="1280" w:top="121" w:right="1440" w:bottom="1440" w:gutter="0" w:footer="0" w:header="0"/>
        </w:sect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Competition</w:t>
      </w:r>
    </w:p>
    <w:p>
      <w:pPr>
        <w:spacing w:after="0" w:line="235" w:lineRule="exact"/>
        <w:rPr>
          <w:sz w:val="20"/>
          <w:szCs w:val="20"/>
          <w:color w:val="auto"/>
        </w:rPr>
      </w:pPr>
    </w:p>
    <w:p>
      <w:pPr>
        <w:jc w:val="both"/>
        <w:ind w:right="319"/>
        <w:spacing w:after="0" w:line="249" w:lineRule="auto"/>
        <w:rPr>
          <w:sz w:val="20"/>
          <w:szCs w:val="20"/>
          <w:color w:val="auto"/>
        </w:rPr>
      </w:pPr>
      <w:r>
        <w:rPr>
          <w:rFonts w:ascii="Arial" w:cs="Arial" w:eastAsia="Arial" w:hAnsi="Arial"/>
          <w:sz w:val="19"/>
          <w:szCs w:val="19"/>
          <w:color w:val="auto"/>
        </w:rPr>
        <w:t>The life insurance industry is highly competitive. There are approximately 800 legal reserve life insurance companies in business in the United States. These insurance companies differentiate themselves through marketing techniques, product features, price, and customer service. The Company’s insurance subsidiaries compete with a large number of insurance companies, many of which have greater financial resources, a longer business history, and more diversified line of insurance products than the Company. In addition, such companies generally have a larger sales force.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200" w:lineRule="exact"/>
        <w:rPr>
          <w:sz w:val="20"/>
          <w:szCs w:val="20"/>
          <w:color w:val="auto"/>
        </w:rPr>
      </w:pPr>
    </w:p>
    <w:p>
      <w:pPr>
        <w:jc w:val="both"/>
        <w:ind w:right="319"/>
        <w:spacing w:after="0" w:line="267" w:lineRule="auto"/>
        <w:rPr>
          <w:sz w:val="20"/>
          <w:szCs w:val="20"/>
          <w:color w:val="auto"/>
        </w:rPr>
      </w:pPr>
      <w:r>
        <w:rPr>
          <w:rFonts w:ascii="Arial" w:cs="Arial" w:eastAsia="Arial" w:hAnsi="Arial"/>
          <w:sz w:val="18"/>
          <w:szCs w:val="18"/>
          <w:color w:val="auto"/>
        </w:rPr>
        <w:t>The cemetery and mortuary industry is also highly competitive. In the Utah and California markets where the Company competes, there are a number of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pre-need sales program that is not incurred by those competitors which do not have a pre-need sales force. The Company believes that its products and prices are generally competitive with those in the industry.</w:t>
      </w:r>
    </w:p>
    <w:p>
      <w:pPr>
        <w:spacing w:after="0" w:line="182" w:lineRule="exact"/>
        <w:rPr>
          <w:sz w:val="20"/>
          <w:szCs w:val="20"/>
          <w:color w:val="auto"/>
        </w:rPr>
      </w:pPr>
    </w:p>
    <w:p>
      <w:pPr>
        <w:jc w:val="both"/>
        <w:ind w:right="319"/>
        <w:spacing w:after="0" w:line="282" w:lineRule="auto"/>
        <w:rPr>
          <w:sz w:val="20"/>
          <w:szCs w:val="20"/>
          <w:color w:val="auto"/>
        </w:rPr>
      </w:pPr>
      <w:r>
        <w:rPr>
          <w:rFonts w:ascii="Arial" w:cs="Arial" w:eastAsia="Arial" w:hAnsi="Arial"/>
          <w:sz w:val="18"/>
          <w:szCs w:val="18"/>
          <w:color w:val="auto"/>
        </w:rPr>
        <w:t>The mortgage industry is highly competitive with a large number of mortgage companies and banks in the same geographic area in which the Company is operating. The mortgage industry in general is sensitive to changes in interest rates and the refinancing market is particularly vulnerable to changes in interest rates.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2020, the Company had 1,511 full-time and 197 part-time employees.</w:t>
      </w: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Item 2. Properties</w:t>
      </w:r>
    </w:p>
    <w:p>
      <w:pPr>
        <w:spacing w:after="0" w:line="235" w:lineRule="exact"/>
        <w:rPr>
          <w:sz w:val="20"/>
          <w:szCs w:val="20"/>
          <w:color w:val="auto"/>
        </w:rPr>
      </w:pPr>
    </w:p>
    <w:p>
      <w:pPr>
        <w:ind w:right="319"/>
        <w:spacing w:after="0" w:line="276" w:lineRule="auto"/>
        <w:rPr>
          <w:sz w:val="20"/>
          <w:szCs w:val="20"/>
          <w:color w:val="auto"/>
        </w:rPr>
      </w:pPr>
      <w:r>
        <w:rPr>
          <w:rFonts w:ascii="Arial" w:cs="Arial" w:eastAsia="Arial" w:hAnsi="Arial"/>
          <w:sz w:val="19"/>
          <w:szCs w:val="19"/>
          <w:color w:val="auto"/>
        </w:rPr>
        <w:t>The following table sets forth the location of the Company’s office facilities and certain other information relating to these properties.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Street</w:t>
            </w:r>
          </w:p>
        </w:tc>
        <w:tc>
          <w:tcPr>
            <w:tcW w:w="1220" w:type="dxa"/>
            <w:vAlign w:val="bottom"/>
            <w:gridSpan w:val="3"/>
            <w:vMerge w:val="restart"/>
          </w:tcPr>
          <w:p>
            <w:pPr>
              <w:ind w:left="620"/>
              <w:spacing w:after="0"/>
              <w:rPr>
                <w:sz w:val="20"/>
                <w:szCs w:val="20"/>
                <w:color w:val="auto"/>
              </w:rPr>
            </w:pPr>
            <w:r>
              <w:rPr>
                <w:rFonts w:ascii="Arial" w:cs="Arial" w:eastAsia="Arial" w:hAnsi="Arial"/>
                <w:sz w:val="12"/>
                <w:szCs w:val="12"/>
                <w:color w:val="auto"/>
              </w:rPr>
              <w:t>City</w:t>
            </w:r>
          </w:p>
        </w:tc>
        <w:tc>
          <w:tcPr>
            <w:tcW w:w="320" w:type="dxa"/>
            <w:vAlign w:val="bottom"/>
            <w:gridSpan w:val="2"/>
            <w:vMerge w:val="restart"/>
          </w:tcPr>
          <w:p>
            <w:pPr>
              <w:ind w:left="80"/>
              <w:spacing w:after="0"/>
              <w:rPr>
                <w:sz w:val="20"/>
                <w:szCs w:val="20"/>
                <w:color w:val="auto"/>
              </w:rPr>
            </w:pPr>
            <w:r>
              <w:rPr>
                <w:rFonts w:ascii="Arial" w:cs="Arial" w:eastAsia="Arial" w:hAnsi="Arial"/>
                <w:sz w:val="12"/>
                <w:szCs w:val="12"/>
                <w:color w:val="auto"/>
                <w:w w:val="78"/>
              </w:rPr>
              <w:t>State</w:t>
            </w:r>
          </w:p>
        </w:tc>
        <w:tc>
          <w:tcPr>
            <w:tcW w:w="74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2"/>
                <w:szCs w:val="12"/>
                <w:color w:val="auto"/>
              </w:rPr>
              <w:t>Function</w:t>
            </w:r>
          </w:p>
        </w:tc>
        <w:tc>
          <w:tcPr>
            <w:tcW w:w="320" w:type="dxa"/>
            <w:vAlign w:val="bottom"/>
          </w:tcPr>
          <w:p>
            <w:pPr>
              <w:spacing w:after="0"/>
              <w:rPr>
                <w:sz w:val="12"/>
                <w:szCs w:val="12"/>
                <w:color w:val="auto"/>
              </w:rPr>
            </w:pPr>
          </w:p>
        </w:tc>
        <w:tc>
          <w:tcPr>
            <w:tcW w:w="660" w:type="dxa"/>
            <w:vAlign w:val="bottom"/>
            <w:gridSpan w:val="4"/>
          </w:tcPr>
          <w:p>
            <w:pPr>
              <w:jc w:val="center"/>
              <w:ind w:right="240"/>
              <w:spacing w:after="0"/>
              <w:rPr>
                <w:sz w:val="20"/>
                <w:szCs w:val="20"/>
                <w:color w:val="auto"/>
              </w:rPr>
            </w:pPr>
            <w:r>
              <w:rPr>
                <w:rFonts w:ascii="Arial" w:cs="Arial" w:eastAsia="Arial" w:hAnsi="Arial"/>
                <w:sz w:val="12"/>
                <w:szCs w:val="12"/>
                <w:color w:val="auto"/>
                <w:w w:val="93"/>
              </w:rPr>
              <w:t>Owned /</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Approximate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Arial" w:cs="Arial" w:eastAsia="Arial" w:hAnsi="Arial"/>
                <w:sz w:val="12"/>
                <w:szCs w:val="12"/>
                <w:color w:val="auto"/>
              </w:rPr>
              <w:t>Lease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3"/>
              </w:rPr>
              <w:t>Expiration</w:t>
            </w:r>
          </w:p>
        </w:tc>
        <w:tc>
          <w:tcPr>
            <w:tcW w:w="0" w:type="dxa"/>
            <w:vAlign w:val="bottom"/>
          </w:tcPr>
          <w:p>
            <w:pPr>
              <w:spacing w:after="0"/>
              <w:rPr>
                <w:sz w:val="1"/>
                <w:szCs w:val="1"/>
                <w:color w:val="auto"/>
              </w:rPr>
            </w:pPr>
          </w:p>
        </w:tc>
      </w:tr>
      <w:tr>
        <w:trPr>
          <w:trHeight w:val="112"/>
        </w:trPr>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Borders>
              <w:top w:val="single" w:sz="8" w:color="auto"/>
            </w:tcBorders>
            <w:gridSpan w:val="3"/>
          </w:tcPr>
          <w:p>
            <w:pPr>
              <w:jc w:val="center"/>
              <w:spacing w:after="0" w:line="112" w:lineRule="exact"/>
              <w:rPr>
                <w:sz w:val="20"/>
                <w:szCs w:val="20"/>
                <w:color w:val="auto"/>
              </w:rPr>
            </w:pPr>
            <w:r>
              <w:rPr>
                <w:rFonts w:ascii="Arial" w:cs="Arial" w:eastAsia="Arial" w:hAnsi="Arial"/>
                <w:sz w:val="12"/>
                <w:szCs w:val="12"/>
                <w:color w:val="auto"/>
                <w:w w:val="91"/>
              </w:rPr>
              <w:t>Leased</w:t>
            </w:r>
          </w:p>
        </w:tc>
        <w:tc>
          <w:tcPr>
            <w:tcW w:w="220" w:type="dxa"/>
            <w:vAlign w:val="bottom"/>
          </w:tcPr>
          <w:p>
            <w:pPr>
              <w:spacing w:after="0"/>
              <w:rPr>
                <w:sz w:val="9"/>
                <w:szCs w:val="9"/>
                <w:color w:val="auto"/>
              </w:rPr>
            </w:pPr>
          </w:p>
        </w:tc>
        <w:tc>
          <w:tcPr>
            <w:tcW w:w="7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w w:val="74"/>
              </w:rPr>
              <w:t>Square Footage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Arial" w:cs="Arial" w:eastAsia="Arial" w:hAnsi="Arial"/>
                <w:sz w:val="12"/>
                <w:szCs w:val="12"/>
                <w:color w:val="auto"/>
                <w:w w:val="77"/>
              </w:rPr>
              <w:t>Amount</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121 W. Election Rd., Suite 100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Draper</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UT</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Corporate Headquarters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Owned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14,145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N/A</w:t>
            </w: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1"/>
        </w:trPr>
        <w:tc>
          <w:tcPr>
            <w:tcW w:w="260" w:type="dxa"/>
            <w:vAlign w:val="bottom"/>
          </w:tcPr>
          <w:p>
            <w:pPr>
              <w:spacing w:after="0" w:line="131" w:lineRule="exact"/>
              <w:rPr>
                <w:sz w:val="20"/>
                <w:szCs w:val="20"/>
                <w:color w:val="auto"/>
              </w:rPr>
            </w:pPr>
            <w:r>
              <w:rPr>
                <w:rFonts w:ascii="Arial" w:cs="Arial" w:eastAsia="Arial" w:hAnsi="Arial"/>
                <w:sz w:val="12"/>
                <w:szCs w:val="12"/>
                <w:color w:val="auto"/>
                <w:w w:val="89"/>
              </w:rPr>
              <w:t>5201</w:t>
            </w:r>
          </w:p>
        </w:tc>
        <w:tc>
          <w:tcPr>
            <w:tcW w:w="1800" w:type="dxa"/>
            <w:vAlign w:val="bottom"/>
            <w:gridSpan w:val="3"/>
          </w:tcPr>
          <w:p>
            <w:pPr>
              <w:ind w:left="20"/>
              <w:spacing w:after="0" w:line="131" w:lineRule="exact"/>
              <w:rPr>
                <w:sz w:val="20"/>
                <w:szCs w:val="20"/>
                <w:color w:val="auto"/>
              </w:rPr>
            </w:pPr>
            <w:r>
              <w:rPr>
                <w:rFonts w:ascii="Arial" w:cs="Arial" w:eastAsia="Arial" w:hAnsi="Arial"/>
                <w:sz w:val="12"/>
                <w:szCs w:val="12"/>
                <w:color w:val="auto"/>
              </w:rPr>
              <w:t>S. Green St.</w:t>
            </w:r>
          </w:p>
        </w:tc>
        <w:tc>
          <w:tcPr>
            <w:tcW w:w="1220" w:type="dxa"/>
            <w:vAlign w:val="bottom"/>
            <w:gridSpan w:val="3"/>
          </w:tcPr>
          <w:p>
            <w:pPr>
              <w:ind w:left="160"/>
              <w:spacing w:after="0" w:line="131" w:lineRule="exact"/>
              <w:rPr>
                <w:sz w:val="20"/>
                <w:szCs w:val="20"/>
                <w:color w:val="auto"/>
              </w:rPr>
            </w:pPr>
            <w:r>
              <w:rPr>
                <w:rFonts w:ascii="Arial" w:cs="Arial" w:eastAsia="Arial" w:hAnsi="Arial"/>
                <w:sz w:val="12"/>
                <w:szCs w:val="12"/>
                <w:color w:val="auto"/>
              </w:rPr>
              <w:t>Salt Lake City</w:t>
            </w:r>
          </w:p>
        </w:tc>
        <w:tc>
          <w:tcPr>
            <w:tcW w:w="320" w:type="dxa"/>
            <w:vAlign w:val="bottom"/>
            <w:gridSpan w:val="2"/>
          </w:tcPr>
          <w:p>
            <w:pPr>
              <w:ind w:left="80"/>
              <w:spacing w:after="0" w:line="131" w:lineRule="exact"/>
              <w:rPr>
                <w:sz w:val="20"/>
                <w:szCs w:val="20"/>
                <w:color w:val="auto"/>
              </w:rPr>
            </w:pPr>
            <w:r>
              <w:rPr>
                <w:rFonts w:ascii="Arial" w:cs="Arial" w:eastAsia="Arial" w:hAnsi="Arial"/>
                <w:sz w:val="12"/>
                <w:szCs w:val="12"/>
                <w:color w:val="auto"/>
              </w:rPr>
              <w:t>UT</w:t>
            </w:r>
          </w:p>
        </w:tc>
        <w:tc>
          <w:tcPr>
            <w:tcW w:w="1580" w:type="dxa"/>
            <w:vAlign w:val="bottom"/>
            <w:gridSpan w:val="3"/>
          </w:tcPr>
          <w:p>
            <w:pPr>
              <w:ind w:left="160"/>
              <w:spacing w:after="0" w:line="131" w:lineRule="exact"/>
              <w:rPr>
                <w:sz w:val="20"/>
                <w:szCs w:val="20"/>
                <w:color w:val="auto"/>
              </w:rPr>
            </w:pPr>
            <w:r>
              <w:rPr>
                <w:rFonts w:ascii="Arial" w:cs="Arial" w:eastAsia="Arial" w:hAnsi="Arial"/>
                <w:sz w:val="12"/>
                <w:szCs w:val="12"/>
                <w:color w:val="auto"/>
              </w:rPr>
              <w:t>Mortgage and Insurance</w:t>
            </w:r>
          </w:p>
        </w:tc>
        <w:tc>
          <w:tcPr>
            <w:tcW w:w="980" w:type="dxa"/>
            <w:vAlign w:val="bottom"/>
            <w:gridSpan w:val="5"/>
          </w:tcPr>
          <w:p>
            <w:pPr>
              <w:ind w:left="200"/>
              <w:spacing w:after="0" w:line="131" w:lineRule="exact"/>
              <w:rPr>
                <w:sz w:val="20"/>
                <w:szCs w:val="20"/>
                <w:color w:val="auto"/>
              </w:rPr>
            </w:pPr>
            <w:r>
              <w:rPr>
                <w:rFonts w:ascii="Arial" w:cs="Arial" w:eastAsia="Arial" w:hAnsi="Arial"/>
                <w:sz w:val="12"/>
                <w:szCs w:val="12"/>
                <w:color w:val="auto"/>
              </w:rPr>
              <w:t>Owned</w:t>
            </w:r>
          </w:p>
        </w:tc>
        <w:tc>
          <w:tcPr>
            <w:tcW w:w="720" w:type="dxa"/>
            <w:vAlign w:val="bottom"/>
          </w:tcPr>
          <w:p>
            <w:pPr>
              <w:jc w:val="right"/>
              <w:ind w:right="138"/>
              <w:spacing w:after="0" w:line="131" w:lineRule="exact"/>
              <w:rPr>
                <w:sz w:val="20"/>
                <w:szCs w:val="20"/>
                <w:color w:val="auto"/>
              </w:rPr>
            </w:pPr>
            <w:r>
              <w:rPr>
                <w:rFonts w:ascii="Arial" w:cs="Arial" w:eastAsia="Arial" w:hAnsi="Arial"/>
                <w:sz w:val="12"/>
                <w:szCs w:val="12"/>
                <w:color w:val="auto"/>
              </w:rPr>
              <w:t>28,448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line="131" w:lineRule="exact"/>
              <w:rPr>
                <w:sz w:val="20"/>
                <w:szCs w:val="20"/>
                <w:color w:val="auto"/>
              </w:rPr>
            </w:pPr>
            <w:r>
              <w:rPr>
                <w:rFonts w:ascii="Arial" w:cs="Arial" w:eastAsia="Arial" w:hAnsi="Arial"/>
                <w:sz w:val="12"/>
                <w:szCs w:val="12"/>
                <w:color w:val="auto"/>
              </w:rPr>
              <w:t>N/A</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20"/>
              <w:spacing w:after="0" w:line="131"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Operations</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1044</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River Oaks Dr.</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Flowood</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MS</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Insurance Operations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Owned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5,522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N/A</w:t>
            </w: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1818</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Marshall St.</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Shreveport</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Insurance Operations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Owned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12,274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812 Sheppard St.</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Minden</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Insurance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Owned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1,560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N/A</w:t>
            </w: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909 Foisy Ave.</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Alexandria</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Insurance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Owned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8,059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1550</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 Third St.</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Jena</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Insurance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Owned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1,737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N/A</w:t>
            </w: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4455</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South 700 East</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Salt Lake City</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UT</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Insurance Operations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16,134</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98"/>
              <w:spacing w:after="0"/>
              <w:rPr>
                <w:sz w:val="20"/>
                <w:szCs w:val="20"/>
                <w:color w:val="auto"/>
              </w:rPr>
            </w:pPr>
            <w:r>
              <w:rPr>
                <w:rFonts w:ascii="Arial" w:cs="Arial" w:eastAsia="Arial" w:hAnsi="Arial"/>
                <w:sz w:val="12"/>
                <w:szCs w:val="12"/>
                <w:color w:val="auto"/>
                <w:w w:val="92"/>
              </w:rPr>
              <w:t>23,196</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6/30/2021</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 Sanctuary Blvd. Suite 302A</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Mandeville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Insurance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1,337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2,196</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6/30/2023</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79 E. Main Street</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Midway</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UT</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Funeral Service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4,476</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5,304</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10/31/2022</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200 Market Way</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Rainbow City</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AL</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Fast Funding Operations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12,850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w w:val="92"/>
              </w:rPr>
              <w:t>10,490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1/31/2025</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6000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Pelham Rd.</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Greenville</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SC</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Fast Funding Operations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4,483</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4,233</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8/31/2022</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199 Deauville Dr.</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Maumelle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AR</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100</w:t>
            </w:r>
          </w:p>
        </w:tc>
        <w:tc>
          <w:tcPr>
            <w:tcW w:w="1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1819</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S. Dobson Rd., Suite 202/203</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Mesa</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2,397</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1,633</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7/31/2021</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17015 N. Scottsdale Rd., Suite 125</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Scottsdale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6,070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7,130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7/31/2023</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4725</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N. 19th Ave.</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Phoenix</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1,480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1,700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5100</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 99th Ave., Suite 101/103</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Phoenix</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3,940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5,348</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5100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N. 99th Ave., Suite 111</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Phoenix</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720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1,023</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8/31/2022</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10609 N. Hayden Rd., Suite 100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Scottsdale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3,585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8,500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11225 N. 28th Dr., #C-200</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Phoenix</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1,031</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2,000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1819</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Dobson Rd., Suite 202</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Mesa</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890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964</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7/31/2021</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2828</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N. Central Ave., Suite 1100A</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Phoenix</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1,691</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4,859</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2777</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 Arizona Ave., Suite 3169</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Chandler</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100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1490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S. Price Road, Suite 318</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Chandler</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AZ</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1,600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3,050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8/31/2021</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2436</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 4th St., Suite 920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Long Beach</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100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40977 Oak Dr.</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Forest Falls</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250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2934</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 Garvey Ave. South, Suite 250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West Covina</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500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712</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1910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Union St., Suite 2020</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Anaheim</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100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573 Chouinard Cir.</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Claremont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7398</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Fox Trail Unit B</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Yucca Valley</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900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550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26511 Silver Spring</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Lake Forest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18647 Marimba St.</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Rowland Heights</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50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2325</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El Empino</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La Habra Heights</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100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445 W. University Ave., Apt. A</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San Deigo</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120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5475</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Tech Center Dr., Suite 100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Colorado Springs</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3,424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4,565</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9/30/2023</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8480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E. Orchard Rd., Suite 4200</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Greenwood Village</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CO</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4,631</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98"/>
              <w:spacing w:after="0"/>
              <w:rPr>
                <w:sz w:val="20"/>
                <w:szCs w:val="20"/>
                <w:color w:val="auto"/>
              </w:rPr>
            </w:pPr>
            <w:r>
              <w:rPr>
                <w:rFonts w:ascii="Arial" w:cs="Arial" w:eastAsia="Arial" w:hAnsi="Arial"/>
                <w:sz w:val="12"/>
                <w:szCs w:val="12"/>
                <w:color w:val="auto"/>
                <w:w w:val="92"/>
              </w:rPr>
              <w:t>10,227</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5/31/2021</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1120 W. 122nd Ave., Suite 104</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Denver</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2,088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3,828</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10/31/2021</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27 Main St., Suite C-104B</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Edwards</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CO</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680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1,600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4501</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Mohawk Dr.</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Larkspur</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250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7800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E. Union Ave., Suite 550</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Denver</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CO</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4,656</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9,312</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9/30/2022</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1145 Town Park Ave., Suite 2215</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Lake Mary</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5,901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w w:val="92"/>
              </w:rPr>
              <w:t>12,835</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2/28/2023</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8191</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College Parkway, Suite 201</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Ft Myers</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4,676</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4,006</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8/21/2021</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1545</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 Belcher Rd., Suite B</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Clearwater</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1,573</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3180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Curlew Rd. Unit 107</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Oldsmar</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1,705</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2,707</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2/14/2023</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113th St. N. and 82nd Ave. N.</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Seminole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1,692</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8/31/2023</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136 Parliament Loop</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Lake Mary</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1,527</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3,100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11/30/2022</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6456</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Cypressdale Dr., Unit 102</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Riverview</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FL</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800 Avalon Blvd., Suite 100</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Alpharetta</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GA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841</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106 A Adamson Square</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Carrolton</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1,000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1,550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10/31/2021</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4370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Kukui Grove St., Suite 201</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Lihue</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HI</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864</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1,412</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2/28/2022</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1001</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Kamokila Blvd.</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Kapolei</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HI</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737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1,708</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12/31/2022</w:t>
            </w:r>
          </w:p>
        </w:tc>
        <w:tc>
          <w:tcPr>
            <w:tcW w:w="0" w:type="dxa"/>
            <w:vAlign w:val="bottom"/>
          </w:tcPr>
          <w:p>
            <w:pPr>
              <w:spacing w:after="0"/>
              <w:rPr>
                <w:sz w:val="1"/>
                <w:szCs w:val="1"/>
                <w:color w:val="auto"/>
              </w:rPr>
            </w:pPr>
          </w:p>
        </w:tc>
      </w:tr>
      <w:tr>
        <w:trPr>
          <w:trHeight w:val="157"/>
        </w:trPr>
        <w:tc>
          <w:tcPr>
            <w:tcW w:w="2060" w:type="dxa"/>
            <w:vAlign w:val="bottom"/>
            <w:gridSpan w:val="4"/>
          </w:tcPr>
          <w:p>
            <w:pPr>
              <w:spacing w:after="0"/>
              <w:rPr>
                <w:sz w:val="20"/>
                <w:szCs w:val="20"/>
                <w:color w:val="auto"/>
              </w:rPr>
            </w:pPr>
            <w:r>
              <w:rPr>
                <w:rFonts w:ascii="Arial" w:cs="Arial" w:eastAsia="Arial" w:hAnsi="Arial"/>
                <w:sz w:val="12"/>
                <w:szCs w:val="12"/>
                <w:color w:val="auto"/>
              </w:rPr>
              <w:t>116 N. 3rd St., Suite 12</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Mccall</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ID</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480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466</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9963</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Crosspoint Blvd Suites 101/102</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Indianapolis</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1,350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1,570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1739</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E. Michigan St.</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Indianapolis</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IN</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100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568 Greenluster Dr.</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Covington</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rPr>
              <w:t>150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750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3828</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Veterans Blvd., Suite 101</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Metairie</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LA</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Sub-Leased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80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rPr>
              <w:t>350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6/30/2021</w:t>
            </w:r>
          </w:p>
        </w:tc>
        <w:tc>
          <w:tcPr>
            <w:tcW w:w="0" w:type="dxa"/>
            <w:vAlign w:val="bottom"/>
          </w:tcPr>
          <w:p>
            <w:pPr>
              <w:spacing w:after="0"/>
              <w:rPr>
                <w:sz w:val="1"/>
                <w:szCs w:val="1"/>
                <w:color w:val="auto"/>
              </w:rPr>
            </w:pPr>
          </w:p>
        </w:tc>
      </w:tr>
      <w:tr>
        <w:trPr>
          <w:trHeight w:val="160"/>
        </w:trPr>
        <w:tc>
          <w:tcPr>
            <w:tcW w:w="260" w:type="dxa"/>
            <w:vAlign w:val="bottom"/>
            <w:shd w:val="clear" w:color="auto" w:fill="CCEEFF"/>
          </w:tcPr>
          <w:p>
            <w:pPr>
              <w:spacing w:after="0"/>
              <w:rPr>
                <w:sz w:val="20"/>
                <w:szCs w:val="20"/>
                <w:color w:val="auto"/>
              </w:rPr>
            </w:pPr>
            <w:r>
              <w:rPr>
                <w:rFonts w:ascii="Arial" w:cs="Arial" w:eastAsia="Arial" w:hAnsi="Arial"/>
                <w:sz w:val="12"/>
                <w:szCs w:val="12"/>
                <w:color w:val="auto"/>
                <w:w w:val="89"/>
              </w:rPr>
              <w:t>8530</w:t>
            </w: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Veterans Hwy</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Millersville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MD</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Borders>
              <w:right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rPr>
              <w:t>4,000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w w:val="99"/>
              </w:rPr>
              <w:t>6,000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4/30/2021</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2"/>
                <w:szCs w:val="12"/>
                <w:color w:val="auto"/>
                <w:w w:val="89"/>
              </w:rPr>
              <w:t>4987</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Fall Creek Rd. Suite 1</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Branson</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MO</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78"/>
              <w:spacing w:after="0"/>
              <w:rPr>
                <w:sz w:val="20"/>
                <w:szCs w:val="20"/>
                <w:color w:val="auto"/>
              </w:rPr>
            </w:pPr>
            <w:r>
              <w:rPr>
                <w:rFonts w:ascii="Arial" w:cs="Arial" w:eastAsia="Arial" w:hAnsi="Arial"/>
                <w:sz w:val="12"/>
                <w:szCs w:val="12"/>
                <w:color w:val="auto"/>
              </w:rPr>
              <w:t>700</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138"/>
              <w:spacing w:after="0"/>
              <w:rPr>
                <w:sz w:val="20"/>
                <w:szCs w:val="20"/>
                <w:color w:val="auto"/>
              </w:rPr>
            </w:pPr>
            <w:r>
              <w:rPr>
                <w:rFonts w:ascii="Arial" w:cs="Arial" w:eastAsia="Arial" w:hAnsi="Arial"/>
                <w:sz w:val="12"/>
                <w:szCs w:val="12"/>
                <w:color w:val="auto"/>
                <w:w w:val="99"/>
              </w:rPr>
              <w:t>1,000</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0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330 Camp Rd., Suite B-39</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Charlotte</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NC</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2"/>
                <w:szCs w:val="12"/>
                <w:color w:val="auto"/>
              </w:rPr>
              <w:t>Leased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650</w:t>
            </w:r>
          </w:p>
        </w:tc>
        <w:tc>
          <w:tcPr>
            <w:tcW w:w="1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20"/>
                <w:szCs w:val="20"/>
                <w:color w:val="auto"/>
              </w:rPr>
            </w:pPr>
            <w:r>
              <w:rPr>
                <w:rFonts w:ascii="Arial" w:cs="Arial" w:eastAsia="Arial" w:hAnsi="Arial"/>
                <w:sz w:val="12"/>
                <w:szCs w:val="12"/>
                <w:color w:val="auto"/>
                <w:w w:val="89"/>
              </w:rPr>
              <w:t>1980</w:t>
            </w:r>
          </w:p>
        </w:tc>
        <w:tc>
          <w:tcPr>
            <w:tcW w:w="1800" w:type="dxa"/>
            <w:vAlign w:val="bottom"/>
            <w:gridSpan w:val="3"/>
          </w:tcPr>
          <w:p>
            <w:pPr>
              <w:ind w:left="20"/>
              <w:spacing w:after="0"/>
              <w:rPr>
                <w:sz w:val="20"/>
                <w:szCs w:val="20"/>
                <w:color w:val="auto"/>
              </w:rPr>
            </w:pPr>
            <w:r>
              <w:rPr>
                <w:rFonts w:ascii="Arial" w:cs="Arial" w:eastAsia="Arial" w:hAnsi="Arial"/>
                <w:sz w:val="12"/>
                <w:szCs w:val="12"/>
                <w:color w:val="auto"/>
              </w:rPr>
              <w:t>Festival Plaza Dr., Suite 850</w:t>
            </w:r>
          </w:p>
        </w:tc>
        <w:tc>
          <w:tcPr>
            <w:tcW w:w="1220" w:type="dxa"/>
            <w:vAlign w:val="bottom"/>
            <w:gridSpan w:val="3"/>
          </w:tcPr>
          <w:p>
            <w:pPr>
              <w:ind w:left="160"/>
              <w:spacing w:after="0"/>
              <w:rPr>
                <w:sz w:val="20"/>
                <w:szCs w:val="20"/>
                <w:color w:val="auto"/>
              </w:rPr>
            </w:pPr>
            <w:r>
              <w:rPr>
                <w:rFonts w:ascii="Arial" w:cs="Arial" w:eastAsia="Arial" w:hAnsi="Arial"/>
                <w:sz w:val="12"/>
                <w:szCs w:val="12"/>
                <w:color w:val="auto"/>
              </w:rPr>
              <w:t>Las Vegas</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NV</w:t>
            </w:r>
          </w:p>
        </w:tc>
        <w:tc>
          <w:tcPr>
            <w:tcW w:w="1580" w:type="dxa"/>
            <w:vAlign w:val="bottom"/>
            <w:gridSpan w:val="3"/>
          </w:tcPr>
          <w:p>
            <w:pPr>
              <w:ind w:left="160"/>
              <w:spacing w:after="0"/>
              <w:rPr>
                <w:sz w:val="20"/>
                <w:szCs w:val="20"/>
                <w:color w:val="auto"/>
              </w:rPr>
            </w:pPr>
            <w:r>
              <w:rPr>
                <w:rFonts w:ascii="Arial" w:cs="Arial" w:eastAsia="Arial" w:hAnsi="Arial"/>
                <w:sz w:val="12"/>
                <w:szCs w:val="12"/>
                <w:color w:val="auto"/>
              </w:rPr>
              <w:t>Mortgage Sales</w:t>
            </w:r>
          </w:p>
        </w:tc>
        <w:tc>
          <w:tcPr>
            <w:tcW w:w="980" w:type="dxa"/>
            <w:vAlign w:val="bottom"/>
            <w:gridSpan w:val="5"/>
          </w:tcPr>
          <w:p>
            <w:pPr>
              <w:ind w:left="200"/>
              <w:spacing w:after="0"/>
              <w:rPr>
                <w:sz w:val="20"/>
                <w:szCs w:val="20"/>
                <w:color w:val="auto"/>
              </w:rPr>
            </w:pPr>
            <w:r>
              <w:rPr>
                <w:rFonts w:ascii="Arial" w:cs="Arial" w:eastAsia="Arial" w:hAnsi="Arial"/>
                <w:sz w:val="12"/>
                <w:szCs w:val="12"/>
                <w:color w:val="auto"/>
              </w:rPr>
              <w:t>Leased</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12,866</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98"/>
              <w:spacing w:after="0"/>
              <w:rPr>
                <w:sz w:val="20"/>
                <w:szCs w:val="20"/>
                <w:color w:val="auto"/>
              </w:rPr>
            </w:pPr>
            <w:r>
              <w:rPr>
                <w:rFonts w:ascii="Arial" w:cs="Arial" w:eastAsia="Arial" w:hAnsi="Arial"/>
                <w:sz w:val="12"/>
                <w:szCs w:val="12"/>
                <w:color w:val="auto"/>
                <w:w w:val="92"/>
              </w:rPr>
              <w:t>44,902</w:t>
            </w:r>
          </w:p>
        </w:tc>
        <w:tc>
          <w:tcPr>
            <w:tcW w:w="120" w:type="dxa"/>
            <w:vAlign w:val="bottom"/>
          </w:tcPr>
          <w:p>
            <w:pPr>
              <w:jc w:val="right"/>
              <w:ind w:right="29"/>
              <w:spacing w:after="0"/>
              <w:rPr>
                <w:sz w:val="20"/>
                <w:szCs w:val="20"/>
                <w:color w:val="auto"/>
              </w:rPr>
            </w:pPr>
            <w:r>
              <w:rPr>
                <w:rFonts w:ascii="Arial" w:cs="Arial" w:eastAsia="Arial" w:hAnsi="Arial"/>
                <w:sz w:val="10"/>
                <w:szCs w:val="10"/>
                <w:color w:val="auto"/>
                <w:w w:val="70"/>
              </w:rPr>
              <w:t>/</w:t>
            </w:r>
          </w:p>
        </w:tc>
        <w:tc>
          <w:tcPr>
            <w:tcW w:w="2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color w:val="auto"/>
              </w:rPr>
              <w:t>mo</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10/31/2021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2" w:name="page13"/>
    <w:bookmarkEnd w:id="12"/>
    <w:p>
      <w:pPr>
        <w:spacing w:after="0"/>
        <w:rPr>
          <w:sz w:val="20"/>
          <w:szCs w:val="20"/>
          <w:color w:val="auto"/>
        </w:rPr>
      </w:pPr>
      <w:r>
        <w:rPr>
          <w:rFonts w:ascii="Arial" w:cs="Arial" w:eastAsia="Arial" w:hAnsi="Arial"/>
          <w:sz w:val="19"/>
          <w:szCs w:val="19"/>
          <w:b w:val="1"/>
          <w:bCs w:val="1"/>
          <w:color w:val="auto"/>
        </w:rPr>
        <w:t>Item 2. Properties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gridSpan w:val="3"/>
            <w:vMerge w:val="restart"/>
          </w:tcPr>
          <w:p>
            <w:pPr>
              <w:ind w:left="820"/>
              <w:spacing w:after="0"/>
              <w:rPr>
                <w:sz w:val="20"/>
                <w:szCs w:val="20"/>
                <w:color w:val="auto"/>
              </w:rPr>
            </w:pPr>
            <w:r>
              <w:rPr>
                <w:rFonts w:ascii="Arial" w:cs="Arial" w:eastAsia="Arial" w:hAnsi="Arial"/>
                <w:sz w:val="12"/>
                <w:szCs w:val="12"/>
                <w:color w:val="auto"/>
              </w:rPr>
              <w:t>Street</w:t>
            </w:r>
          </w:p>
        </w:tc>
        <w:tc>
          <w:tcPr>
            <w:tcW w:w="1140" w:type="dxa"/>
            <w:vAlign w:val="bottom"/>
            <w:gridSpan w:val="3"/>
            <w:vMerge w:val="restart"/>
          </w:tcPr>
          <w:p>
            <w:pPr>
              <w:ind w:left="480"/>
              <w:spacing w:after="0"/>
              <w:rPr>
                <w:sz w:val="20"/>
                <w:szCs w:val="20"/>
                <w:color w:val="auto"/>
              </w:rPr>
            </w:pPr>
            <w:r>
              <w:rPr>
                <w:rFonts w:ascii="Arial" w:cs="Arial" w:eastAsia="Arial" w:hAnsi="Arial"/>
                <w:sz w:val="12"/>
                <w:szCs w:val="12"/>
                <w:color w:val="auto"/>
              </w:rPr>
              <w:t>City</w:t>
            </w:r>
          </w:p>
        </w:tc>
        <w:tc>
          <w:tcPr>
            <w:tcW w:w="260" w:type="dxa"/>
            <w:vAlign w:val="bottom"/>
            <w:vMerge w:val="restart"/>
          </w:tcPr>
          <w:p>
            <w:pPr>
              <w:spacing w:after="0"/>
              <w:rPr>
                <w:sz w:val="20"/>
                <w:szCs w:val="20"/>
                <w:color w:val="auto"/>
              </w:rPr>
            </w:pPr>
            <w:r>
              <w:rPr>
                <w:rFonts w:ascii="Arial" w:cs="Arial" w:eastAsia="Arial" w:hAnsi="Arial"/>
                <w:sz w:val="12"/>
                <w:szCs w:val="12"/>
                <w:color w:val="auto"/>
                <w:w w:val="85"/>
              </w:rPr>
              <w:t>State</w:t>
            </w:r>
          </w:p>
        </w:tc>
        <w:tc>
          <w:tcPr>
            <w:tcW w:w="1400" w:type="dxa"/>
            <w:vAlign w:val="bottom"/>
            <w:gridSpan w:val="3"/>
            <w:vMerge w:val="restart"/>
          </w:tcPr>
          <w:p>
            <w:pPr>
              <w:ind w:left="680"/>
              <w:spacing w:after="0"/>
              <w:rPr>
                <w:sz w:val="20"/>
                <w:szCs w:val="20"/>
                <w:color w:val="auto"/>
              </w:rPr>
            </w:pPr>
            <w:r>
              <w:rPr>
                <w:rFonts w:ascii="Arial" w:cs="Arial" w:eastAsia="Arial" w:hAnsi="Arial"/>
                <w:sz w:val="12"/>
                <w:szCs w:val="12"/>
                <w:color w:val="auto"/>
              </w:rPr>
              <w:t>Function</w:t>
            </w:r>
          </w:p>
        </w:tc>
        <w:tc>
          <w:tcPr>
            <w:tcW w:w="940" w:type="dxa"/>
            <w:vAlign w:val="bottom"/>
            <w:gridSpan w:val="5"/>
          </w:tcPr>
          <w:p>
            <w:pPr>
              <w:jc w:val="center"/>
              <w:ind w:left="178"/>
              <w:spacing w:after="0"/>
              <w:rPr>
                <w:sz w:val="20"/>
                <w:szCs w:val="20"/>
                <w:color w:val="auto"/>
              </w:rPr>
            </w:pPr>
            <w:r>
              <w:rPr>
                <w:rFonts w:ascii="Arial" w:cs="Arial" w:eastAsia="Arial" w:hAnsi="Arial"/>
                <w:sz w:val="12"/>
                <w:szCs w:val="12"/>
                <w:color w:val="auto"/>
                <w:w w:val="93"/>
              </w:rPr>
              <w:t>Owned /</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Approximate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3"/>
          </w:tcPr>
          <w:p>
            <w:pPr>
              <w:spacing w:after="0"/>
              <w:rPr>
                <w:sz w:val="20"/>
                <w:szCs w:val="20"/>
                <w:color w:val="auto"/>
              </w:rPr>
            </w:pPr>
            <w:r>
              <w:rPr>
                <w:rFonts w:ascii="Arial" w:cs="Arial" w:eastAsia="Arial" w:hAnsi="Arial"/>
                <w:sz w:val="12"/>
                <w:szCs w:val="12"/>
                <w:color w:val="auto"/>
              </w:rPr>
              <w:t>Lease</w:t>
            </w:r>
          </w:p>
        </w:tc>
        <w:tc>
          <w:tcPr>
            <w:tcW w:w="28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Expiration</w:t>
            </w:r>
          </w:p>
        </w:tc>
        <w:tc>
          <w:tcPr>
            <w:tcW w:w="0" w:type="dxa"/>
            <w:vAlign w:val="bottom"/>
          </w:tcPr>
          <w:p>
            <w:pPr>
              <w:spacing w:after="0"/>
              <w:rPr>
                <w:sz w:val="1"/>
                <w:szCs w:val="1"/>
                <w:color w:val="auto"/>
              </w:rPr>
            </w:pPr>
          </w:p>
        </w:tc>
      </w:tr>
      <w:tr>
        <w:trPr>
          <w:trHeight w:val="112"/>
        </w:trPr>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jc w:val="center"/>
              <w:ind w:right="20"/>
              <w:spacing w:after="0" w:line="112" w:lineRule="exact"/>
              <w:rPr>
                <w:sz w:val="20"/>
                <w:szCs w:val="20"/>
                <w:color w:val="auto"/>
              </w:rPr>
            </w:pPr>
            <w:r>
              <w:rPr>
                <w:rFonts w:ascii="Arial" w:cs="Arial" w:eastAsia="Arial" w:hAnsi="Arial"/>
                <w:sz w:val="12"/>
                <w:szCs w:val="12"/>
                <w:color w:val="auto"/>
                <w:w w:val="91"/>
              </w:rPr>
              <w:t>Leased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w w:val="71"/>
              </w:rPr>
              <w:t>Square Footage</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Borders>
              <w:top w:val="single" w:sz="8" w:color="auto"/>
            </w:tcBorders>
            <w:gridSpan w:val="2"/>
          </w:tcPr>
          <w:p>
            <w:pPr>
              <w:jc w:val="right"/>
              <w:spacing w:after="0" w:line="112" w:lineRule="exact"/>
              <w:rPr>
                <w:sz w:val="20"/>
                <w:szCs w:val="20"/>
                <w:color w:val="auto"/>
              </w:rPr>
            </w:pPr>
            <w:r>
              <w:rPr>
                <w:rFonts w:ascii="Arial" w:cs="Arial" w:eastAsia="Arial" w:hAnsi="Arial"/>
                <w:sz w:val="12"/>
                <w:szCs w:val="12"/>
                <w:color w:val="auto"/>
                <w:w w:val="72"/>
              </w:rPr>
              <w:t>Amount</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840</w:t>
            </w: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Pinnacle Ct., Suite 3</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Mesquite</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NV</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900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720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3/12/2022</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2635</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St. Rose Pkwy, Suites D 100, 110, 120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Hendeson</w:t>
            </w:r>
          </w:p>
        </w:tc>
        <w:tc>
          <w:tcPr>
            <w:tcW w:w="260" w:type="dxa"/>
            <w:vAlign w:val="bottom"/>
          </w:tcPr>
          <w:p>
            <w:pPr>
              <w:spacing w:after="0"/>
              <w:rPr>
                <w:sz w:val="20"/>
                <w:szCs w:val="20"/>
                <w:color w:val="auto"/>
              </w:rPr>
            </w:pPr>
            <w:r>
              <w:rPr>
                <w:rFonts w:ascii="Arial" w:cs="Arial" w:eastAsia="Arial" w:hAnsi="Arial"/>
                <w:sz w:val="12"/>
                <w:szCs w:val="12"/>
                <w:color w:val="auto"/>
              </w:rPr>
              <w:t>NV</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5,788</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8"/>
              <w:spacing w:after="0"/>
              <w:rPr>
                <w:sz w:val="20"/>
                <w:szCs w:val="20"/>
                <w:color w:val="auto"/>
              </w:rPr>
            </w:pPr>
            <w:r>
              <w:rPr>
                <w:rFonts w:ascii="Arial" w:cs="Arial" w:eastAsia="Arial" w:hAnsi="Arial"/>
                <w:sz w:val="12"/>
                <w:szCs w:val="12"/>
                <w:color w:val="auto"/>
                <w:w w:val="92"/>
              </w:rPr>
              <w:t>11,576</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9/30/2025</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8720</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Orion Place, Suite 160</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Colombus</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OH</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1,973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1,809</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6/30/2023</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4294</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Martin Dr.</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North Olmstead</w:t>
            </w:r>
          </w:p>
        </w:tc>
        <w:tc>
          <w:tcPr>
            <w:tcW w:w="260" w:type="dxa"/>
            <w:vAlign w:val="bottom"/>
          </w:tcPr>
          <w:p>
            <w:pPr>
              <w:spacing w:after="0"/>
              <w:rPr>
                <w:sz w:val="20"/>
                <w:szCs w:val="20"/>
                <w:color w:val="auto"/>
              </w:rPr>
            </w:pPr>
            <w:r>
              <w:rPr>
                <w:rFonts w:ascii="Arial" w:cs="Arial" w:eastAsia="Arial" w:hAnsi="Arial"/>
                <w:sz w:val="12"/>
                <w:szCs w:val="12"/>
                <w:color w:val="auto"/>
              </w:rPr>
              <w:t>OH</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3311 NE MLK Jr Blvd., Suite 203</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Portland</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OR</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1,400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875</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380" w:type="dxa"/>
            <w:vAlign w:val="bottom"/>
            <w:gridSpan w:val="5"/>
          </w:tcPr>
          <w:p>
            <w:pPr>
              <w:spacing w:after="0"/>
              <w:rPr>
                <w:sz w:val="20"/>
                <w:szCs w:val="20"/>
                <w:color w:val="auto"/>
              </w:rPr>
            </w:pPr>
            <w:r>
              <w:rPr>
                <w:rFonts w:ascii="Arial" w:cs="Arial" w:eastAsia="Arial" w:hAnsi="Arial"/>
                <w:sz w:val="12"/>
                <w:szCs w:val="12"/>
                <w:color w:val="auto"/>
              </w:rPr>
              <w:t>10365 SE Sunnyside Rd., Suite 310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Clackamus</w:t>
            </w:r>
          </w:p>
        </w:tc>
        <w:tc>
          <w:tcPr>
            <w:tcW w:w="260" w:type="dxa"/>
            <w:vAlign w:val="bottom"/>
          </w:tcPr>
          <w:p>
            <w:pPr>
              <w:spacing w:after="0"/>
              <w:rPr>
                <w:sz w:val="20"/>
                <w:szCs w:val="20"/>
                <w:color w:val="auto"/>
              </w:rPr>
            </w:pPr>
            <w:r>
              <w:rPr>
                <w:rFonts w:ascii="Arial" w:cs="Arial" w:eastAsia="Arial" w:hAnsi="Arial"/>
                <w:sz w:val="12"/>
                <w:szCs w:val="12"/>
                <w:color w:val="auto"/>
              </w:rPr>
              <w:t>OR</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1,288</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2,653</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11/30/2022</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11104 SE Stark St., Suite S</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Portland</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OR</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506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600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8285</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SW Numbus, Suite 160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Beaverton</w:t>
            </w:r>
          </w:p>
        </w:tc>
        <w:tc>
          <w:tcPr>
            <w:tcW w:w="260" w:type="dxa"/>
            <w:vAlign w:val="bottom"/>
          </w:tcPr>
          <w:p>
            <w:pPr>
              <w:spacing w:after="0"/>
              <w:rPr>
                <w:sz w:val="20"/>
                <w:szCs w:val="20"/>
                <w:color w:val="auto"/>
              </w:rPr>
            </w:pPr>
            <w:r>
              <w:rPr>
                <w:rFonts w:ascii="Arial" w:cs="Arial" w:eastAsia="Arial" w:hAnsi="Arial"/>
                <w:sz w:val="12"/>
                <w:szCs w:val="12"/>
                <w:color w:val="auto"/>
              </w:rPr>
              <w:t>OR</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800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888</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13 Park Shore Dr. North</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Columbia</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SC</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6263</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Poplar Ave., Suite 900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Memphis</w:t>
            </w:r>
          </w:p>
        </w:tc>
        <w:tc>
          <w:tcPr>
            <w:tcW w:w="260" w:type="dxa"/>
            <w:vAlign w:val="bottom"/>
          </w:tcPr>
          <w:p>
            <w:pPr>
              <w:spacing w:after="0"/>
              <w:rPr>
                <w:sz w:val="20"/>
                <w:szCs w:val="20"/>
                <w:color w:val="auto"/>
              </w:rPr>
            </w:pPr>
            <w:r>
              <w:rPr>
                <w:rFonts w:ascii="Arial" w:cs="Arial" w:eastAsia="Arial" w:hAnsi="Arial"/>
                <w:sz w:val="12"/>
                <w:szCs w:val="12"/>
                <w:color w:val="auto"/>
              </w:rPr>
              <w:t>TN</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1,680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1,921</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3/31/2022</w:t>
            </w: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144</w:t>
            </w: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Alf Taylor Rd.</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Johnson City</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TN</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1,521</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800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347</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Main St., Suite 200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Franklin</w:t>
            </w:r>
          </w:p>
        </w:tc>
        <w:tc>
          <w:tcPr>
            <w:tcW w:w="260" w:type="dxa"/>
            <w:vAlign w:val="bottom"/>
          </w:tcPr>
          <w:p>
            <w:pPr>
              <w:spacing w:after="0"/>
              <w:rPr>
                <w:sz w:val="20"/>
                <w:szCs w:val="20"/>
                <w:color w:val="auto"/>
              </w:rPr>
            </w:pPr>
            <w:r>
              <w:rPr>
                <w:rFonts w:ascii="Arial" w:cs="Arial" w:eastAsia="Arial" w:hAnsi="Arial"/>
                <w:sz w:val="12"/>
                <w:szCs w:val="12"/>
                <w:color w:val="auto"/>
              </w:rPr>
              <w:t>TN</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2,444</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5,703</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8/31/2025</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3027</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Marina Bay Dr., Suite 200</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League City</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1,225</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2,246</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4/30/2023</w:t>
            </w:r>
          </w:p>
        </w:tc>
        <w:tc>
          <w:tcPr>
            <w:tcW w:w="0" w:type="dxa"/>
            <w:vAlign w:val="bottom"/>
          </w:tcPr>
          <w:p>
            <w:pPr>
              <w:spacing w:after="0"/>
              <w:rPr>
                <w:sz w:val="1"/>
                <w:szCs w:val="1"/>
                <w:color w:val="auto"/>
              </w:rPr>
            </w:pPr>
          </w:p>
        </w:tc>
      </w:tr>
      <w:tr>
        <w:trPr>
          <w:trHeight w:val="157"/>
        </w:trPr>
        <w:tc>
          <w:tcPr>
            <w:tcW w:w="2380" w:type="dxa"/>
            <w:vAlign w:val="bottom"/>
            <w:gridSpan w:val="5"/>
          </w:tcPr>
          <w:p>
            <w:pPr>
              <w:spacing w:after="0"/>
              <w:rPr>
                <w:sz w:val="20"/>
                <w:szCs w:val="20"/>
                <w:color w:val="auto"/>
              </w:rPr>
            </w:pPr>
            <w:r>
              <w:rPr>
                <w:rFonts w:ascii="Arial" w:cs="Arial" w:eastAsia="Arial" w:hAnsi="Arial"/>
                <w:sz w:val="12"/>
                <w:szCs w:val="12"/>
                <w:color w:val="auto"/>
              </w:rPr>
              <w:t>11550 Fuqua, Suite 200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Houston</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1,865</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3,575</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4/30/2021</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1848</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Norwood Plaza, Suite 213</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Hurst</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1,596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1,031</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380" w:type="dxa"/>
            <w:vAlign w:val="bottom"/>
            <w:gridSpan w:val="5"/>
          </w:tcPr>
          <w:p>
            <w:pPr>
              <w:spacing w:after="0"/>
              <w:rPr>
                <w:sz w:val="20"/>
                <w:szCs w:val="20"/>
                <w:color w:val="auto"/>
              </w:rPr>
            </w:pPr>
            <w:r>
              <w:rPr>
                <w:rFonts w:ascii="Arial" w:cs="Arial" w:eastAsia="Arial" w:hAnsi="Arial"/>
                <w:sz w:val="12"/>
                <w:szCs w:val="12"/>
                <w:color w:val="auto"/>
              </w:rPr>
              <w:t>17347 Village Green Dr., Suite 102</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Houston</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3,300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8,970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12/1/2024</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1626</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Lee Trevino, Suite A</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El Paso</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4,200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7,853</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12/31/2022</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9737</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Great Hills Trail, Suites 150, 200, 220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Austin</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19,891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8"/>
              <w:spacing w:after="0"/>
              <w:rPr>
                <w:sz w:val="20"/>
                <w:szCs w:val="20"/>
                <w:color w:val="auto"/>
              </w:rPr>
            </w:pPr>
            <w:r>
              <w:rPr>
                <w:rFonts w:ascii="Arial" w:cs="Arial" w:eastAsia="Arial" w:hAnsi="Arial"/>
                <w:sz w:val="12"/>
                <w:szCs w:val="12"/>
                <w:color w:val="auto"/>
                <w:w w:val="92"/>
              </w:rPr>
              <w:t>37,710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8/31/2024</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1213</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East Alton Gloor Blvd., Suite H</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Brownsville</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2,000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2,200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2/28/2022</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7920</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Belt Line Rd., Suite 720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Dallas</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1,714</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2,428</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5020</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Collinwood Ave., Suite 100</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Fort Worth</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2,687</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5,300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1/31/2025</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3000</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Joe DiMaggio Blvd., Bldg 12 Suite 42</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Round Rock</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920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1,750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5/15/2021</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2408</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Jacaman Road, Suite F</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Laredo</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N/A $</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900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6/1/2022</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1900</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Country Club Dr., Suite 150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Mansfield</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175</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325</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3220</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Gus Thomasson Rd.</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Mesquite</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722</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Kiowa Dr. West</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Lake Kiowa</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150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495</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1785</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Preston Rd., Suite 550</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Dallas</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657</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8/31/2021</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6860</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N. Dallas Pkwy</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Plano</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200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582</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2/28/2021</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2102</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Jitterbug Ln.</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Katy</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124</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N. Main St.</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Mansfield</w:t>
            </w:r>
          </w:p>
        </w:tc>
        <w:tc>
          <w:tcPr>
            <w:tcW w:w="260" w:type="dxa"/>
            <w:vAlign w:val="bottom"/>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100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3,000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4411 W. Illinois, Suite B-4</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Midland</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TX</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1,700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590</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W. State Street</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Pleasant Grove</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250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500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5965</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 Redwood Rd.</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Taylorsville</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1,400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6575</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S. Redwood Rd.</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Taylorsville</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3,323</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5,491</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12/31/2022</w:t>
            </w: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126</w:t>
            </w: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W. Sego Lily Dr., Suite 260</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Sandy</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2,794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5,944</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8/31/2021</w:t>
            </w:r>
          </w:p>
        </w:tc>
        <w:tc>
          <w:tcPr>
            <w:tcW w:w="0" w:type="dxa"/>
            <w:vAlign w:val="bottom"/>
          </w:tcPr>
          <w:p>
            <w:pPr>
              <w:spacing w:after="0"/>
              <w:rPr>
                <w:sz w:val="1"/>
                <w:szCs w:val="1"/>
                <w:color w:val="auto"/>
              </w:rPr>
            </w:pPr>
          </w:p>
        </w:tc>
      </w:tr>
      <w:tr>
        <w:trPr>
          <w:trHeight w:val="157"/>
        </w:trPr>
        <w:tc>
          <w:tcPr>
            <w:tcW w:w="2380" w:type="dxa"/>
            <w:vAlign w:val="bottom"/>
            <w:gridSpan w:val="5"/>
          </w:tcPr>
          <w:p>
            <w:pPr>
              <w:spacing w:after="0"/>
              <w:rPr>
                <w:sz w:val="20"/>
                <w:szCs w:val="20"/>
                <w:color w:val="auto"/>
              </w:rPr>
            </w:pPr>
            <w:r>
              <w:rPr>
                <w:rFonts w:ascii="Arial" w:cs="Arial" w:eastAsia="Arial" w:hAnsi="Arial"/>
                <w:sz w:val="12"/>
                <w:szCs w:val="12"/>
                <w:color w:val="auto"/>
              </w:rPr>
              <w:t>75 Towne Ridge Parkway, Suite 100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Sandy</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6,867</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18"/>
              <w:spacing w:after="0"/>
              <w:rPr>
                <w:sz w:val="20"/>
                <w:szCs w:val="20"/>
                <w:color w:val="auto"/>
              </w:rPr>
            </w:pPr>
            <w:r>
              <w:rPr>
                <w:rFonts w:ascii="Arial" w:cs="Arial" w:eastAsia="Arial" w:hAnsi="Arial"/>
                <w:sz w:val="12"/>
                <w:szCs w:val="12"/>
                <w:color w:val="auto"/>
                <w:w w:val="92"/>
              </w:rPr>
              <w:t>16,695</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8/31/2023</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1133 North Main St., Suite 150</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Layton</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w w:val="98"/>
              </w:rPr>
              <w:t>Sub-Leased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1,000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497</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S. Main</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Ephraim</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1,884</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1,600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4/30/2025</w:t>
            </w:r>
          </w:p>
        </w:tc>
        <w:tc>
          <w:tcPr>
            <w:tcW w:w="0" w:type="dxa"/>
            <w:vAlign w:val="bottom"/>
          </w:tcPr>
          <w:p>
            <w:pPr>
              <w:spacing w:after="0"/>
              <w:rPr>
                <w:sz w:val="1"/>
                <w:szCs w:val="1"/>
                <w:color w:val="auto"/>
              </w:rPr>
            </w:pPr>
          </w:p>
        </w:tc>
      </w:tr>
      <w:tr>
        <w:trPr>
          <w:trHeight w:val="132"/>
        </w:trPr>
        <w:tc>
          <w:tcPr>
            <w:tcW w:w="2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w w:val="89"/>
              </w:rPr>
              <w:t>6965</w:t>
            </w:r>
          </w:p>
        </w:tc>
        <w:tc>
          <w:tcPr>
            <w:tcW w:w="212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w w:val="94"/>
              </w:rPr>
              <w:t>S. Union Park, Suites 100, 190, 260, 300,</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460, 470, &amp; 480</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Midvale</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39,649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w w:val="92"/>
              </w:rPr>
              <w:t>82,465</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6/30/2021</w:t>
            </w:r>
          </w:p>
        </w:tc>
        <w:tc>
          <w:tcPr>
            <w:tcW w:w="0" w:type="dxa"/>
            <w:vAlign w:val="bottom"/>
          </w:tcPr>
          <w:p>
            <w:pPr>
              <w:spacing w:after="0"/>
              <w:rPr>
                <w:sz w:val="1"/>
                <w:szCs w:val="1"/>
                <w:color w:val="auto"/>
              </w:rPr>
            </w:pPr>
          </w:p>
        </w:tc>
      </w:tr>
      <w:tr>
        <w:trPr>
          <w:trHeight w:val="157"/>
        </w:trPr>
        <w:tc>
          <w:tcPr>
            <w:tcW w:w="2380" w:type="dxa"/>
            <w:vAlign w:val="bottom"/>
            <w:gridSpan w:val="5"/>
          </w:tcPr>
          <w:p>
            <w:pPr>
              <w:spacing w:after="0"/>
              <w:rPr>
                <w:sz w:val="20"/>
                <w:szCs w:val="20"/>
                <w:color w:val="auto"/>
              </w:rPr>
            </w:pPr>
            <w:r>
              <w:rPr>
                <w:rFonts w:ascii="Arial" w:cs="Arial" w:eastAsia="Arial" w:hAnsi="Arial"/>
                <w:sz w:val="12"/>
                <w:szCs w:val="12"/>
                <w:color w:val="auto"/>
              </w:rPr>
              <w:t>11240 S. River Heights Dr.</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South Jordan</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3,403</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7,740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11/30/2024</w:t>
            </w: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500</w:t>
            </w: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East Village Blvd.</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Stansbury Park</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1,950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3,180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10/31/2024</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833</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N. 900 W.</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Orem</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2,391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3,104</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1/31/2023</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1350</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 300 S. 3rd Floor</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Lehi</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15,446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w w:val="92"/>
              </w:rPr>
              <w:t>35,140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12/22/2026</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2455</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E. Parleys Way, Suites 120 &amp; 150</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Salt Lake City</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5,256</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8,322</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7/31/2030</w:t>
            </w: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20"/>
                <w:szCs w:val="20"/>
                <w:color w:val="auto"/>
              </w:rPr>
            </w:pPr>
            <w:r>
              <w:rPr>
                <w:rFonts w:ascii="Arial" w:cs="Arial" w:eastAsia="Arial" w:hAnsi="Arial"/>
                <w:sz w:val="12"/>
                <w:szCs w:val="12"/>
                <w:color w:val="auto"/>
                <w:w w:val="89"/>
              </w:rPr>
              <w:t>859</w:t>
            </w:r>
          </w:p>
        </w:tc>
        <w:tc>
          <w:tcPr>
            <w:tcW w:w="21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W. South Jordan Pkwy, Suite 101</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South Jordan</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3,376</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5,751</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3/22/2022</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20"/>
                <w:szCs w:val="20"/>
                <w:color w:val="auto"/>
              </w:rPr>
            </w:pPr>
            <w:r>
              <w:rPr>
                <w:rFonts w:ascii="Arial" w:cs="Arial" w:eastAsia="Arial" w:hAnsi="Arial"/>
                <w:sz w:val="12"/>
                <w:szCs w:val="12"/>
                <w:color w:val="auto"/>
                <w:w w:val="89"/>
              </w:rPr>
              <w:t>558</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E. Riverside Dr., Suite 204</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St. George</w:t>
            </w:r>
          </w:p>
        </w:tc>
        <w:tc>
          <w:tcPr>
            <w:tcW w:w="260" w:type="dxa"/>
            <w:vAlign w:val="bottom"/>
          </w:tcPr>
          <w:p>
            <w:pPr>
              <w:spacing w:after="0"/>
              <w:rPr>
                <w:sz w:val="20"/>
                <w:szCs w:val="20"/>
                <w:color w:val="auto"/>
              </w:rPr>
            </w:pPr>
            <w:r>
              <w:rPr>
                <w:rFonts w:ascii="Arial" w:cs="Arial" w:eastAsia="Arial" w:hAnsi="Arial"/>
                <w:sz w:val="12"/>
                <w:szCs w:val="12"/>
                <w:color w:val="auto"/>
              </w:rPr>
              <w:t>UT</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color w:val="auto"/>
              </w:rPr>
              <w:t>1,685</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2,106</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8/31/2023</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21430 Cedar Dr., Suite 200-202</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Sterling</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VA</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6,850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8"/>
              <w:spacing w:after="0"/>
              <w:rPr>
                <w:sz w:val="20"/>
                <w:szCs w:val="20"/>
                <w:color w:val="auto"/>
              </w:rPr>
            </w:pPr>
            <w:r>
              <w:rPr>
                <w:rFonts w:ascii="Arial" w:cs="Arial" w:eastAsia="Arial" w:hAnsi="Arial"/>
                <w:sz w:val="12"/>
                <w:szCs w:val="12"/>
                <w:color w:val="auto"/>
                <w:w w:val="92"/>
              </w:rPr>
              <w:t>12,984</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3/9/2023</w:t>
            </w:r>
          </w:p>
        </w:tc>
        <w:tc>
          <w:tcPr>
            <w:tcW w:w="0" w:type="dxa"/>
            <w:vAlign w:val="bottom"/>
          </w:tcPr>
          <w:p>
            <w:pPr>
              <w:spacing w:after="0"/>
              <w:rPr>
                <w:sz w:val="1"/>
                <w:szCs w:val="1"/>
                <w:color w:val="auto"/>
              </w:rPr>
            </w:pPr>
          </w:p>
        </w:tc>
      </w:tr>
      <w:tr>
        <w:trPr>
          <w:trHeight w:val="157"/>
        </w:trPr>
        <w:tc>
          <w:tcPr>
            <w:tcW w:w="2380" w:type="dxa"/>
            <w:vAlign w:val="bottom"/>
            <w:gridSpan w:val="5"/>
          </w:tcPr>
          <w:p>
            <w:pPr>
              <w:spacing w:after="0"/>
              <w:rPr>
                <w:sz w:val="20"/>
                <w:szCs w:val="20"/>
                <w:color w:val="auto"/>
              </w:rPr>
            </w:pPr>
            <w:r>
              <w:rPr>
                <w:rFonts w:ascii="Arial" w:cs="Arial" w:eastAsia="Arial" w:hAnsi="Arial"/>
                <w:sz w:val="12"/>
                <w:szCs w:val="12"/>
                <w:color w:val="auto"/>
              </w:rPr>
              <w:t>15640 NE Fourth Plain Blvd., Suite 220/221</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Vancouver</w:t>
            </w:r>
          </w:p>
        </w:tc>
        <w:tc>
          <w:tcPr>
            <w:tcW w:w="260" w:type="dxa"/>
            <w:vAlign w:val="bottom"/>
          </w:tcPr>
          <w:p>
            <w:pPr>
              <w:spacing w:after="0"/>
              <w:rPr>
                <w:sz w:val="20"/>
                <w:szCs w:val="20"/>
                <w:color w:val="auto"/>
              </w:rPr>
            </w:pPr>
            <w:r>
              <w:rPr>
                <w:rFonts w:ascii="Arial" w:cs="Arial" w:eastAsia="Arial" w:hAnsi="Arial"/>
                <w:sz w:val="12"/>
                <w:szCs w:val="12"/>
                <w:color w:val="auto"/>
              </w:rPr>
              <w:t>WA</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360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425</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9/30/2021</w:t>
            </w:r>
          </w:p>
        </w:tc>
        <w:tc>
          <w:tcPr>
            <w:tcW w:w="0" w:type="dxa"/>
            <w:vAlign w:val="bottom"/>
          </w:tcPr>
          <w:p>
            <w:pPr>
              <w:spacing w:after="0"/>
              <w:rPr>
                <w:sz w:val="1"/>
                <w:szCs w:val="1"/>
                <w:color w:val="auto"/>
              </w:rPr>
            </w:pPr>
          </w:p>
        </w:tc>
      </w:tr>
      <w:tr>
        <w:trPr>
          <w:trHeight w:val="160"/>
        </w:trPr>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89"/>
              </w:rPr>
              <w:t>2701</w:t>
            </w:r>
          </w:p>
        </w:tc>
        <w:tc>
          <w:tcPr>
            <w:tcW w:w="2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Currant St.</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Lynden</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WA</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50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2"/>
                <w:szCs w:val="12"/>
                <w:color w:val="auto"/>
                <w:w w:val="89"/>
              </w:rPr>
              <w:t>1508</w:t>
            </w:r>
          </w:p>
        </w:tc>
        <w:tc>
          <w:tcPr>
            <w:tcW w:w="2120" w:type="dxa"/>
            <w:vAlign w:val="bottom"/>
            <w:gridSpan w:val="3"/>
          </w:tcPr>
          <w:p>
            <w:pPr>
              <w:ind w:left="20"/>
              <w:spacing w:after="0"/>
              <w:rPr>
                <w:sz w:val="20"/>
                <w:szCs w:val="20"/>
                <w:color w:val="auto"/>
              </w:rPr>
            </w:pPr>
            <w:r>
              <w:rPr>
                <w:rFonts w:ascii="Arial" w:cs="Arial" w:eastAsia="Arial" w:hAnsi="Arial"/>
                <w:sz w:val="12"/>
                <w:szCs w:val="12"/>
                <w:color w:val="auto"/>
              </w:rPr>
              <w:t>24th Ave., Suite 23</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Kenosha</w:t>
            </w:r>
          </w:p>
        </w:tc>
        <w:tc>
          <w:tcPr>
            <w:tcW w:w="260" w:type="dxa"/>
            <w:vAlign w:val="bottom"/>
          </w:tcPr>
          <w:p>
            <w:pPr>
              <w:spacing w:after="0"/>
              <w:rPr>
                <w:sz w:val="20"/>
                <w:szCs w:val="20"/>
                <w:color w:val="auto"/>
              </w:rPr>
            </w:pPr>
            <w:r>
              <w:rPr>
                <w:rFonts w:ascii="Arial" w:cs="Arial" w:eastAsia="Arial" w:hAnsi="Arial"/>
                <w:sz w:val="12"/>
                <w:szCs w:val="12"/>
                <w:color w:val="auto"/>
              </w:rPr>
              <w:t>WI</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gridSpan w:val="2"/>
          </w:tcPr>
          <w:p>
            <w:pPr>
              <w:jc w:val="right"/>
              <w:ind w:right="158"/>
              <w:spacing w:after="0"/>
              <w:rPr>
                <w:sz w:val="20"/>
                <w:szCs w:val="20"/>
                <w:color w:val="auto"/>
              </w:rPr>
            </w:pPr>
            <w:r>
              <w:rPr>
                <w:rFonts w:ascii="Arial" w:cs="Arial" w:eastAsia="Arial" w:hAnsi="Arial"/>
                <w:sz w:val="12"/>
                <w:szCs w:val="12"/>
                <w:color w:val="auto"/>
              </w:rPr>
              <w:t>250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150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60"/>
        </w:trPr>
        <w:tc>
          <w:tcPr>
            <w:tcW w:w="2380" w:type="dxa"/>
            <w:vAlign w:val="bottom"/>
            <w:gridSpan w:val="5"/>
            <w:shd w:val="clear" w:color="auto" w:fill="CCEEFF"/>
          </w:tcPr>
          <w:p>
            <w:pPr>
              <w:spacing w:after="0"/>
              <w:rPr>
                <w:sz w:val="20"/>
                <w:szCs w:val="20"/>
                <w:color w:val="auto"/>
              </w:rPr>
            </w:pPr>
            <w:r>
              <w:rPr>
                <w:rFonts w:ascii="Arial" w:cs="Arial" w:eastAsia="Arial" w:hAnsi="Arial"/>
                <w:sz w:val="12"/>
                <w:szCs w:val="12"/>
                <w:color w:val="auto"/>
              </w:rPr>
              <w:t>27903 99th St.</w:t>
            </w:r>
          </w:p>
        </w:tc>
        <w:tc>
          <w:tcPr>
            <w:tcW w:w="1140" w:type="dxa"/>
            <w:vAlign w:val="bottom"/>
            <w:gridSpan w:val="3"/>
            <w:shd w:val="clear" w:color="auto" w:fill="CCEEFF"/>
          </w:tcPr>
          <w:p>
            <w:pPr>
              <w:ind w:left="60"/>
              <w:spacing w:after="0"/>
              <w:rPr>
                <w:sz w:val="20"/>
                <w:szCs w:val="20"/>
                <w:color w:val="auto"/>
              </w:rPr>
            </w:pPr>
            <w:r>
              <w:rPr>
                <w:rFonts w:ascii="Arial" w:cs="Arial" w:eastAsia="Arial" w:hAnsi="Arial"/>
                <w:sz w:val="12"/>
                <w:szCs w:val="12"/>
                <w:color w:val="auto"/>
              </w:rPr>
              <w:t>Trevor</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WI</w:t>
            </w:r>
          </w:p>
        </w:tc>
        <w:tc>
          <w:tcPr>
            <w:tcW w:w="140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shd w:val="clear" w:color="auto" w:fill="CCEEFF"/>
          </w:tcPr>
          <w:p>
            <w:pPr>
              <w:ind w:left="280"/>
              <w:spacing w:after="0"/>
              <w:rPr>
                <w:sz w:val="20"/>
                <w:szCs w:val="20"/>
                <w:color w:val="auto"/>
              </w:rPr>
            </w:pPr>
            <w:r>
              <w:rPr>
                <w:rFonts w:ascii="Arial" w:cs="Arial" w:eastAsia="Arial" w:hAnsi="Arial"/>
                <w:sz w:val="12"/>
                <w:szCs w:val="12"/>
                <w:color w:val="auto"/>
              </w:rPr>
              <w:t>Leased</w:t>
            </w:r>
          </w:p>
        </w:tc>
        <w:tc>
          <w:tcPr>
            <w:tcW w:w="780" w:type="dxa"/>
            <w:vAlign w:val="bottom"/>
            <w:tcBorders>
              <w:right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150</w:t>
            </w:r>
          </w:p>
        </w:tc>
        <w:tc>
          <w:tcPr>
            <w:tcW w:w="20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month to month</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20"/>
                <w:szCs w:val="20"/>
                <w:color w:val="auto"/>
              </w:rPr>
            </w:pPr>
            <w:r>
              <w:rPr>
                <w:rFonts w:ascii="Arial" w:cs="Arial" w:eastAsia="Arial" w:hAnsi="Arial"/>
                <w:sz w:val="12"/>
                <w:szCs w:val="12"/>
                <w:color w:val="auto"/>
                <w:w w:val="89"/>
              </w:rPr>
              <w:t>219</w:t>
            </w:r>
          </w:p>
        </w:tc>
        <w:tc>
          <w:tcPr>
            <w:tcW w:w="2180" w:type="dxa"/>
            <w:vAlign w:val="bottom"/>
            <w:gridSpan w:val="4"/>
          </w:tcPr>
          <w:p>
            <w:pPr>
              <w:ind w:left="20"/>
              <w:spacing w:after="0"/>
              <w:rPr>
                <w:sz w:val="20"/>
                <w:szCs w:val="20"/>
                <w:color w:val="auto"/>
              </w:rPr>
            </w:pPr>
            <w:r>
              <w:rPr>
                <w:rFonts w:ascii="Arial" w:cs="Arial" w:eastAsia="Arial" w:hAnsi="Arial"/>
                <w:sz w:val="12"/>
                <w:szCs w:val="12"/>
                <w:color w:val="auto"/>
              </w:rPr>
              <w:t>W. Washington St.</w:t>
            </w:r>
          </w:p>
        </w:tc>
        <w:tc>
          <w:tcPr>
            <w:tcW w:w="1140" w:type="dxa"/>
            <w:vAlign w:val="bottom"/>
            <w:gridSpan w:val="3"/>
          </w:tcPr>
          <w:p>
            <w:pPr>
              <w:ind w:left="60"/>
              <w:spacing w:after="0"/>
              <w:rPr>
                <w:sz w:val="20"/>
                <w:szCs w:val="20"/>
                <w:color w:val="auto"/>
              </w:rPr>
            </w:pPr>
            <w:r>
              <w:rPr>
                <w:rFonts w:ascii="Arial" w:cs="Arial" w:eastAsia="Arial" w:hAnsi="Arial"/>
                <w:sz w:val="12"/>
                <w:szCs w:val="12"/>
                <w:color w:val="auto"/>
              </w:rPr>
              <w:t>Charlestown</w:t>
            </w:r>
          </w:p>
        </w:tc>
        <w:tc>
          <w:tcPr>
            <w:tcW w:w="260" w:type="dxa"/>
            <w:vAlign w:val="bottom"/>
          </w:tcPr>
          <w:p>
            <w:pPr>
              <w:spacing w:after="0"/>
              <w:rPr>
                <w:sz w:val="20"/>
                <w:szCs w:val="20"/>
                <w:color w:val="auto"/>
              </w:rPr>
            </w:pPr>
            <w:r>
              <w:rPr>
                <w:rFonts w:ascii="Arial" w:cs="Arial" w:eastAsia="Arial" w:hAnsi="Arial"/>
                <w:sz w:val="12"/>
                <w:szCs w:val="12"/>
                <w:color w:val="auto"/>
              </w:rPr>
              <w:t>WV</w:t>
            </w:r>
          </w:p>
        </w:tc>
        <w:tc>
          <w:tcPr>
            <w:tcW w:w="1400" w:type="dxa"/>
            <w:vAlign w:val="bottom"/>
            <w:gridSpan w:val="3"/>
          </w:tcPr>
          <w:p>
            <w:pPr>
              <w:ind w:left="140"/>
              <w:spacing w:after="0"/>
              <w:rPr>
                <w:sz w:val="20"/>
                <w:szCs w:val="20"/>
                <w:color w:val="auto"/>
              </w:rPr>
            </w:pPr>
            <w:r>
              <w:rPr>
                <w:rFonts w:ascii="Arial" w:cs="Arial" w:eastAsia="Arial" w:hAnsi="Arial"/>
                <w:sz w:val="12"/>
                <w:szCs w:val="12"/>
                <w:color w:val="auto"/>
              </w:rPr>
              <w:t>Mortgage Sales</w:t>
            </w:r>
          </w:p>
        </w:tc>
        <w:tc>
          <w:tcPr>
            <w:tcW w:w="940" w:type="dxa"/>
            <w:vAlign w:val="bottom"/>
            <w:gridSpan w:val="5"/>
          </w:tcPr>
          <w:p>
            <w:pPr>
              <w:ind w:left="280"/>
              <w:spacing w:after="0"/>
              <w:rPr>
                <w:sz w:val="20"/>
                <w:szCs w:val="20"/>
                <w:color w:val="auto"/>
              </w:rPr>
            </w:pPr>
            <w:r>
              <w:rPr>
                <w:rFonts w:ascii="Arial" w:cs="Arial" w:eastAsia="Arial" w:hAnsi="Arial"/>
                <w:sz w:val="12"/>
                <w:szCs w:val="12"/>
                <w:color w:val="auto"/>
              </w:rPr>
              <w:t>Leased</w:t>
            </w: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N/A $</w:t>
            </w:r>
          </w:p>
        </w:tc>
        <w:tc>
          <w:tcPr>
            <w:tcW w:w="440" w:type="dxa"/>
            <w:vAlign w:val="bottom"/>
            <w:gridSpan w:val="2"/>
          </w:tcPr>
          <w:p>
            <w:pPr>
              <w:jc w:val="right"/>
              <w:ind w:right="38"/>
              <w:spacing w:after="0"/>
              <w:rPr>
                <w:sz w:val="20"/>
                <w:szCs w:val="20"/>
                <w:color w:val="auto"/>
              </w:rPr>
            </w:pPr>
            <w:r>
              <w:rPr>
                <w:rFonts w:ascii="Arial" w:cs="Arial" w:eastAsia="Arial" w:hAnsi="Arial"/>
                <w:sz w:val="12"/>
                <w:szCs w:val="12"/>
                <w:color w:val="auto"/>
              </w:rPr>
              <w:t>1,700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color w:val="auto"/>
              </w:rPr>
              <w:t>mo</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4/14/2023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Company believes the office facilities it occupies are in good operating condition and adequate for current operations. The Company will enter into additional leases or modify existing leases to meet market demand. Those leases will be month to month where possible. As leases expire, the Company will either renew or find comparable leases or acquire additional office space.</w:t>
      </w: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Item 2. Properties (Continued)</w:t>
      </w:r>
    </w:p>
    <w:p>
      <w:pPr>
        <w:spacing w:after="0" w:line="130" w:lineRule="exact"/>
        <w:rPr>
          <w:sz w:val="20"/>
          <w:szCs w:val="20"/>
          <w:color w:val="auto"/>
        </w:rPr>
      </w:pPr>
    </w:p>
    <w:p>
      <w:pPr>
        <w:ind w:right="339"/>
        <w:spacing w:after="0" w:line="276" w:lineRule="auto"/>
        <w:rPr>
          <w:sz w:val="20"/>
          <w:szCs w:val="20"/>
          <w:color w:val="auto"/>
        </w:rPr>
      </w:pPr>
      <w:r>
        <w:rPr>
          <w:rFonts w:ascii="Arial" w:cs="Arial" w:eastAsia="Arial" w:hAnsi="Arial"/>
          <w:sz w:val="19"/>
          <w:szCs w:val="19"/>
          <w:color w:val="auto"/>
        </w:rPr>
        <w:t>The following table summarizes the location and acreage of the six Company owned cemeteries, each of which includes one or more mausoleums: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40" w:type="dxa"/>
            <w:vAlign w:val="bottom"/>
            <w:tcBorders>
              <w:bottom w:val="single" w:sz="8" w:color="auto"/>
            </w:tcBorders>
            <w:gridSpan w:val="3"/>
          </w:tcPr>
          <w:p>
            <w:pPr>
              <w:ind w:left="400"/>
              <w:spacing w:after="0"/>
              <w:rPr>
                <w:sz w:val="20"/>
                <w:szCs w:val="20"/>
                <w:color w:val="auto"/>
              </w:rPr>
            </w:pPr>
            <w:r>
              <w:rPr>
                <w:rFonts w:ascii="Arial" w:cs="Arial" w:eastAsia="Arial" w:hAnsi="Arial"/>
                <w:sz w:val="21"/>
                <w:szCs w:val="21"/>
                <w:color w:val="auto"/>
              </w:rPr>
              <w:t>Net Saleable Acreage</w:t>
            </w:r>
          </w:p>
        </w:tc>
      </w:tr>
      <w:tr>
        <w:trPr>
          <w:trHeight w:val="224"/>
        </w:trPr>
        <w:tc>
          <w:tcPr>
            <w:tcW w:w="2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jc w:val="center"/>
              <w:spacing w:after="0" w:line="224" w:lineRule="exact"/>
              <w:rPr>
                <w:sz w:val="20"/>
                <w:szCs w:val="20"/>
                <w:color w:val="auto"/>
              </w:rPr>
            </w:pPr>
            <w:r>
              <w:rPr>
                <w:rFonts w:ascii="Arial" w:cs="Arial" w:eastAsia="Arial" w:hAnsi="Arial"/>
                <w:sz w:val="21"/>
                <w:szCs w:val="21"/>
                <w:color w:val="auto"/>
                <w:w w:val="93"/>
              </w:rPr>
              <w:t>Acres</w:t>
            </w:r>
          </w:p>
        </w:tc>
        <w:tc>
          <w:tcPr>
            <w:tcW w:w="940" w:type="dxa"/>
            <w:vAlign w:val="bottom"/>
          </w:tcPr>
          <w:p>
            <w:pPr>
              <w:spacing w:after="0"/>
              <w:rPr>
                <w:sz w:val="19"/>
                <w:szCs w:val="19"/>
                <w:color w:val="auto"/>
              </w:rPr>
            </w:pPr>
          </w:p>
        </w:tc>
      </w:tr>
      <w:tr>
        <w:trPr>
          <w:trHeight w:val="237"/>
        </w:trPr>
        <w:tc>
          <w:tcPr>
            <w:tcW w:w="2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jc w:val="center"/>
              <w:spacing w:after="0" w:line="237" w:lineRule="exact"/>
              <w:rPr>
                <w:sz w:val="20"/>
                <w:szCs w:val="20"/>
                <w:color w:val="auto"/>
              </w:rPr>
            </w:pPr>
            <w:r>
              <w:rPr>
                <w:rFonts w:ascii="Arial" w:cs="Arial" w:eastAsia="Arial" w:hAnsi="Arial"/>
                <w:sz w:val="21"/>
                <w:szCs w:val="21"/>
                <w:color w:val="auto"/>
                <w:w w:val="88"/>
              </w:rPr>
              <w:t>Sold as</w:t>
            </w:r>
          </w:p>
        </w:tc>
        <w:tc>
          <w:tcPr>
            <w:tcW w:w="940" w:type="dxa"/>
            <w:vAlign w:val="bottom"/>
          </w:tcPr>
          <w:p>
            <w:pPr>
              <w:jc w:val="center"/>
              <w:spacing w:after="0" w:line="237" w:lineRule="exact"/>
              <w:rPr>
                <w:sz w:val="20"/>
                <w:szCs w:val="20"/>
                <w:color w:val="auto"/>
              </w:rPr>
            </w:pPr>
            <w:r>
              <w:rPr>
                <w:rFonts w:ascii="Arial" w:cs="Arial" w:eastAsia="Arial" w:hAnsi="Arial"/>
                <w:sz w:val="21"/>
                <w:szCs w:val="21"/>
                <w:color w:val="auto"/>
                <w:w w:val="94"/>
              </w:rPr>
              <w:t>Total</w:t>
            </w:r>
          </w:p>
        </w:tc>
      </w:tr>
      <w:tr>
        <w:trPr>
          <w:trHeight w:val="237"/>
        </w:trPr>
        <w:tc>
          <w:tcPr>
            <w:tcW w:w="2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jc w:val="center"/>
              <w:spacing w:after="0" w:line="237" w:lineRule="exact"/>
              <w:rPr>
                <w:sz w:val="20"/>
                <w:szCs w:val="20"/>
                <w:color w:val="auto"/>
              </w:rPr>
            </w:pPr>
            <w:r>
              <w:rPr>
                <w:rFonts w:ascii="Arial" w:cs="Arial" w:eastAsia="Arial" w:hAnsi="Arial"/>
                <w:sz w:val="21"/>
                <w:szCs w:val="21"/>
                <w:color w:val="auto"/>
                <w:w w:val="91"/>
              </w:rPr>
              <w:t>Developed</w:t>
            </w:r>
          </w:p>
        </w:tc>
        <w:tc>
          <w:tcPr>
            <w:tcW w:w="820" w:type="dxa"/>
            <w:vAlign w:val="bottom"/>
          </w:tcPr>
          <w:p>
            <w:pPr>
              <w:jc w:val="center"/>
              <w:spacing w:after="0" w:line="237" w:lineRule="exact"/>
              <w:rPr>
                <w:sz w:val="20"/>
                <w:szCs w:val="20"/>
                <w:color w:val="auto"/>
              </w:rPr>
            </w:pPr>
            <w:r>
              <w:rPr>
                <w:rFonts w:ascii="Arial" w:cs="Arial" w:eastAsia="Arial" w:hAnsi="Arial"/>
                <w:sz w:val="21"/>
                <w:szCs w:val="21"/>
                <w:color w:val="auto"/>
                <w:w w:val="89"/>
              </w:rPr>
              <w:t>Total</w:t>
            </w:r>
          </w:p>
        </w:tc>
        <w:tc>
          <w:tcPr>
            <w:tcW w:w="1820" w:type="dxa"/>
            <w:vAlign w:val="bottom"/>
            <w:gridSpan w:val="2"/>
          </w:tcPr>
          <w:p>
            <w:pPr>
              <w:ind w:left="40"/>
              <w:spacing w:after="0" w:line="237" w:lineRule="exact"/>
              <w:rPr>
                <w:sz w:val="20"/>
                <w:szCs w:val="20"/>
                <w:color w:val="auto"/>
              </w:rPr>
            </w:pPr>
            <w:r>
              <w:rPr>
                <w:rFonts w:ascii="Arial" w:cs="Arial" w:eastAsia="Arial" w:hAnsi="Arial"/>
                <w:sz w:val="21"/>
                <w:szCs w:val="21"/>
                <w:color w:val="auto"/>
                <w:w w:val="96"/>
              </w:rPr>
              <w:t>Cemetery Available</w:t>
            </w:r>
          </w:p>
        </w:tc>
      </w:tr>
      <w:tr>
        <w:trPr>
          <w:trHeight w:val="237"/>
        </w:trPr>
        <w:tc>
          <w:tcPr>
            <w:tcW w:w="2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jc w:val="center"/>
              <w:spacing w:after="0" w:line="237" w:lineRule="exact"/>
              <w:rPr>
                <w:sz w:val="20"/>
                <w:szCs w:val="20"/>
                <w:color w:val="auto"/>
              </w:rPr>
            </w:pPr>
            <w:r>
              <w:rPr>
                <w:rFonts w:ascii="Arial" w:cs="Arial" w:eastAsia="Arial" w:hAnsi="Arial"/>
                <w:sz w:val="21"/>
                <w:szCs w:val="21"/>
                <w:color w:val="auto"/>
                <w:w w:val="85"/>
              </w:rPr>
              <w:t>Date</w:t>
            </w:r>
          </w:p>
        </w:tc>
        <w:tc>
          <w:tcPr>
            <w:tcW w:w="1000" w:type="dxa"/>
            <w:vAlign w:val="bottom"/>
          </w:tcPr>
          <w:p>
            <w:pPr>
              <w:jc w:val="center"/>
              <w:spacing w:after="0" w:line="237" w:lineRule="exact"/>
              <w:rPr>
                <w:sz w:val="20"/>
                <w:szCs w:val="20"/>
                <w:color w:val="auto"/>
              </w:rPr>
            </w:pPr>
            <w:r>
              <w:rPr>
                <w:rFonts w:ascii="Arial" w:cs="Arial" w:eastAsia="Arial" w:hAnsi="Arial"/>
                <w:sz w:val="21"/>
                <w:szCs w:val="21"/>
                <w:color w:val="auto"/>
                <w:w w:val="92"/>
              </w:rPr>
              <w:t>Acreage</w:t>
            </w:r>
          </w:p>
        </w:tc>
        <w:tc>
          <w:tcPr>
            <w:tcW w:w="820" w:type="dxa"/>
            <w:vAlign w:val="bottom"/>
          </w:tcPr>
          <w:p>
            <w:pPr>
              <w:jc w:val="center"/>
              <w:spacing w:after="0" w:line="237" w:lineRule="exact"/>
              <w:rPr>
                <w:sz w:val="20"/>
                <w:szCs w:val="20"/>
                <w:color w:val="auto"/>
              </w:rPr>
            </w:pPr>
            <w:r>
              <w:rPr>
                <w:rFonts w:ascii="Arial" w:cs="Arial" w:eastAsia="Arial" w:hAnsi="Arial"/>
                <w:sz w:val="21"/>
                <w:szCs w:val="21"/>
                <w:color w:val="auto"/>
                <w:w w:val="89"/>
              </w:rPr>
              <w:t>Acreage</w:t>
            </w:r>
          </w:p>
        </w:tc>
        <w:tc>
          <w:tcPr>
            <w:tcW w:w="880" w:type="dxa"/>
            <w:vAlign w:val="bottom"/>
          </w:tcPr>
          <w:p>
            <w:pPr>
              <w:jc w:val="center"/>
              <w:spacing w:after="0" w:line="237" w:lineRule="exact"/>
              <w:rPr>
                <w:sz w:val="20"/>
                <w:szCs w:val="20"/>
                <w:color w:val="auto"/>
              </w:rPr>
            </w:pPr>
            <w:r>
              <w:rPr>
                <w:rFonts w:ascii="Arial" w:cs="Arial" w:eastAsia="Arial" w:hAnsi="Arial"/>
                <w:sz w:val="21"/>
                <w:szCs w:val="21"/>
                <w:color w:val="auto"/>
                <w:w w:val="82"/>
              </w:rPr>
              <w:t>Spaces</w:t>
            </w:r>
          </w:p>
        </w:tc>
        <w:tc>
          <w:tcPr>
            <w:tcW w:w="940" w:type="dxa"/>
            <w:vAlign w:val="bottom"/>
          </w:tcPr>
          <w:p>
            <w:pPr>
              <w:jc w:val="center"/>
              <w:spacing w:after="0" w:line="237" w:lineRule="exact"/>
              <w:rPr>
                <w:sz w:val="20"/>
                <w:szCs w:val="20"/>
                <w:color w:val="auto"/>
              </w:rPr>
            </w:pPr>
            <w:r>
              <w:rPr>
                <w:rFonts w:ascii="Arial" w:cs="Arial" w:eastAsia="Arial" w:hAnsi="Arial"/>
                <w:sz w:val="21"/>
                <w:szCs w:val="21"/>
                <w:color w:val="auto"/>
                <w:w w:val="89"/>
              </w:rPr>
              <w:t>Acreage</w:t>
            </w:r>
          </w:p>
        </w:tc>
      </w:tr>
      <w:tr>
        <w:trPr>
          <w:trHeight w:val="270"/>
        </w:trPr>
        <w:tc>
          <w:tcPr>
            <w:tcW w:w="2340" w:type="dxa"/>
            <w:vAlign w:val="bottom"/>
            <w:tcBorders>
              <w:bottom w:val="single" w:sz="8" w:color="auto"/>
            </w:tcBorders>
          </w:tcPr>
          <w:p>
            <w:pPr>
              <w:ind w:left="380"/>
              <w:spacing w:after="0"/>
              <w:rPr>
                <w:sz w:val="20"/>
                <w:szCs w:val="20"/>
                <w:color w:val="auto"/>
              </w:rPr>
            </w:pPr>
            <w:r>
              <w:rPr>
                <w:rFonts w:ascii="Arial" w:cs="Arial" w:eastAsia="Arial" w:hAnsi="Arial"/>
                <w:sz w:val="21"/>
                <w:szCs w:val="21"/>
                <w:color w:val="auto"/>
              </w:rPr>
              <w:t>Name of Cemetery</w:t>
            </w:r>
          </w:p>
        </w:tc>
        <w:tc>
          <w:tcPr>
            <w:tcW w:w="1960" w:type="dxa"/>
            <w:vAlign w:val="bottom"/>
            <w:tcBorders>
              <w:bottom w:val="single" w:sz="8" w:color="auto"/>
            </w:tcBorders>
          </w:tcPr>
          <w:p>
            <w:pPr>
              <w:ind w:left="620"/>
              <w:spacing w:after="0"/>
              <w:rPr>
                <w:sz w:val="20"/>
                <w:szCs w:val="20"/>
                <w:color w:val="auto"/>
              </w:rPr>
            </w:pPr>
            <w:r>
              <w:rPr>
                <w:rFonts w:ascii="Arial" w:cs="Arial" w:eastAsia="Arial" w:hAnsi="Arial"/>
                <w:sz w:val="21"/>
                <w:szCs w:val="21"/>
                <w:color w:val="auto"/>
              </w:rPr>
              <w:t>Location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4"/>
              </w:rPr>
              <w:t>Acquired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3"/>
              </w:rPr>
              <w:t>(1)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rPr>
              <w:t>(1)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3"/>
              </w:rPr>
              <w:t>(2)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3"/>
              </w:rPr>
              <w:t>(1)</w:t>
            </w:r>
          </w:p>
        </w:tc>
      </w:tr>
      <w:tr>
        <w:trPr>
          <w:trHeight w:val="259"/>
        </w:trPr>
        <w:tc>
          <w:tcPr>
            <w:tcW w:w="2340" w:type="dxa"/>
            <w:vAlign w:val="bottom"/>
          </w:tcPr>
          <w:p>
            <w:pPr>
              <w:spacing w:after="0"/>
              <w:rPr>
                <w:sz w:val="20"/>
                <w:szCs w:val="20"/>
                <w:color w:val="auto"/>
              </w:rPr>
            </w:pPr>
            <w:r>
              <w:rPr>
                <w:rFonts w:ascii="Arial" w:cs="Arial" w:eastAsia="Arial" w:hAnsi="Arial"/>
                <w:sz w:val="21"/>
                <w:szCs w:val="21"/>
                <w:color w:val="auto"/>
              </w:rPr>
              <w:t>Memorial Estates, Inc.</w:t>
            </w:r>
          </w:p>
        </w:tc>
        <w:tc>
          <w:tcPr>
            <w:tcW w:w="1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2340" w:type="dxa"/>
            <w:vAlign w:val="bottom"/>
            <w:shd w:val="clear" w:color="auto" w:fill="CCEEFF"/>
          </w:tcPr>
          <w:p>
            <w:pPr>
              <w:ind w:left="220"/>
              <w:spacing w:after="0" w:line="229" w:lineRule="exact"/>
              <w:rPr>
                <w:sz w:val="20"/>
                <w:szCs w:val="20"/>
                <w:color w:val="auto"/>
              </w:rPr>
            </w:pPr>
            <w:r>
              <w:rPr>
                <w:rFonts w:ascii="Arial" w:cs="Arial" w:eastAsia="Arial" w:hAnsi="Arial"/>
                <w:sz w:val="21"/>
                <w:szCs w:val="21"/>
                <w:color w:val="auto"/>
              </w:rPr>
              <w:t>Lakeview Cemetery</w:t>
            </w:r>
          </w:p>
        </w:tc>
        <w:tc>
          <w:tcPr>
            <w:tcW w:w="1960" w:type="dxa"/>
            <w:vAlign w:val="bottom"/>
            <w:shd w:val="clear" w:color="auto" w:fill="CCEEFF"/>
          </w:tcPr>
          <w:p>
            <w:pPr>
              <w:ind w:left="20"/>
              <w:spacing w:after="0" w:line="229" w:lineRule="exact"/>
              <w:rPr>
                <w:sz w:val="20"/>
                <w:szCs w:val="20"/>
                <w:color w:val="auto"/>
              </w:rPr>
            </w:pPr>
            <w:r>
              <w:rPr>
                <w:rFonts w:ascii="Arial" w:cs="Arial" w:eastAsia="Arial" w:hAnsi="Arial"/>
                <w:sz w:val="21"/>
                <w:szCs w:val="21"/>
                <w:color w:val="auto"/>
              </w:rPr>
              <w:t>1640 East Lakeview</w:t>
            </w: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340" w:type="dxa"/>
            <w:vAlign w:val="bottom"/>
            <w:shd w:val="clear" w:color="auto" w:fill="CCEEFF"/>
          </w:tcPr>
          <w:p>
            <w:pPr>
              <w:spacing w:after="0"/>
              <w:rPr>
                <w:sz w:val="20"/>
                <w:szCs w:val="20"/>
                <w:color w:val="auto"/>
              </w:rPr>
            </w:pPr>
          </w:p>
        </w:tc>
        <w:tc>
          <w:tcPr>
            <w:tcW w:w="1960" w:type="dxa"/>
            <w:vAlign w:val="bottom"/>
            <w:shd w:val="clear" w:color="auto" w:fill="CCEEFF"/>
          </w:tcPr>
          <w:p>
            <w:pPr>
              <w:ind w:left="20"/>
              <w:spacing w:after="0" w:line="237" w:lineRule="exact"/>
              <w:rPr>
                <w:sz w:val="20"/>
                <w:szCs w:val="20"/>
                <w:color w:val="auto"/>
              </w:rPr>
            </w:pPr>
            <w:r>
              <w:rPr>
                <w:rFonts w:ascii="Arial" w:cs="Arial" w:eastAsia="Arial" w:hAnsi="Arial"/>
                <w:sz w:val="21"/>
                <w:szCs w:val="21"/>
                <w:color w:val="auto"/>
              </w:rPr>
              <w:t>Drive</w:t>
            </w: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72"/>
        </w:trPr>
        <w:tc>
          <w:tcPr>
            <w:tcW w:w="2340" w:type="dxa"/>
            <w:vAlign w:val="bottom"/>
            <w:shd w:val="clear" w:color="auto" w:fill="CCEEFF"/>
          </w:tcPr>
          <w:p>
            <w:pPr>
              <w:spacing w:after="0"/>
              <w:rPr>
                <w:sz w:val="23"/>
                <w:szCs w:val="23"/>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21"/>
                <w:szCs w:val="21"/>
                <w:color w:val="auto"/>
              </w:rPr>
              <w:t>Bountiful, Utah</w:t>
            </w:r>
          </w:p>
        </w:tc>
        <w:tc>
          <w:tcPr>
            <w:tcW w:w="9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9"/>
              </w:rPr>
              <w:t>1973</w:t>
            </w:r>
          </w:p>
        </w:tc>
        <w:tc>
          <w:tcPr>
            <w:tcW w:w="1000" w:type="dxa"/>
            <w:vAlign w:val="bottom"/>
            <w:shd w:val="clear" w:color="auto" w:fill="CCEEFF"/>
          </w:tcPr>
          <w:p>
            <w:pPr>
              <w:jc w:val="center"/>
              <w:spacing w:after="0"/>
              <w:rPr>
                <w:sz w:val="20"/>
                <w:szCs w:val="20"/>
                <w:color w:val="auto"/>
              </w:rPr>
            </w:pPr>
            <w:r>
              <w:rPr>
                <w:rFonts w:ascii="Arial" w:cs="Arial" w:eastAsia="Arial" w:hAnsi="Arial"/>
                <w:sz w:val="21"/>
                <w:szCs w:val="21"/>
                <w:color w:val="auto"/>
              </w:rPr>
              <w:t>9</w:t>
            </w:r>
          </w:p>
        </w:tc>
        <w:tc>
          <w:tcPr>
            <w:tcW w:w="8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93"/>
              </w:rPr>
              <w:t>39</w:t>
            </w:r>
          </w:p>
        </w:tc>
        <w:tc>
          <w:tcPr>
            <w:tcW w:w="88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7</w:t>
            </w:r>
          </w:p>
        </w:tc>
        <w:tc>
          <w:tcPr>
            <w:tcW w:w="94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32</w:t>
            </w:r>
          </w:p>
        </w:tc>
      </w:tr>
      <w:tr>
        <w:trPr>
          <w:trHeight w:val="264"/>
        </w:trPr>
        <w:tc>
          <w:tcPr>
            <w:tcW w:w="2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2340" w:type="dxa"/>
            <w:vAlign w:val="bottom"/>
            <w:shd w:val="clear" w:color="auto" w:fill="CCEEFF"/>
          </w:tcPr>
          <w:p>
            <w:pPr>
              <w:ind w:left="220"/>
              <w:spacing w:after="0" w:line="229" w:lineRule="exact"/>
              <w:rPr>
                <w:sz w:val="20"/>
                <w:szCs w:val="20"/>
                <w:color w:val="auto"/>
              </w:rPr>
            </w:pPr>
            <w:r>
              <w:rPr>
                <w:rFonts w:ascii="Arial" w:cs="Arial" w:eastAsia="Arial" w:hAnsi="Arial"/>
                <w:sz w:val="21"/>
                <w:szCs w:val="21"/>
                <w:color w:val="auto"/>
              </w:rPr>
              <w:t>Mountain View</w:t>
            </w:r>
          </w:p>
        </w:tc>
        <w:tc>
          <w:tcPr>
            <w:tcW w:w="1960" w:type="dxa"/>
            <w:vAlign w:val="bottom"/>
            <w:shd w:val="clear" w:color="auto" w:fill="CCEEFF"/>
          </w:tcPr>
          <w:p>
            <w:pPr>
              <w:ind w:left="20"/>
              <w:spacing w:after="0" w:line="229" w:lineRule="exact"/>
              <w:rPr>
                <w:sz w:val="20"/>
                <w:szCs w:val="20"/>
                <w:color w:val="auto"/>
              </w:rPr>
            </w:pPr>
            <w:r>
              <w:rPr>
                <w:rFonts w:ascii="Arial" w:cs="Arial" w:eastAsia="Arial" w:hAnsi="Arial"/>
                <w:sz w:val="21"/>
                <w:szCs w:val="21"/>
                <w:color w:val="auto"/>
                <w:w w:val="92"/>
              </w:rPr>
              <w:t>3115 East 7800 South</w:t>
            </w: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72"/>
        </w:trPr>
        <w:tc>
          <w:tcPr>
            <w:tcW w:w="2340" w:type="dxa"/>
            <w:vAlign w:val="bottom"/>
            <w:shd w:val="clear" w:color="auto" w:fill="CCEEFF"/>
          </w:tcPr>
          <w:p>
            <w:pPr>
              <w:spacing w:after="0"/>
              <w:rPr>
                <w:sz w:val="20"/>
                <w:szCs w:val="20"/>
                <w:color w:val="auto"/>
              </w:rPr>
            </w:pPr>
            <w:r>
              <w:rPr>
                <w:rFonts w:ascii="Arial" w:cs="Arial" w:eastAsia="Arial" w:hAnsi="Arial"/>
                <w:sz w:val="21"/>
                <w:szCs w:val="21"/>
                <w:color w:val="auto"/>
              </w:rPr>
              <w:t>Cemetery</w:t>
            </w:r>
          </w:p>
        </w:tc>
        <w:tc>
          <w:tcPr>
            <w:tcW w:w="1960" w:type="dxa"/>
            <w:vAlign w:val="bottom"/>
            <w:shd w:val="clear" w:color="auto" w:fill="CCEEFF"/>
          </w:tcPr>
          <w:p>
            <w:pPr>
              <w:ind w:left="20"/>
              <w:spacing w:after="0"/>
              <w:rPr>
                <w:sz w:val="20"/>
                <w:szCs w:val="20"/>
                <w:color w:val="auto"/>
              </w:rPr>
            </w:pPr>
            <w:r>
              <w:rPr>
                <w:rFonts w:ascii="Arial" w:cs="Arial" w:eastAsia="Arial" w:hAnsi="Arial"/>
                <w:sz w:val="21"/>
                <w:szCs w:val="21"/>
                <w:color w:val="auto"/>
              </w:rPr>
              <w:t>Salt Lake City, Utah</w:t>
            </w:r>
          </w:p>
        </w:tc>
        <w:tc>
          <w:tcPr>
            <w:tcW w:w="9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9"/>
              </w:rPr>
              <w:t>1973</w:t>
            </w:r>
          </w:p>
        </w:tc>
        <w:tc>
          <w:tcPr>
            <w:tcW w:w="100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26</w:t>
            </w:r>
          </w:p>
        </w:tc>
        <w:tc>
          <w:tcPr>
            <w:tcW w:w="8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93"/>
              </w:rPr>
              <w:t>54</w:t>
            </w:r>
          </w:p>
        </w:tc>
        <w:tc>
          <w:tcPr>
            <w:tcW w:w="88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93"/>
              </w:rPr>
              <w:t>20</w:t>
            </w:r>
          </w:p>
        </w:tc>
        <w:tc>
          <w:tcPr>
            <w:tcW w:w="94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34</w:t>
            </w:r>
          </w:p>
        </w:tc>
      </w:tr>
      <w:tr>
        <w:trPr>
          <w:trHeight w:val="264"/>
        </w:trPr>
        <w:tc>
          <w:tcPr>
            <w:tcW w:w="2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2340" w:type="dxa"/>
            <w:vAlign w:val="bottom"/>
            <w:shd w:val="clear" w:color="auto" w:fill="CCEEFF"/>
          </w:tcPr>
          <w:p>
            <w:pPr>
              <w:ind w:left="220"/>
              <w:spacing w:after="0" w:line="229" w:lineRule="exact"/>
              <w:rPr>
                <w:sz w:val="20"/>
                <w:szCs w:val="20"/>
                <w:color w:val="auto"/>
              </w:rPr>
            </w:pPr>
            <w:r>
              <w:rPr>
                <w:rFonts w:ascii="Arial" w:cs="Arial" w:eastAsia="Arial" w:hAnsi="Arial"/>
                <w:sz w:val="21"/>
                <w:szCs w:val="21"/>
                <w:color w:val="auto"/>
                <w:w w:val="96"/>
              </w:rPr>
              <w:t>Redwood Cemetery (3)</w:t>
            </w:r>
          </w:p>
        </w:tc>
        <w:tc>
          <w:tcPr>
            <w:tcW w:w="1960" w:type="dxa"/>
            <w:vAlign w:val="bottom"/>
            <w:shd w:val="clear" w:color="auto" w:fill="CCEEFF"/>
          </w:tcPr>
          <w:p>
            <w:pPr>
              <w:ind w:left="20"/>
              <w:spacing w:after="0" w:line="229" w:lineRule="exact"/>
              <w:rPr>
                <w:sz w:val="20"/>
                <w:szCs w:val="20"/>
                <w:color w:val="auto"/>
              </w:rPr>
            </w:pPr>
            <w:r>
              <w:rPr>
                <w:rFonts w:ascii="Arial" w:cs="Arial" w:eastAsia="Arial" w:hAnsi="Arial"/>
                <w:sz w:val="21"/>
                <w:szCs w:val="21"/>
                <w:color w:val="auto"/>
                <w:w w:val="95"/>
              </w:rPr>
              <w:t>6500 South Redwood</w:t>
            </w: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340" w:type="dxa"/>
            <w:vAlign w:val="bottom"/>
            <w:shd w:val="clear" w:color="auto" w:fill="CCEEFF"/>
          </w:tcPr>
          <w:p>
            <w:pPr>
              <w:spacing w:after="0"/>
              <w:rPr>
                <w:sz w:val="20"/>
                <w:szCs w:val="20"/>
                <w:color w:val="auto"/>
              </w:rPr>
            </w:pPr>
          </w:p>
        </w:tc>
        <w:tc>
          <w:tcPr>
            <w:tcW w:w="1960" w:type="dxa"/>
            <w:vAlign w:val="bottom"/>
            <w:shd w:val="clear" w:color="auto" w:fill="CCEEFF"/>
          </w:tcPr>
          <w:p>
            <w:pPr>
              <w:ind w:left="20"/>
              <w:spacing w:after="0" w:line="237" w:lineRule="exact"/>
              <w:rPr>
                <w:sz w:val="20"/>
                <w:szCs w:val="20"/>
                <w:color w:val="auto"/>
              </w:rPr>
            </w:pPr>
            <w:r>
              <w:rPr>
                <w:rFonts w:ascii="Arial" w:cs="Arial" w:eastAsia="Arial" w:hAnsi="Arial"/>
                <w:sz w:val="21"/>
                <w:szCs w:val="21"/>
                <w:color w:val="auto"/>
              </w:rPr>
              <w:t>Road</w:t>
            </w: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72"/>
        </w:trPr>
        <w:tc>
          <w:tcPr>
            <w:tcW w:w="2340" w:type="dxa"/>
            <w:vAlign w:val="bottom"/>
            <w:shd w:val="clear" w:color="auto" w:fill="CCEEFF"/>
          </w:tcPr>
          <w:p>
            <w:pPr>
              <w:spacing w:after="0"/>
              <w:rPr>
                <w:sz w:val="23"/>
                <w:szCs w:val="23"/>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21"/>
                <w:szCs w:val="21"/>
                <w:color w:val="auto"/>
              </w:rPr>
              <w:t>West Jordan, Utah</w:t>
            </w:r>
          </w:p>
        </w:tc>
        <w:tc>
          <w:tcPr>
            <w:tcW w:w="9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9"/>
              </w:rPr>
              <w:t>1973</w:t>
            </w:r>
          </w:p>
        </w:tc>
        <w:tc>
          <w:tcPr>
            <w:tcW w:w="100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28</w:t>
            </w:r>
          </w:p>
        </w:tc>
        <w:tc>
          <w:tcPr>
            <w:tcW w:w="8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93"/>
              </w:rPr>
              <w:t>71</w:t>
            </w:r>
          </w:p>
        </w:tc>
        <w:tc>
          <w:tcPr>
            <w:tcW w:w="88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93"/>
              </w:rPr>
              <w:t>35</w:t>
            </w:r>
          </w:p>
        </w:tc>
        <w:tc>
          <w:tcPr>
            <w:tcW w:w="94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36</w:t>
            </w:r>
          </w:p>
        </w:tc>
      </w:tr>
      <w:tr>
        <w:trPr>
          <w:trHeight w:val="264"/>
        </w:trPr>
        <w:tc>
          <w:tcPr>
            <w:tcW w:w="2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2340" w:type="dxa"/>
            <w:vAlign w:val="bottom"/>
            <w:shd w:val="clear" w:color="auto" w:fill="CCEEFF"/>
          </w:tcPr>
          <w:p>
            <w:pPr>
              <w:spacing w:after="0" w:line="229" w:lineRule="exact"/>
              <w:rPr>
                <w:sz w:val="20"/>
                <w:szCs w:val="20"/>
                <w:color w:val="auto"/>
              </w:rPr>
            </w:pPr>
            <w:r>
              <w:rPr>
                <w:rFonts w:ascii="Arial" w:cs="Arial" w:eastAsia="Arial" w:hAnsi="Arial"/>
                <w:sz w:val="21"/>
                <w:szCs w:val="21"/>
                <w:color w:val="auto"/>
              </w:rPr>
              <w:t>Deseret Memorial Inc.</w:t>
            </w:r>
          </w:p>
        </w:tc>
        <w:tc>
          <w:tcPr>
            <w:tcW w:w="1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72"/>
        </w:trPr>
        <w:tc>
          <w:tcPr>
            <w:tcW w:w="2340" w:type="dxa"/>
            <w:vAlign w:val="bottom"/>
            <w:shd w:val="clear" w:color="auto" w:fill="CCEEFF"/>
          </w:tcPr>
          <w:p>
            <w:pPr>
              <w:spacing w:after="0"/>
              <w:rPr>
                <w:sz w:val="20"/>
                <w:szCs w:val="20"/>
                <w:color w:val="auto"/>
              </w:rPr>
            </w:pPr>
            <w:r>
              <w:rPr>
                <w:rFonts w:ascii="Arial" w:cs="Arial" w:eastAsia="Arial" w:hAnsi="Arial"/>
                <w:sz w:val="21"/>
                <w:szCs w:val="21"/>
                <w:color w:val="auto"/>
                <w:w w:val="94"/>
              </w:rPr>
              <w:t>Lake Hills Cemetery (3)(6)</w:t>
            </w:r>
          </w:p>
        </w:tc>
        <w:tc>
          <w:tcPr>
            <w:tcW w:w="19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2340" w:type="dxa"/>
            <w:vAlign w:val="bottom"/>
          </w:tcPr>
          <w:p>
            <w:pPr>
              <w:ind w:left="220"/>
              <w:spacing w:after="0" w:line="229" w:lineRule="exact"/>
              <w:rPr>
                <w:sz w:val="20"/>
                <w:szCs w:val="20"/>
                <w:color w:val="auto"/>
              </w:rPr>
            </w:pPr>
            <w:r>
              <w:rPr>
                <w:rFonts w:ascii="Arial" w:cs="Arial" w:eastAsia="Arial" w:hAnsi="Arial"/>
                <w:sz w:val="21"/>
                <w:szCs w:val="21"/>
                <w:color w:val="auto"/>
              </w:rPr>
              <w:t>Lake Hills Cemetery</w:t>
            </w:r>
          </w:p>
        </w:tc>
        <w:tc>
          <w:tcPr>
            <w:tcW w:w="1960" w:type="dxa"/>
            <w:vAlign w:val="bottom"/>
          </w:tcPr>
          <w:p>
            <w:pPr>
              <w:ind w:left="20"/>
              <w:spacing w:after="0" w:line="229" w:lineRule="exact"/>
              <w:rPr>
                <w:sz w:val="20"/>
                <w:szCs w:val="20"/>
                <w:color w:val="auto"/>
              </w:rPr>
            </w:pPr>
            <w:r>
              <w:rPr>
                <w:rFonts w:ascii="Arial" w:cs="Arial" w:eastAsia="Arial" w:hAnsi="Arial"/>
                <w:sz w:val="21"/>
                <w:szCs w:val="21"/>
                <w:color w:val="auto"/>
              </w:rPr>
              <w:t>10055 South State</w:t>
            </w: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7"/>
        </w:trPr>
        <w:tc>
          <w:tcPr>
            <w:tcW w:w="2340" w:type="dxa"/>
            <w:vAlign w:val="bottom"/>
          </w:tcPr>
          <w:p>
            <w:pPr>
              <w:spacing w:after="0"/>
              <w:rPr>
                <w:sz w:val="20"/>
                <w:szCs w:val="20"/>
                <w:color w:val="auto"/>
              </w:rPr>
            </w:pPr>
          </w:p>
        </w:tc>
        <w:tc>
          <w:tcPr>
            <w:tcW w:w="1960" w:type="dxa"/>
            <w:vAlign w:val="bottom"/>
          </w:tcPr>
          <w:p>
            <w:pPr>
              <w:ind w:left="20"/>
              <w:spacing w:after="0" w:line="237" w:lineRule="exact"/>
              <w:rPr>
                <w:sz w:val="20"/>
                <w:szCs w:val="20"/>
                <w:color w:val="auto"/>
              </w:rPr>
            </w:pPr>
            <w:r>
              <w:rPr>
                <w:rFonts w:ascii="Arial" w:cs="Arial" w:eastAsia="Arial" w:hAnsi="Arial"/>
                <w:sz w:val="21"/>
                <w:szCs w:val="21"/>
                <w:color w:val="auto"/>
              </w:rPr>
              <w:t>Street</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2340" w:type="dxa"/>
            <w:vAlign w:val="bottom"/>
          </w:tcPr>
          <w:p>
            <w:pPr>
              <w:spacing w:after="0"/>
              <w:rPr>
                <w:sz w:val="23"/>
                <w:szCs w:val="23"/>
                <w:color w:val="auto"/>
              </w:rPr>
            </w:pPr>
          </w:p>
        </w:tc>
        <w:tc>
          <w:tcPr>
            <w:tcW w:w="1960" w:type="dxa"/>
            <w:vAlign w:val="bottom"/>
          </w:tcPr>
          <w:p>
            <w:pPr>
              <w:ind w:left="20"/>
              <w:spacing w:after="0"/>
              <w:rPr>
                <w:sz w:val="20"/>
                <w:szCs w:val="20"/>
                <w:color w:val="auto"/>
              </w:rPr>
            </w:pPr>
            <w:r>
              <w:rPr>
                <w:rFonts w:ascii="Arial" w:cs="Arial" w:eastAsia="Arial" w:hAnsi="Arial"/>
                <w:sz w:val="21"/>
                <w:szCs w:val="21"/>
                <w:color w:val="auto"/>
              </w:rPr>
              <w:t>Sandy, Utah</w:t>
            </w:r>
          </w:p>
        </w:tc>
        <w:tc>
          <w:tcPr>
            <w:tcW w:w="920" w:type="dxa"/>
            <w:vAlign w:val="bottom"/>
          </w:tcPr>
          <w:p>
            <w:pPr>
              <w:jc w:val="center"/>
              <w:spacing w:after="0"/>
              <w:rPr>
                <w:sz w:val="20"/>
                <w:szCs w:val="20"/>
                <w:color w:val="auto"/>
              </w:rPr>
            </w:pPr>
            <w:r>
              <w:rPr>
                <w:rFonts w:ascii="Arial" w:cs="Arial" w:eastAsia="Arial" w:hAnsi="Arial"/>
                <w:sz w:val="21"/>
                <w:szCs w:val="21"/>
                <w:color w:val="auto"/>
                <w:w w:val="89"/>
              </w:rPr>
              <w:t>1991</w:t>
            </w:r>
          </w:p>
        </w:tc>
        <w:tc>
          <w:tcPr>
            <w:tcW w:w="1000" w:type="dxa"/>
            <w:vAlign w:val="bottom"/>
          </w:tcPr>
          <w:p>
            <w:pPr>
              <w:jc w:val="center"/>
              <w:spacing w:after="0"/>
              <w:rPr>
                <w:sz w:val="20"/>
                <w:szCs w:val="20"/>
                <w:color w:val="auto"/>
              </w:rPr>
            </w:pPr>
            <w:r>
              <w:rPr>
                <w:rFonts w:ascii="Arial" w:cs="Arial" w:eastAsia="Arial" w:hAnsi="Arial"/>
                <w:sz w:val="21"/>
                <w:szCs w:val="21"/>
                <w:color w:val="auto"/>
              </w:rPr>
              <w:t>9</w:t>
            </w:r>
          </w:p>
        </w:tc>
        <w:tc>
          <w:tcPr>
            <w:tcW w:w="820" w:type="dxa"/>
            <w:vAlign w:val="bottom"/>
          </w:tcPr>
          <w:p>
            <w:pPr>
              <w:jc w:val="center"/>
              <w:spacing w:after="0"/>
              <w:rPr>
                <w:sz w:val="20"/>
                <w:szCs w:val="20"/>
                <w:color w:val="auto"/>
              </w:rPr>
            </w:pPr>
            <w:r>
              <w:rPr>
                <w:rFonts w:ascii="Arial" w:cs="Arial" w:eastAsia="Arial" w:hAnsi="Arial"/>
                <w:sz w:val="21"/>
                <w:szCs w:val="21"/>
                <w:color w:val="auto"/>
                <w:w w:val="93"/>
              </w:rPr>
              <w:t>28</w:t>
            </w:r>
          </w:p>
        </w:tc>
        <w:tc>
          <w:tcPr>
            <w:tcW w:w="880" w:type="dxa"/>
            <w:vAlign w:val="bottom"/>
          </w:tcPr>
          <w:p>
            <w:pPr>
              <w:jc w:val="center"/>
              <w:spacing w:after="0"/>
              <w:rPr>
                <w:sz w:val="20"/>
                <w:szCs w:val="20"/>
                <w:color w:val="auto"/>
              </w:rPr>
            </w:pPr>
            <w:r>
              <w:rPr>
                <w:rFonts w:ascii="Arial" w:cs="Arial" w:eastAsia="Arial" w:hAnsi="Arial"/>
                <w:sz w:val="21"/>
                <w:szCs w:val="21"/>
                <w:color w:val="auto"/>
                <w:w w:val="85"/>
              </w:rPr>
              <w:t>6</w:t>
            </w:r>
          </w:p>
        </w:tc>
        <w:tc>
          <w:tcPr>
            <w:tcW w:w="940" w:type="dxa"/>
            <w:vAlign w:val="bottom"/>
          </w:tcPr>
          <w:p>
            <w:pPr>
              <w:jc w:val="center"/>
              <w:spacing w:after="0"/>
              <w:rPr>
                <w:sz w:val="20"/>
                <w:szCs w:val="20"/>
                <w:color w:val="auto"/>
              </w:rPr>
            </w:pPr>
            <w:r>
              <w:rPr>
                <w:rFonts w:ascii="Arial" w:cs="Arial" w:eastAsia="Arial" w:hAnsi="Arial"/>
                <w:sz w:val="21"/>
                <w:szCs w:val="21"/>
                <w:color w:val="auto"/>
                <w:w w:val="85"/>
              </w:rPr>
              <w:t>22</w:t>
            </w:r>
          </w:p>
        </w:tc>
      </w:tr>
      <w:tr>
        <w:trPr>
          <w:trHeight w:val="266"/>
        </w:trPr>
        <w:tc>
          <w:tcPr>
            <w:tcW w:w="4300" w:type="dxa"/>
            <w:vAlign w:val="bottom"/>
            <w:gridSpan w:val="2"/>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300" w:type="dxa"/>
            <w:vAlign w:val="bottom"/>
            <w:gridSpan w:val="2"/>
          </w:tcPr>
          <w:p>
            <w:pPr>
              <w:spacing w:after="0"/>
              <w:rPr>
                <w:sz w:val="20"/>
                <w:szCs w:val="20"/>
                <w:color w:val="auto"/>
              </w:rPr>
            </w:pPr>
            <w:r>
              <w:rPr>
                <w:rFonts w:ascii="Arial" w:cs="Arial" w:eastAsia="Arial" w:hAnsi="Arial"/>
                <w:sz w:val="21"/>
                <w:szCs w:val="21"/>
                <w:color w:val="auto"/>
              </w:rPr>
              <w:t>Holladay Memorial Park, Inc.</w:t>
            </w: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4300" w:type="dxa"/>
            <w:vAlign w:val="bottom"/>
            <w:gridSpan w:val="2"/>
            <w:shd w:val="clear" w:color="auto" w:fill="CCEEFF"/>
          </w:tcPr>
          <w:p>
            <w:pPr>
              <w:ind w:left="220"/>
              <w:spacing w:after="0" w:line="229" w:lineRule="exact"/>
              <w:rPr>
                <w:sz w:val="20"/>
                <w:szCs w:val="20"/>
                <w:color w:val="auto"/>
              </w:rPr>
            </w:pPr>
            <w:r>
              <w:rPr>
                <w:rFonts w:ascii="Arial" w:cs="Arial" w:eastAsia="Arial" w:hAnsi="Arial"/>
                <w:sz w:val="21"/>
                <w:szCs w:val="21"/>
                <w:color w:val="auto"/>
                <w:w w:val="97"/>
              </w:rPr>
              <w:t>Holladay Memorial Park 4900 South Memory</w:t>
            </w: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3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(3)</w:t>
            </w:r>
          </w:p>
        </w:tc>
        <w:tc>
          <w:tcPr>
            <w:tcW w:w="1960" w:type="dxa"/>
            <w:vAlign w:val="bottom"/>
            <w:shd w:val="clear" w:color="auto" w:fill="CCEEFF"/>
          </w:tcPr>
          <w:p>
            <w:pPr>
              <w:ind w:left="20"/>
              <w:spacing w:after="0" w:line="237" w:lineRule="exact"/>
              <w:rPr>
                <w:sz w:val="20"/>
                <w:szCs w:val="20"/>
                <w:color w:val="auto"/>
              </w:rPr>
            </w:pPr>
            <w:r>
              <w:rPr>
                <w:rFonts w:ascii="Arial" w:cs="Arial" w:eastAsia="Arial" w:hAnsi="Arial"/>
                <w:sz w:val="21"/>
                <w:szCs w:val="21"/>
                <w:color w:val="auto"/>
              </w:rPr>
              <w:t>Lane</w:t>
            </w:r>
          </w:p>
        </w:tc>
        <w:tc>
          <w:tcPr>
            <w:tcW w:w="9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72"/>
        </w:trPr>
        <w:tc>
          <w:tcPr>
            <w:tcW w:w="2340" w:type="dxa"/>
            <w:vAlign w:val="bottom"/>
            <w:shd w:val="clear" w:color="auto" w:fill="CCEEFF"/>
          </w:tcPr>
          <w:p>
            <w:pPr>
              <w:spacing w:after="0"/>
              <w:rPr>
                <w:sz w:val="23"/>
                <w:szCs w:val="23"/>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21"/>
                <w:szCs w:val="21"/>
                <w:color w:val="auto"/>
              </w:rPr>
              <w:t>Holladay, Utah</w:t>
            </w:r>
          </w:p>
        </w:tc>
        <w:tc>
          <w:tcPr>
            <w:tcW w:w="9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9"/>
              </w:rPr>
              <w:t>1991</w:t>
            </w:r>
          </w:p>
        </w:tc>
        <w:tc>
          <w:tcPr>
            <w:tcW w:w="100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12</w:t>
            </w:r>
          </w:p>
        </w:tc>
        <w:tc>
          <w:tcPr>
            <w:tcW w:w="82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93"/>
              </w:rPr>
              <w:t>14</w:t>
            </w:r>
          </w:p>
        </w:tc>
        <w:tc>
          <w:tcPr>
            <w:tcW w:w="88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7</w:t>
            </w:r>
          </w:p>
        </w:tc>
        <w:tc>
          <w:tcPr>
            <w:tcW w:w="940" w:type="dxa"/>
            <w:vAlign w:val="bottom"/>
            <w:shd w:val="clear" w:color="auto" w:fill="CCEEFF"/>
          </w:tcPr>
          <w:p>
            <w:pPr>
              <w:jc w:val="center"/>
              <w:spacing w:after="0"/>
              <w:rPr>
                <w:sz w:val="20"/>
                <w:szCs w:val="20"/>
                <w:color w:val="auto"/>
              </w:rPr>
            </w:pPr>
            <w:r>
              <w:rPr>
                <w:rFonts w:ascii="Arial" w:cs="Arial" w:eastAsia="Arial" w:hAnsi="Arial"/>
                <w:sz w:val="21"/>
                <w:szCs w:val="21"/>
                <w:color w:val="auto"/>
                <w:w w:val="85"/>
              </w:rPr>
              <w:t>7</w:t>
            </w:r>
          </w:p>
        </w:tc>
      </w:tr>
      <w:tr>
        <w:trPr>
          <w:trHeight w:val="264"/>
        </w:trPr>
        <w:tc>
          <w:tcPr>
            <w:tcW w:w="430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4300" w:type="dxa"/>
            <w:vAlign w:val="bottom"/>
            <w:gridSpan w:val="2"/>
            <w:shd w:val="clear" w:color="auto" w:fill="CCEEFF"/>
          </w:tcPr>
          <w:p>
            <w:pPr>
              <w:spacing w:after="0"/>
              <w:rPr>
                <w:sz w:val="20"/>
                <w:szCs w:val="20"/>
                <w:color w:val="auto"/>
              </w:rPr>
            </w:pPr>
            <w:r>
              <w:rPr>
                <w:rFonts w:ascii="Arial" w:cs="Arial" w:eastAsia="Arial" w:hAnsi="Arial"/>
                <w:sz w:val="21"/>
                <w:szCs w:val="21"/>
                <w:color w:val="auto"/>
              </w:rPr>
              <w:t>California Memorial Estates, Inc.</w:t>
            </w:r>
          </w:p>
        </w:tc>
        <w:tc>
          <w:tcPr>
            <w:tcW w:w="9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2340" w:type="dxa"/>
            <w:vAlign w:val="bottom"/>
          </w:tcPr>
          <w:p>
            <w:pPr>
              <w:ind w:left="220"/>
              <w:spacing w:after="0" w:line="229" w:lineRule="exact"/>
              <w:rPr>
                <w:sz w:val="20"/>
                <w:szCs w:val="20"/>
                <w:color w:val="auto"/>
              </w:rPr>
            </w:pPr>
            <w:r>
              <w:rPr>
                <w:rFonts w:ascii="Arial" w:cs="Arial" w:eastAsia="Arial" w:hAnsi="Arial"/>
                <w:sz w:val="21"/>
                <w:szCs w:val="21"/>
                <w:color w:val="auto"/>
              </w:rPr>
              <w:t>Singing Hills Memorial</w:t>
            </w:r>
          </w:p>
        </w:tc>
        <w:tc>
          <w:tcPr>
            <w:tcW w:w="1960" w:type="dxa"/>
            <w:vAlign w:val="bottom"/>
          </w:tcPr>
          <w:p>
            <w:pPr>
              <w:ind w:left="20"/>
              <w:spacing w:after="0" w:line="229" w:lineRule="exact"/>
              <w:rPr>
                <w:sz w:val="20"/>
                <w:szCs w:val="20"/>
                <w:color w:val="auto"/>
              </w:rPr>
            </w:pPr>
            <w:r>
              <w:rPr>
                <w:rFonts w:ascii="Arial" w:cs="Arial" w:eastAsia="Arial" w:hAnsi="Arial"/>
                <w:sz w:val="21"/>
                <w:szCs w:val="21"/>
                <w:color w:val="auto"/>
              </w:rPr>
              <w:t>2800 Dehesa Road</w:t>
            </w: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8"/>
        </w:trPr>
        <w:tc>
          <w:tcPr>
            <w:tcW w:w="2340" w:type="dxa"/>
            <w:vAlign w:val="bottom"/>
          </w:tcPr>
          <w:p>
            <w:pPr>
              <w:spacing w:after="0"/>
              <w:rPr>
                <w:sz w:val="20"/>
                <w:szCs w:val="20"/>
                <w:color w:val="auto"/>
              </w:rPr>
            </w:pPr>
            <w:r>
              <w:rPr>
                <w:rFonts w:ascii="Arial" w:cs="Arial" w:eastAsia="Arial" w:hAnsi="Arial"/>
                <w:sz w:val="21"/>
                <w:szCs w:val="21"/>
                <w:color w:val="auto"/>
              </w:rPr>
              <w:t>Park (4)</w:t>
            </w:r>
          </w:p>
        </w:tc>
        <w:tc>
          <w:tcPr>
            <w:tcW w:w="1960" w:type="dxa"/>
            <w:vAlign w:val="bottom"/>
          </w:tcPr>
          <w:p>
            <w:pPr>
              <w:ind w:left="20"/>
              <w:spacing w:after="0"/>
              <w:rPr>
                <w:sz w:val="20"/>
                <w:szCs w:val="20"/>
                <w:color w:val="auto"/>
              </w:rPr>
            </w:pPr>
            <w:r>
              <w:rPr>
                <w:rFonts w:ascii="Arial" w:cs="Arial" w:eastAsia="Arial" w:hAnsi="Arial"/>
                <w:sz w:val="21"/>
                <w:szCs w:val="21"/>
                <w:color w:val="auto"/>
              </w:rPr>
              <w:t>El Cajon, California</w:t>
            </w:r>
          </w:p>
        </w:tc>
        <w:tc>
          <w:tcPr>
            <w:tcW w:w="920" w:type="dxa"/>
            <w:vAlign w:val="bottom"/>
          </w:tcPr>
          <w:p>
            <w:pPr>
              <w:jc w:val="center"/>
              <w:spacing w:after="0"/>
              <w:rPr>
                <w:sz w:val="20"/>
                <w:szCs w:val="20"/>
                <w:color w:val="auto"/>
              </w:rPr>
            </w:pPr>
            <w:r>
              <w:rPr>
                <w:rFonts w:ascii="Arial" w:cs="Arial" w:eastAsia="Arial" w:hAnsi="Arial"/>
                <w:sz w:val="21"/>
                <w:szCs w:val="21"/>
                <w:color w:val="auto"/>
                <w:w w:val="89"/>
              </w:rPr>
              <w:t>1995</w:t>
            </w:r>
          </w:p>
        </w:tc>
        <w:tc>
          <w:tcPr>
            <w:tcW w:w="1000" w:type="dxa"/>
            <w:vAlign w:val="bottom"/>
          </w:tcPr>
          <w:p>
            <w:pPr>
              <w:jc w:val="center"/>
              <w:spacing w:after="0"/>
              <w:rPr>
                <w:sz w:val="20"/>
                <w:szCs w:val="20"/>
                <w:color w:val="auto"/>
              </w:rPr>
            </w:pPr>
            <w:r>
              <w:rPr>
                <w:rFonts w:ascii="Arial" w:cs="Arial" w:eastAsia="Arial" w:hAnsi="Arial"/>
                <w:sz w:val="21"/>
                <w:szCs w:val="21"/>
                <w:color w:val="auto"/>
              </w:rPr>
              <w:t>8</w:t>
            </w:r>
          </w:p>
        </w:tc>
        <w:tc>
          <w:tcPr>
            <w:tcW w:w="820" w:type="dxa"/>
            <w:vAlign w:val="bottom"/>
          </w:tcPr>
          <w:p>
            <w:pPr>
              <w:jc w:val="center"/>
              <w:spacing w:after="0"/>
              <w:rPr>
                <w:sz w:val="20"/>
                <w:szCs w:val="20"/>
                <w:color w:val="auto"/>
              </w:rPr>
            </w:pPr>
            <w:r>
              <w:rPr>
                <w:rFonts w:ascii="Arial" w:cs="Arial" w:eastAsia="Arial" w:hAnsi="Arial"/>
                <w:sz w:val="21"/>
                <w:szCs w:val="21"/>
                <w:color w:val="auto"/>
                <w:w w:val="93"/>
              </w:rPr>
              <w:t>97</w:t>
            </w:r>
          </w:p>
        </w:tc>
        <w:tc>
          <w:tcPr>
            <w:tcW w:w="880" w:type="dxa"/>
            <w:vAlign w:val="bottom"/>
          </w:tcPr>
          <w:p>
            <w:pPr>
              <w:jc w:val="center"/>
              <w:spacing w:after="0"/>
              <w:rPr>
                <w:sz w:val="20"/>
                <w:szCs w:val="20"/>
                <w:color w:val="auto"/>
              </w:rPr>
            </w:pPr>
            <w:r>
              <w:rPr>
                <w:rFonts w:ascii="Arial" w:cs="Arial" w:eastAsia="Arial" w:hAnsi="Arial"/>
                <w:sz w:val="21"/>
                <w:szCs w:val="21"/>
                <w:color w:val="auto"/>
                <w:w w:val="85"/>
              </w:rPr>
              <w:t>6</w:t>
            </w:r>
          </w:p>
        </w:tc>
        <w:tc>
          <w:tcPr>
            <w:tcW w:w="940" w:type="dxa"/>
            <w:vAlign w:val="bottom"/>
          </w:tcPr>
          <w:p>
            <w:pPr>
              <w:jc w:val="center"/>
              <w:spacing w:after="0"/>
              <w:rPr>
                <w:sz w:val="20"/>
                <w:szCs w:val="20"/>
                <w:color w:val="auto"/>
              </w:rPr>
            </w:pPr>
            <w:r>
              <w:rPr>
                <w:rFonts w:ascii="Arial" w:cs="Arial" w:eastAsia="Arial" w:hAnsi="Arial"/>
                <w:sz w:val="21"/>
                <w:szCs w:val="21"/>
                <w:color w:val="auto"/>
                <w:w w:val="85"/>
              </w:rPr>
              <w:t>91</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w:t>
      </w:r>
    </w:p>
    <w:p>
      <w:pPr>
        <w:spacing w:after="0" w:line="124" w:lineRule="exact"/>
        <w:rPr>
          <w:sz w:val="20"/>
          <w:szCs w:val="20"/>
          <w:color w:val="auto"/>
        </w:rPr>
      </w:pPr>
    </w:p>
    <w:p>
      <w:pPr>
        <w:jc w:val="both"/>
        <w:ind w:left="1020" w:right="339" w:hanging="518"/>
        <w:spacing w:after="0" w:line="252"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acreage represents estimates of acres that are based upon survey reports, title reports, appraisal reports, or the Company’s inspection of the cemeteries. The Company estimates that there are approximately 1,200 spaces per developed acre.</w:t>
      </w:r>
    </w:p>
    <w:p>
      <w:pPr>
        <w:ind w:left="1020" w:hanging="518"/>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Includes both reserved and occupied spaces.</w:t>
      </w:r>
    </w:p>
    <w:p>
      <w:pPr>
        <w:spacing w:after="0" w:line="5" w:lineRule="exact"/>
        <w:rPr>
          <w:rFonts w:ascii="Arial" w:cs="Arial" w:eastAsia="Arial" w:hAnsi="Arial"/>
          <w:sz w:val="19"/>
          <w:szCs w:val="19"/>
          <w:color w:val="auto"/>
        </w:rPr>
      </w:pPr>
    </w:p>
    <w:p>
      <w:pPr>
        <w:ind w:left="1020" w:hanging="518"/>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Includes two granite mausoleums.</w:t>
      </w:r>
    </w:p>
    <w:p>
      <w:pPr>
        <w:spacing w:after="0" w:line="5" w:lineRule="exact"/>
        <w:rPr>
          <w:rFonts w:ascii="Arial" w:cs="Arial" w:eastAsia="Arial" w:hAnsi="Arial"/>
          <w:sz w:val="19"/>
          <w:szCs w:val="19"/>
          <w:color w:val="auto"/>
        </w:rPr>
      </w:pPr>
    </w:p>
    <w:p>
      <w:pPr>
        <w:ind w:left="1020" w:hanging="518"/>
        <w:spacing w:after="0"/>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Includes an open easement.</w:t>
      </w: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Item 2. Properties (Continued)</w:t>
      </w:r>
    </w:p>
    <w:p>
      <w:pPr>
        <w:spacing w:after="0" w:line="130" w:lineRule="exact"/>
        <w:rPr>
          <w:sz w:val="20"/>
          <w:szCs w:val="20"/>
          <w:color w:val="auto"/>
        </w:rPr>
      </w:pPr>
    </w:p>
    <w:p>
      <w:pPr>
        <w:ind w:right="319"/>
        <w:spacing w:after="0" w:line="276" w:lineRule="auto"/>
        <w:rPr>
          <w:sz w:val="20"/>
          <w:szCs w:val="20"/>
          <w:color w:val="auto"/>
        </w:rPr>
      </w:pPr>
      <w:r>
        <w:rPr>
          <w:rFonts w:ascii="Arial" w:cs="Arial" w:eastAsia="Arial" w:hAnsi="Arial"/>
          <w:sz w:val="19"/>
          <w:szCs w:val="19"/>
          <w:color w:val="auto"/>
        </w:rPr>
        <w:t>The following table summarizes the location, square footage and the number of viewing rooms and chapels of the eight Company owned mortuaries: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ind w:left="260"/>
              <w:spacing w:after="0"/>
              <w:rPr>
                <w:sz w:val="20"/>
                <w:szCs w:val="20"/>
                <w:color w:val="auto"/>
              </w:rPr>
            </w:pPr>
            <w:r>
              <w:rPr>
                <w:rFonts w:ascii="Arial" w:cs="Arial" w:eastAsia="Arial" w:hAnsi="Arial"/>
                <w:sz w:val="19"/>
                <w:szCs w:val="19"/>
                <w:color w:val="auto"/>
              </w:rPr>
              <w:t>Date</w:t>
            </w:r>
          </w:p>
        </w:tc>
        <w:tc>
          <w:tcPr>
            <w:tcW w:w="200" w:type="dxa"/>
            <w:vAlign w:val="bottom"/>
          </w:tcPr>
          <w:p>
            <w:pPr>
              <w:spacing w:after="0"/>
              <w:rPr>
                <w:sz w:val="21"/>
                <w:szCs w:val="21"/>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9"/>
                <w:szCs w:val="19"/>
                <w:color w:val="auto"/>
                <w:w w:val="99"/>
              </w:rPr>
              <w:t>Viewing</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ind w:left="120"/>
              <w:spacing w:after="0"/>
              <w:rPr>
                <w:sz w:val="20"/>
                <w:szCs w:val="20"/>
                <w:color w:val="auto"/>
              </w:rPr>
            </w:pPr>
            <w:r>
              <w:rPr>
                <w:rFonts w:ascii="Arial" w:cs="Arial" w:eastAsia="Arial" w:hAnsi="Arial"/>
                <w:sz w:val="19"/>
                <w:szCs w:val="19"/>
                <w:color w:val="auto"/>
              </w:rPr>
              <w:t>Square</w:t>
            </w:r>
          </w:p>
        </w:tc>
      </w:tr>
      <w:tr>
        <w:trPr>
          <w:trHeight w:val="232"/>
        </w:trPr>
        <w:tc>
          <w:tcPr>
            <w:tcW w:w="1460" w:type="dxa"/>
            <w:vAlign w:val="bottom"/>
          </w:tcPr>
          <w:p>
            <w:pPr>
              <w:spacing w:after="0"/>
              <w:rPr>
                <w:sz w:val="20"/>
                <w:szCs w:val="20"/>
                <w:color w:val="auto"/>
              </w:rPr>
            </w:pPr>
            <w:r>
              <w:rPr>
                <w:rFonts w:ascii="Arial" w:cs="Arial" w:eastAsia="Arial" w:hAnsi="Arial"/>
                <w:sz w:val="19"/>
                <w:szCs w:val="19"/>
                <w:color w:val="auto"/>
                <w:w w:val="94"/>
              </w:rPr>
              <w:t>Name of Mortuary</w:t>
            </w:r>
          </w:p>
        </w:tc>
        <w:tc>
          <w:tcPr>
            <w:tcW w:w="1100" w:type="dxa"/>
            <w:vAlign w:val="bottom"/>
          </w:tcPr>
          <w:p>
            <w:pPr>
              <w:spacing w:after="0"/>
              <w:rPr>
                <w:sz w:val="20"/>
                <w:szCs w:val="20"/>
                <w:color w:val="auto"/>
              </w:rPr>
            </w:pP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Location</w:t>
            </w:r>
          </w:p>
        </w:tc>
        <w:tc>
          <w:tcPr>
            <w:tcW w:w="840" w:type="dxa"/>
            <w:vAlign w:val="bottom"/>
            <w:gridSpan w:val="2"/>
          </w:tcPr>
          <w:p>
            <w:pPr>
              <w:ind w:left="120"/>
              <w:spacing w:after="0"/>
              <w:rPr>
                <w:sz w:val="20"/>
                <w:szCs w:val="20"/>
                <w:color w:val="auto"/>
              </w:rPr>
            </w:pPr>
            <w:r>
              <w:rPr>
                <w:rFonts w:ascii="Arial" w:cs="Arial" w:eastAsia="Arial" w:hAnsi="Arial"/>
                <w:sz w:val="19"/>
                <w:szCs w:val="19"/>
                <w:color w:val="auto"/>
                <w:w w:val="93"/>
              </w:rPr>
              <w:t>Acquired</w:t>
            </w:r>
          </w:p>
        </w:tc>
        <w:tc>
          <w:tcPr>
            <w:tcW w:w="1060" w:type="dxa"/>
            <w:vAlign w:val="bottom"/>
            <w:gridSpan w:val="3"/>
          </w:tcPr>
          <w:p>
            <w:pPr>
              <w:ind w:left="200"/>
              <w:spacing w:after="0"/>
              <w:rPr>
                <w:sz w:val="20"/>
                <w:szCs w:val="20"/>
                <w:color w:val="auto"/>
              </w:rPr>
            </w:pPr>
            <w:r>
              <w:rPr>
                <w:rFonts w:ascii="Arial" w:cs="Arial" w:eastAsia="Arial" w:hAnsi="Arial"/>
                <w:sz w:val="19"/>
                <w:szCs w:val="19"/>
                <w:color w:val="auto"/>
              </w:rPr>
              <w:t>Room(s)</w:t>
            </w:r>
          </w:p>
        </w:tc>
        <w:tc>
          <w:tcPr>
            <w:tcW w:w="760" w:type="dxa"/>
            <w:vAlign w:val="bottom"/>
          </w:tcPr>
          <w:p>
            <w:pPr>
              <w:jc w:val="right"/>
              <w:spacing w:after="0"/>
              <w:rPr>
                <w:sz w:val="20"/>
                <w:szCs w:val="20"/>
                <w:color w:val="auto"/>
              </w:rPr>
            </w:pPr>
            <w:r>
              <w:rPr>
                <w:rFonts w:ascii="Arial" w:cs="Arial" w:eastAsia="Arial" w:hAnsi="Arial"/>
                <w:sz w:val="19"/>
                <w:szCs w:val="19"/>
                <w:color w:val="auto"/>
                <w:w w:val="89"/>
              </w:rPr>
              <w:t>Chapel(s)</w:t>
            </w:r>
          </w:p>
        </w:tc>
        <w:tc>
          <w:tcPr>
            <w:tcW w:w="20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9"/>
                <w:szCs w:val="19"/>
                <w:color w:val="auto"/>
              </w:rPr>
              <w:t>Footage</w:t>
            </w:r>
          </w:p>
        </w:tc>
      </w:tr>
      <w:tr>
        <w:trPr>
          <w:trHeight w:val="20"/>
        </w:trPr>
        <w:tc>
          <w:tcPr>
            <w:tcW w:w="14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6"/>
        </w:trPr>
        <w:tc>
          <w:tcPr>
            <w:tcW w:w="2560" w:type="dxa"/>
            <w:vAlign w:val="bottom"/>
            <w:gridSpan w:val="2"/>
          </w:tcPr>
          <w:p>
            <w:pPr>
              <w:spacing w:after="0"/>
              <w:rPr>
                <w:sz w:val="20"/>
                <w:szCs w:val="20"/>
                <w:color w:val="auto"/>
              </w:rPr>
            </w:pPr>
            <w:r>
              <w:rPr>
                <w:rFonts w:ascii="Arial" w:cs="Arial" w:eastAsia="Arial" w:hAnsi="Arial"/>
                <w:sz w:val="19"/>
                <w:szCs w:val="19"/>
                <w:color w:val="auto"/>
              </w:rPr>
              <w:t>Memorial Mortuary, Inc.</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68"/>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Memorial Mortuary</w:t>
            </w: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5850 South 900 East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60"/>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Murray, Utah</w:t>
            </w:r>
          </w:p>
        </w:tc>
        <w:tc>
          <w:tcPr>
            <w:tcW w:w="840" w:type="dxa"/>
            <w:vAlign w:val="bottom"/>
            <w:gridSpan w:val="2"/>
          </w:tcPr>
          <w:p>
            <w:pPr>
              <w:ind w:left="380"/>
              <w:spacing w:after="0"/>
              <w:rPr>
                <w:sz w:val="20"/>
                <w:szCs w:val="20"/>
                <w:color w:val="auto"/>
              </w:rPr>
            </w:pPr>
            <w:r>
              <w:rPr>
                <w:rFonts w:ascii="Arial" w:cs="Arial" w:eastAsia="Arial" w:hAnsi="Arial"/>
                <w:sz w:val="19"/>
                <w:szCs w:val="19"/>
                <w:color w:val="auto"/>
              </w:rPr>
              <w:t>1973</w:t>
            </w:r>
          </w:p>
        </w:tc>
        <w:tc>
          <w:tcPr>
            <w:tcW w:w="860" w:type="dxa"/>
            <w:vAlign w:val="bottom"/>
            <w:gridSpan w:val="2"/>
          </w:tcPr>
          <w:p>
            <w:pPr>
              <w:jc w:val="center"/>
              <w:ind w:left="263"/>
              <w:spacing w:after="0"/>
              <w:rPr>
                <w:sz w:val="20"/>
                <w:szCs w:val="20"/>
                <w:color w:val="auto"/>
              </w:rPr>
            </w:pPr>
            <w:r>
              <w:rPr>
                <w:rFonts w:ascii="Arial" w:cs="Arial" w:eastAsia="Arial" w:hAnsi="Arial"/>
                <w:sz w:val="19"/>
                <w:szCs w:val="19"/>
                <w:color w:val="auto"/>
                <w:w w:val="94"/>
              </w:rPr>
              <w:t>3</w:t>
            </w:r>
          </w:p>
        </w:tc>
        <w:tc>
          <w:tcPr>
            <w:tcW w:w="200" w:type="dxa"/>
            <w:vAlign w:val="bottom"/>
          </w:tcPr>
          <w:p>
            <w:pPr>
              <w:spacing w:after="0"/>
              <w:rPr>
                <w:sz w:val="22"/>
                <w:szCs w:val="22"/>
                <w:color w:val="auto"/>
              </w:rPr>
            </w:pPr>
          </w:p>
        </w:tc>
        <w:tc>
          <w:tcPr>
            <w:tcW w:w="760" w:type="dxa"/>
            <w:vAlign w:val="bottom"/>
          </w:tcPr>
          <w:p>
            <w:pPr>
              <w:jc w:val="right"/>
              <w:ind w:right="143"/>
              <w:spacing w:after="0"/>
              <w:rPr>
                <w:sz w:val="20"/>
                <w:szCs w:val="20"/>
                <w:color w:val="auto"/>
              </w:rPr>
            </w:pPr>
            <w:r>
              <w:rPr>
                <w:rFonts w:ascii="Arial" w:cs="Arial" w:eastAsia="Arial" w:hAnsi="Arial"/>
                <w:sz w:val="19"/>
                <w:szCs w:val="19"/>
                <w:color w:val="auto"/>
              </w:rPr>
              <w:t>1</w:t>
            </w:r>
          </w:p>
        </w:tc>
        <w:tc>
          <w:tcPr>
            <w:tcW w:w="1000" w:type="dxa"/>
            <w:vAlign w:val="bottom"/>
            <w:gridSpan w:val="3"/>
          </w:tcPr>
          <w:p>
            <w:pPr>
              <w:jc w:val="center"/>
              <w:ind w:left="83"/>
              <w:spacing w:after="0"/>
              <w:rPr>
                <w:sz w:val="20"/>
                <w:szCs w:val="20"/>
                <w:color w:val="auto"/>
              </w:rPr>
            </w:pPr>
            <w:r>
              <w:rPr>
                <w:rFonts w:ascii="Arial" w:cs="Arial" w:eastAsia="Arial" w:hAnsi="Arial"/>
                <w:sz w:val="19"/>
                <w:szCs w:val="19"/>
                <w:color w:val="auto"/>
                <w:w w:val="92"/>
              </w:rPr>
              <w:t>20,000</w:t>
            </w: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21"/>
        </w:trPr>
        <w:tc>
          <w:tcPr>
            <w:tcW w:w="2560" w:type="dxa"/>
            <w:vAlign w:val="bottom"/>
            <w:gridSpan w:val="2"/>
          </w:tcPr>
          <w:p>
            <w:pPr>
              <w:ind w:left="200"/>
              <w:spacing w:after="0"/>
              <w:rPr>
                <w:sz w:val="20"/>
                <w:szCs w:val="20"/>
                <w:color w:val="auto"/>
              </w:rPr>
            </w:pPr>
            <w:r>
              <w:rPr>
                <w:rFonts w:ascii="Arial" w:cs="Arial" w:eastAsia="Arial" w:hAnsi="Arial"/>
                <w:sz w:val="19"/>
                <w:szCs w:val="19"/>
                <w:color w:val="auto"/>
              </w:rPr>
              <w:t>Affordable Funerals and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0"/>
        </w:trPr>
        <w:tc>
          <w:tcPr>
            <w:tcW w:w="2560" w:type="dxa"/>
            <w:vAlign w:val="bottom"/>
            <w:gridSpan w:val="2"/>
          </w:tcPr>
          <w:p>
            <w:pPr>
              <w:ind w:left="60"/>
              <w:spacing w:after="0"/>
              <w:rPr>
                <w:sz w:val="20"/>
                <w:szCs w:val="20"/>
                <w:color w:val="auto"/>
              </w:rPr>
            </w:pPr>
            <w:r>
              <w:rPr>
                <w:rFonts w:ascii="Arial" w:cs="Arial" w:eastAsia="Arial" w:hAnsi="Arial"/>
                <w:sz w:val="19"/>
                <w:szCs w:val="19"/>
                <w:color w:val="auto"/>
              </w:rPr>
              <w:t>Cremations, St. George</w:t>
            </w: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w w:val="96"/>
              </w:rPr>
              <w:t>157 East Riverside Dr., No. 3A</w:t>
            </w:r>
          </w:p>
        </w:tc>
        <w:tc>
          <w:tcPr>
            <w:tcW w:w="840" w:type="dxa"/>
            <w:vAlign w:val="bottom"/>
            <w:gridSpan w:val="2"/>
          </w:tcPr>
          <w:p>
            <w:pPr>
              <w:ind w:left="380"/>
              <w:spacing w:after="0"/>
              <w:rPr>
                <w:sz w:val="20"/>
                <w:szCs w:val="20"/>
                <w:color w:val="auto"/>
              </w:rPr>
            </w:pPr>
            <w:r>
              <w:rPr>
                <w:rFonts w:ascii="Arial" w:cs="Arial" w:eastAsia="Arial" w:hAnsi="Arial"/>
                <w:sz w:val="19"/>
                <w:szCs w:val="19"/>
                <w:color w:val="auto"/>
              </w:rPr>
              <w:t>2016</w:t>
            </w:r>
          </w:p>
        </w:tc>
        <w:tc>
          <w:tcPr>
            <w:tcW w:w="860" w:type="dxa"/>
            <w:vAlign w:val="bottom"/>
            <w:gridSpan w:val="2"/>
          </w:tcPr>
          <w:p>
            <w:pPr>
              <w:jc w:val="center"/>
              <w:ind w:left="263"/>
              <w:spacing w:after="0"/>
              <w:rPr>
                <w:sz w:val="20"/>
                <w:szCs w:val="20"/>
                <w:color w:val="auto"/>
              </w:rPr>
            </w:pPr>
            <w:r>
              <w:rPr>
                <w:rFonts w:ascii="Arial" w:cs="Arial" w:eastAsia="Arial" w:hAnsi="Arial"/>
                <w:sz w:val="19"/>
                <w:szCs w:val="19"/>
                <w:color w:val="auto"/>
                <w:w w:val="94"/>
              </w:rPr>
              <w:t>1</w:t>
            </w:r>
          </w:p>
        </w:tc>
        <w:tc>
          <w:tcPr>
            <w:tcW w:w="200" w:type="dxa"/>
            <w:vAlign w:val="bottom"/>
          </w:tcPr>
          <w:p>
            <w:pPr>
              <w:spacing w:after="0"/>
              <w:rPr>
                <w:sz w:val="21"/>
                <w:szCs w:val="21"/>
                <w:color w:val="auto"/>
              </w:rPr>
            </w:pPr>
          </w:p>
        </w:tc>
        <w:tc>
          <w:tcPr>
            <w:tcW w:w="760" w:type="dxa"/>
            <w:vAlign w:val="bottom"/>
          </w:tcPr>
          <w:p>
            <w:pPr>
              <w:jc w:val="right"/>
              <w:ind w:right="143"/>
              <w:spacing w:after="0"/>
              <w:rPr>
                <w:sz w:val="20"/>
                <w:szCs w:val="20"/>
                <w:color w:val="auto"/>
              </w:rPr>
            </w:pPr>
            <w:r>
              <w:rPr>
                <w:rFonts w:ascii="Arial" w:cs="Arial" w:eastAsia="Arial" w:hAnsi="Arial"/>
                <w:sz w:val="19"/>
                <w:szCs w:val="19"/>
                <w:color w:val="auto"/>
              </w:rPr>
              <w:t>1</w:t>
            </w:r>
          </w:p>
        </w:tc>
        <w:tc>
          <w:tcPr>
            <w:tcW w:w="820" w:type="dxa"/>
            <w:vAlign w:val="bottom"/>
            <w:gridSpan w:val="2"/>
          </w:tcPr>
          <w:p>
            <w:pPr>
              <w:jc w:val="center"/>
              <w:ind w:left="263"/>
              <w:spacing w:after="0"/>
              <w:rPr>
                <w:sz w:val="20"/>
                <w:szCs w:val="20"/>
                <w:color w:val="auto"/>
              </w:rPr>
            </w:pPr>
            <w:r>
              <w:rPr>
                <w:rFonts w:ascii="Arial" w:cs="Arial" w:eastAsia="Arial" w:hAnsi="Arial"/>
                <w:sz w:val="19"/>
                <w:szCs w:val="19"/>
                <w:color w:val="auto"/>
                <w:w w:val="88"/>
              </w:rPr>
              <w:t>2,360</w:t>
            </w:r>
          </w:p>
        </w:tc>
        <w:tc>
          <w:tcPr>
            <w:tcW w:w="180" w:type="dxa"/>
            <w:vAlign w:val="bottom"/>
          </w:tcPr>
          <w:p>
            <w:pPr>
              <w:spacing w:after="0"/>
              <w:rPr>
                <w:sz w:val="21"/>
                <w:szCs w:val="21"/>
                <w:color w:val="auto"/>
              </w:rPr>
            </w:pP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St. George, Utah</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64"/>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25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Memorial Estates, Inc.</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60"/>
        </w:trPr>
        <w:tc>
          <w:tcPr>
            <w:tcW w:w="2560" w:type="dxa"/>
            <w:vAlign w:val="bottom"/>
            <w:gridSpan w:val="2"/>
          </w:tcPr>
          <w:p>
            <w:pPr>
              <w:ind w:left="200"/>
              <w:spacing w:after="0"/>
              <w:rPr>
                <w:sz w:val="20"/>
                <w:szCs w:val="20"/>
                <w:color w:val="auto"/>
              </w:rPr>
            </w:pPr>
            <w:r>
              <w:rPr>
                <w:rFonts w:ascii="Arial" w:cs="Arial" w:eastAsia="Arial" w:hAnsi="Arial"/>
                <w:sz w:val="19"/>
                <w:szCs w:val="19"/>
                <w:color w:val="auto"/>
              </w:rPr>
              <w:t>Redwood Mortuary (1)</w:t>
            </w: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6500 South Redwood Rd.</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West Jordan, Utah</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1973</w:t>
            </w:r>
          </w:p>
        </w:tc>
        <w:tc>
          <w:tcPr>
            <w:tcW w:w="860" w:type="dxa"/>
            <w:vAlign w:val="bottom"/>
            <w:gridSpan w:val="2"/>
            <w:shd w:val="clear" w:color="auto" w:fill="CCEEFF"/>
          </w:tcPr>
          <w:p>
            <w:pPr>
              <w:jc w:val="center"/>
              <w:ind w:left="263"/>
              <w:spacing w:after="0"/>
              <w:rPr>
                <w:sz w:val="20"/>
                <w:szCs w:val="20"/>
                <w:color w:val="auto"/>
              </w:rPr>
            </w:pPr>
            <w:r>
              <w:rPr>
                <w:rFonts w:ascii="Arial" w:cs="Arial" w:eastAsia="Arial" w:hAnsi="Arial"/>
                <w:sz w:val="19"/>
                <w:szCs w:val="19"/>
                <w:color w:val="auto"/>
                <w:w w:val="94"/>
              </w:rPr>
              <w:t>2</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rPr>
              <w:t>1</w:t>
            </w:r>
          </w:p>
        </w:tc>
        <w:tc>
          <w:tcPr>
            <w:tcW w:w="1000" w:type="dxa"/>
            <w:vAlign w:val="bottom"/>
            <w:gridSpan w:val="3"/>
            <w:shd w:val="clear" w:color="auto" w:fill="CCEEFF"/>
          </w:tcPr>
          <w:p>
            <w:pPr>
              <w:jc w:val="center"/>
              <w:ind w:left="83"/>
              <w:spacing w:after="0"/>
              <w:rPr>
                <w:sz w:val="20"/>
                <w:szCs w:val="20"/>
                <w:color w:val="auto"/>
              </w:rPr>
            </w:pPr>
            <w:r>
              <w:rPr>
                <w:rFonts w:ascii="Arial" w:cs="Arial" w:eastAsia="Arial" w:hAnsi="Arial"/>
                <w:sz w:val="19"/>
                <w:szCs w:val="19"/>
                <w:color w:val="auto"/>
                <w:w w:val="92"/>
              </w:rPr>
              <w:t>10,000</w:t>
            </w:r>
          </w:p>
        </w:tc>
      </w:tr>
      <w:tr>
        <w:trPr>
          <w:trHeight w:val="264"/>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Mountain View Mortuary (1)</w:t>
            </w: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3115 East 7800 South</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60"/>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Salt Lake City, Utah</w:t>
            </w:r>
          </w:p>
        </w:tc>
        <w:tc>
          <w:tcPr>
            <w:tcW w:w="840" w:type="dxa"/>
            <w:vAlign w:val="bottom"/>
            <w:gridSpan w:val="2"/>
          </w:tcPr>
          <w:p>
            <w:pPr>
              <w:ind w:left="380"/>
              <w:spacing w:after="0"/>
              <w:rPr>
                <w:sz w:val="20"/>
                <w:szCs w:val="20"/>
                <w:color w:val="auto"/>
              </w:rPr>
            </w:pPr>
            <w:r>
              <w:rPr>
                <w:rFonts w:ascii="Arial" w:cs="Arial" w:eastAsia="Arial" w:hAnsi="Arial"/>
                <w:sz w:val="19"/>
                <w:szCs w:val="19"/>
                <w:color w:val="auto"/>
              </w:rPr>
              <w:t>1973</w:t>
            </w:r>
          </w:p>
        </w:tc>
        <w:tc>
          <w:tcPr>
            <w:tcW w:w="860" w:type="dxa"/>
            <w:vAlign w:val="bottom"/>
            <w:gridSpan w:val="2"/>
          </w:tcPr>
          <w:p>
            <w:pPr>
              <w:jc w:val="center"/>
              <w:ind w:left="263"/>
              <w:spacing w:after="0"/>
              <w:rPr>
                <w:sz w:val="20"/>
                <w:szCs w:val="20"/>
                <w:color w:val="auto"/>
              </w:rPr>
            </w:pPr>
            <w:r>
              <w:rPr>
                <w:rFonts w:ascii="Arial" w:cs="Arial" w:eastAsia="Arial" w:hAnsi="Arial"/>
                <w:sz w:val="19"/>
                <w:szCs w:val="19"/>
                <w:color w:val="auto"/>
                <w:w w:val="94"/>
              </w:rPr>
              <w:t>2</w:t>
            </w:r>
          </w:p>
        </w:tc>
        <w:tc>
          <w:tcPr>
            <w:tcW w:w="200" w:type="dxa"/>
            <w:vAlign w:val="bottom"/>
          </w:tcPr>
          <w:p>
            <w:pPr>
              <w:spacing w:after="0"/>
              <w:rPr>
                <w:sz w:val="22"/>
                <w:szCs w:val="22"/>
                <w:color w:val="auto"/>
              </w:rPr>
            </w:pPr>
          </w:p>
        </w:tc>
        <w:tc>
          <w:tcPr>
            <w:tcW w:w="760" w:type="dxa"/>
            <w:vAlign w:val="bottom"/>
          </w:tcPr>
          <w:p>
            <w:pPr>
              <w:jc w:val="right"/>
              <w:ind w:right="143"/>
              <w:spacing w:after="0"/>
              <w:rPr>
                <w:sz w:val="20"/>
                <w:szCs w:val="20"/>
                <w:color w:val="auto"/>
              </w:rPr>
            </w:pPr>
            <w:r>
              <w:rPr>
                <w:rFonts w:ascii="Arial" w:cs="Arial" w:eastAsia="Arial" w:hAnsi="Arial"/>
                <w:sz w:val="19"/>
                <w:szCs w:val="19"/>
                <w:color w:val="auto"/>
              </w:rPr>
              <w:t>1</w:t>
            </w:r>
          </w:p>
        </w:tc>
        <w:tc>
          <w:tcPr>
            <w:tcW w:w="1000" w:type="dxa"/>
            <w:vAlign w:val="bottom"/>
            <w:gridSpan w:val="3"/>
          </w:tcPr>
          <w:p>
            <w:pPr>
              <w:jc w:val="center"/>
              <w:ind w:left="83"/>
              <w:spacing w:after="0"/>
              <w:rPr>
                <w:sz w:val="20"/>
                <w:szCs w:val="20"/>
                <w:color w:val="auto"/>
              </w:rPr>
            </w:pPr>
            <w:r>
              <w:rPr>
                <w:rFonts w:ascii="Arial" w:cs="Arial" w:eastAsia="Arial" w:hAnsi="Arial"/>
                <w:sz w:val="19"/>
                <w:szCs w:val="19"/>
                <w:color w:val="auto"/>
                <w:w w:val="92"/>
              </w:rPr>
              <w:t>16,000</w:t>
            </w: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60"/>
        </w:trPr>
        <w:tc>
          <w:tcPr>
            <w:tcW w:w="2560" w:type="dxa"/>
            <w:vAlign w:val="bottom"/>
            <w:gridSpan w:val="2"/>
          </w:tcPr>
          <w:p>
            <w:pPr>
              <w:ind w:left="200"/>
              <w:spacing w:after="0"/>
              <w:rPr>
                <w:sz w:val="20"/>
                <w:szCs w:val="20"/>
                <w:color w:val="auto"/>
              </w:rPr>
            </w:pPr>
            <w:r>
              <w:rPr>
                <w:rFonts w:ascii="Arial" w:cs="Arial" w:eastAsia="Arial" w:hAnsi="Arial"/>
                <w:sz w:val="19"/>
                <w:szCs w:val="19"/>
                <w:color w:val="auto"/>
              </w:rPr>
              <w:t>Lakeview Mortuary (1)</w:t>
            </w: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1640 East Lakeview Dr.</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Bountiful, Utah</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1973</w:t>
            </w:r>
          </w:p>
        </w:tc>
        <w:tc>
          <w:tcPr>
            <w:tcW w:w="860" w:type="dxa"/>
            <w:vAlign w:val="bottom"/>
            <w:gridSpan w:val="2"/>
            <w:shd w:val="clear" w:color="auto" w:fill="CCEEFF"/>
          </w:tcPr>
          <w:p>
            <w:pPr>
              <w:jc w:val="center"/>
              <w:ind w:left="263"/>
              <w:spacing w:after="0"/>
              <w:rPr>
                <w:sz w:val="20"/>
                <w:szCs w:val="20"/>
                <w:color w:val="auto"/>
              </w:rPr>
            </w:pPr>
            <w:r>
              <w:rPr>
                <w:rFonts w:ascii="Arial" w:cs="Arial" w:eastAsia="Arial" w:hAnsi="Arial"/>
                <w:sz w:val="19"/>
                <w:szCs w:val="19"/>
                <w:color w:val="auto"/>
                <w:w w:val="94"/>
              </w:rPr>
              <w:t>0</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rPr>
              <w:t>1</w:t>
            </w:r>
          </w:p>
        </w:tc>
        <w:tc>
          <w:tcPr>
            <w:tcW w:w="820" w:type="dxa"/>
            <w:vAlign w:val="bottom"/>
            <w:gridSpan w:val="2"/>
            <w:shd w:val="clear" w:color="auto" w:fill="CCEEFF"/>
          </w:tcPr>
          <w:p>
            <w:pPr>
              <w:jc w:val="center"/>
              <w:ind w:left="263"/>
              <w:spacing w:after="0"/>
              <w:rPr>
                <w:sz w:val="20"/>
                <w:szCs w:val="20"/>
                <w:color w:val="auto"/>
              </w:rPr>
            </w:pPr>
            <w:r>
              <w:rPr>
                <w:rFonts w:ascii="Arial" w:cs="Arial" w:eastAsia="Arial" w:hAnsi="Arial"/>
                <w:sz w:val="19"/>
                <w:szCs w:val="19"/>
                <w:color w:val="auto"/>
                <w:w w:val="88"/>
              </w:rPr>
              <w:t>5,500</w:t>
            </w:r>
          </w:p>
        </w:tc>
        <w:tc>
          <w:tcPr>
            <w:tcW w:w="180" w:type="dxa"/>
            <w:vAlign w:val="bottom"/>
            <w:shd w:val="clear" w:color="auto" w:fill="CCEEFF"/>
          </w:tcPr>
          <w:p>
            <w:pPr>
              <w:spacing w:after="0"/>
              <w:rPr>
                <w:sz w:val="23"/>
                <w:szCs w:val="23"/>
                <w:color w:val="auto"/>
              </w:rPr>
            </w:pPr>
          </w:p>
        </w:tc>
      </w:tr>
      <w:tr>
        <w:trPr>
          <w:trHeight w:val="264"/>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Lakehills Mortuary (1)</w:t>
            </w: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10055 South State St.</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60"/>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Sandy, Utah</w:t>
            </w:r>
          </w:p>
        </w:tc>
        <w:tc>
          <w:tcPr>
            <w:tcW w:w="840" w:type="dxa"/>
            <w:vAlign w:val="bottom"/>
            <w:gridSpan w:val="2"/>
          </w:tcPr>
          <w:p>
            <w:pPr>
              <w:ind w:left="380"/>
              <w:spacing w:after="0"/>
              <w:rPr>
                <w:sz w:val="20"/>
                <w:szCs w:val="20"/>
                <w:color w:val="auto"/>
              </w:rPr>
            </w:pPr>
            <w:r>
              <w:rPr>
                <w:rFonts w:ascii="Arial" w:cs="Arial" w:eastAsia="Arial" w:hAnsi="Arial"/>
                <w:sz w:val="19"/>
                <w:szCs w:val="19"/>
                <w:color w:val="auto"/>
              </w:rPr>
              <w:t>1991</w:t>
            </w:r>
          </w:p>
        </w:tc>
        <w:tc>
          <w:tcPr>
            <w:tcW w:w="860" w:type="dxa"/>
            <w:vAlign w:val="bottom"/>
            <w:gridSpan w:val="2"/>
          </w:tcPr>
          <w:p>
            <w:pPr>
              <w:jc w:val="center"/>
              <w:ind w:left="263"/>
              <w:spacing w:after="0"/>
              <w:rPr>
                <w:sz w:val="20"/>
                <w:szCs w:val="20"/>
                <w:color w:val="auto"/>
              </w:rPr>
            </w:pPr>
            <w:r>
              <w:rPr>
                <w:rFonts w:ascii="Arial" w:cs="Arial" w:eastAsia="Arial" w:hAnsi="Arial"/>
                <w:sz w:val="19"/>
                <w:szCs w:val="19"/>
                <w:color w:val="auto"/>
                <w:w w:val="94"/>
              </w:rPr>
              <w:t>2</w:t>
            </w:r>
          </w:p>
        </w:tc>
        <w:tc>
          <w:tcPr>
            <w:tcW w:w="200" w:type="dxa"/>
            <w:vAlign w:val="bottom"/>
          </w:tcPr>
          <w:p>
            <w:pPr>
              <w:spacing w:after="0"/>
              <w:rPr>
                <w:sz w:val="22"/>
                <w:szCs w:val="22"/>
                <w:color w:val="auto"/>
              </w:rPr>
            </w:pPr>
          </w:p>
        </w:tc>
        <w:tc>
          <w:tcPr>
            <w:tcW w:w="760" w:type="dxa"/>
            <w:vAlign w:val="bottom"/>
          </w:tcPr>
          <w:p>
            <w:pPr>
              <w:jc w:val="right"/>
              <w:ind w:right="143"/>
              <w:spacing w:after="0"/>
              <w:rPr>
                <w:sz w:val="20"/>
                <w:szCs w:val="20"/>
                <w:color w:val="auto"/>
              </w:rPr>
            </w:pPr>
            <w:r>
              <w:rPr>
                <w:rFonts w:ascii="Arial" w:cs="Arial" w:eastAsia="Arial" w:hAnsi="Arial"/>
                <w:sz w:val="19"/>
                <w:szCs w:val="19"/>
                <w:color w:val="auto"/>
              </w:rPr>
              <w:t>1</w:t>
            </w:r>
          </w:p>
        </w:tc>
        <w:tc>
          <w:tcPr>
            <w:tcW w:w="1000" w:type="dxa"/>
            <w:vAlign w:val="bottom"/>
            <w:gridSpan w:val="3"/>
          </w:tcPr>
          <w:p>
            <w:pPr>
              <w:jc w:val="center"/>
              <w:ind w:left="83"/>
              <w:spacing w:after="0"/>
              <w:rPr>
                <w:sz w:val="20"/>
                <w:szCs w:val="20"/>
                <w:color w:val="auto"/>
              </w:rPr>
            </w:pPr>
            <w:r>
              <w:rPr>
                <w:rFonts w:ascii="Arial" w:cs="Arial" w:eastAsia="Arial" w:hAnsi="Arial"/>
                <w:sz w:val="19"/>
                <w:szCs w:val="19"/>
                <w:color w:val="auto"/>
                <w:w w:val="92"/>
              </w:rPr>
              <w:t>18,000</w:t>
            </w: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60"/>
        </w:trPr>
        <w:tc>
          <w:tcPr>
            <w:tcW w:w="2560" w:type="dxa"/>
            <w:vAlign w:val="bottom"/>
            <w:gridSpan w:val="2"/>
          </w:tcPr>
          <w:p>
            <w:pPr>
              <w:spacing w:after="0"/>
              <w:rPr>
                <w:sz w:val="20"/>
                <w:szCs w:val="20"/>
                <w:color w:val="auto"/>
              </w:rPr>
            </w:pPr>
            <w:r>
              <w:rPr>
                <w:rFonts w:ascii="Arial" w:cs="Arial" w:eastAsia="Arial" w:hAnsi="Arial"/>
                <w:sz w:val="19"/>
                <w:szCs w:val="19"/>
                <w:color w:val="auto"/>
              </w:rPr>
              <w:t>Cottonwood Mortuary, Inc.</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8"/>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Cottonwood Mortuary (1)</w:t>
            </w: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4670 South Highland Dr.</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60"/>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Holladay, Utah</w:t>
            </w:r>
          </w:p>
        </w:tc>
        <w:tc>
          <w:tcPr>
            <w:tcW w:w="840" w:type="dxa"/>
            <w:vAlign w:val="bottom"/>
            <w:gridSpan w:val="2"/>
          </w:tcPr>
          <w:p>
            <w:pPr>
              <w:ind w:left="380"/>
              <w:spacing w:after="0"/>
              <w:rPr>
                <w:sz w:val="20"/>
                <w:szCs w:val="20"/>
                <w:color w:val="auto"/>
              </w:rPr>
            </w:pPr>
            <w:r>
              <w:rPr>
                <w:rFonts w:ascii="Arial" w:cs="Arial" w:eastAsia="Arial" w:hAnsi="Arial"/>
                <w:sz w:val="19"/>
                <w:szCs w:val="19"/>
                <w:color w:val="auto"/>
              </w:rPr>
              <w:t>1991</w:t>
            </w:r>
          </w:p>
        </w:tc>
        <w:tc>
          <w:tcPr>
            <w:tcW w:w="860" w:type="dxa"/>
            <w:vAlign w:val="bottom"/>
            <w:gridSpan w:val="2"/>
          </w:tcPr>
          <w:p>
            <w:pPr>
              <w:jc w:val="center"/>
              <w:ind w:left="263"/>
              <w:spacing w:after="0"/>
              <w:rPr>
                <w:sz w:val="20"/>
                <w:szCs w:val="20"/>
                <w:color w:val="auto"/>
              </w:rPr>
            </w:pPr>
            <w:r>
              <w:rPr>
                <w:rFonts w:ascii="Arial" w:cs="Arial" w:eastAsia="Arial" w:hAnsi="Arial"/>
                <w:sz w:val="19"/>
                <w:szCs w:val="19"/>
                <w:color w:val="auto"/>
                <w:w w:val="94"/>
              </w:rPr>
              <w:t>2</w:t>
            </w:r>
          </w:p>
        </w:tc>
        <w:tc>
          <w:tcPr>
            <w:tcW w:w="200" w:type="dxa"/>
            <w:vAlign w:val="bottom"/>
          </w:tcPr>
          <w:p>
            <w:pPr>
              <w:spacing w:after="0"/>
              <w:rPr>
                <w:sz w:val="22"/>
                <w:szCs w:val="22"/>
                <w:color w:val="auto"/>
              </w:rPr>
            </w:pPr>
          </w:p>
        </w:tc>
        <w:tc>
          <w:tcPr>
            <w:tcW w:w="760" w:type="dxa"/>
            <w:vAlign w:val="bottom"/>
          </w:tcPr>
          <w:p>
            <w:pPr>
              <w:jc w:val="right"/>
              <w:ind w:right="143"/>
              <w:spacing w:after="0"/>
              <w:rPr>
                <w:sz w:val="20"/>
                <w:szCs w:val="20"/>
                <w:color w:val="auto"/>
              </w:rPr>
            </w:pPr>
            <w:r>
              <w:rPr>
                <w:rFonts w:ascii="Arial" w:cs="Arial" w:eastAsia="Arial" w:hAnsi="Arial"/>
                <w:sz w:val="19"/>
                <w:szCs w:val="19"/>
                <w:color w:val="auto"/>
              </w:rPr>
              <w:t>1</w:t>
            </w:r>
          </w:p>
        </w:tc>
        <w:tc>
          <w:tcPr>
            <w:tcW w:w="1000" w:type="dxa"/>
            <w:vAlign w:val="bottom"/>
            <w:gridSpan w:val="3"/>
          </w:tcPr>
          <w:p>
            <w:pPr>
              <w:jc w:val="center"/>
              <w:ind w:left="83"/>
              <w:spacing w:after="0"/>
              <w:rPr>
                <w:sz w:val="20"/>
                <w:szCs w:val="20"/>
                <w:color w:val="auto"/>
              </w:rPr>
            </w:pPr>
            <w:r>
              <w:rPr>
                <w:rFonts w:ascii="Arial" w:cs="Arial" w:eastAsia="Arial" w:hAnsi="Arial"/>
                <w:sz w:val="19"/>
                <w:szCs w:val="19"/>
                <w:color w:val="auto"/>
                <w:w w:val="92"/>
              </w:rPr>
              <w:t>14,500</w:t>
            </w:r>
          </w:p>
        </w:tc>
      </w:tr>
      <w:tr>
        <w:trPr>
          <w:trHeight w:val="268"/>
        </w:trPr>
        <w:tc>
          <w:tcPr>
            <w:tcW w:w="1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60"/>
        </w:trPr>
        <w:tc>
          <w:tcPr>
            <w:tcW w:w="2560" w:type="dxa"/>
            <w:vAlign w:val="bottom"/>
            <w:gridSpan w:val="2"/>
          </w:tcPr>
          <w:p>
            <w:pPr>
              <w:spacing w:after="0"/>
              <w:rPr>
                <w:sz w:val="20"/>
                <w:szCs w:val="20"/>
                <w:color w:val="auto"/>
              </w:rPr>
            </w:pPr>
            <w:r>
              <w:rPr>
                <w:rFonts w:ascii="Arial" w:cs="Arial" w:eastAsia="Arial" w:hAnsi="Arial"/>
                <w:sz w:val="19"/>
                <w:szCs w:val="19"/>
                <w:color w:val="auto"/>
              </w:rPr>
              <w:t>SN Probst LLC</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68"/>
        </w:trPr>
        <w:tc>
          <w:tcPr>
            <w:tcW w:w="256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w w:val="99"/>
              </w:rPr>
              <w:t>Heber Valley Funeral Home</w:t>
            </w:r>
          </w:p>
        </w:tc>
        <w:tc>
          <w:tcPr>
            <w:tcW w:w="2640" w:type="dxa"/>
            <w:vAlign w:val="bottom"/>
            <w:gridSpan w:val="3"/>
            <w:shd w:val="clear" w:color="auto" w:fill="CCEEFF"/>
          </w:tcPr>
          <w:p>
            <w:pPr>
              <w:ind w:left="120"/>
              <w:spacing w:after="0"/>
              <w:rPr>
                <w:sz w:val="20"/>
                <w:szCs w:val="20"/>
                <w:color w:val="auto"/>
              </w:rPr>
            </w:pPr>
            <w:r>
              <w:rPr>
                <w:rFonts w:ascii="Arial" w:cs="Arial" w:eastAsia="Arial" w:hAnsi="Arial"/>
                <w:sz w:val="19"/>
                <w:szCs w:val="19"/>
                <w:color w:val="auto"/>
              </w:rPr>
              <w:t>288 North Main St.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6"/>
        </w:trPr>
        <w:tc>
          <w:tcPr>
            <w:tcW w:w="1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40" w:type="dxa"/>
            <w:vAlign w:val="bottom"/>
            <w:gridSpan w:val="3"/>
          </w:tcPr>
          <w:p>
            <w:pPr>
              <w:ind w:left="120"/>
              <w:spacing w:after="0"/>
              <w:rPr>
                <w:sz w:val="20"/>
                <w:szCs w:val="20"/>
                <w:color w:val="auto"/>
              </w:rPr>
            </w:pPr>
            <w:r>
              <w:rPr>
                <w:rFonts w:ascii="Arial" w:cs="Arial" w:eastAsia="Arial" w:hAnsi="Arial"/>
                <w:sz w:val="19"/>
                <w:szCs w:val="19"/>
                <w:color w:val="auto"/>
              </w:rPr>
              <w:t>Heber City, Utah</w:t>
            </w:r>
          </w:p>
        </w:tc>
        <w:tc>
          <w:tcPr>
            <w:tcW w:w="840" w:type="dxa"/>
            <w:vAlign w:val="bottom"/>
            <w:gridSpan w:val="2"/>
          </w:tcPr>
          <w:p>
            <w:pPr>
              <w:ind w:left="380"/>
              <w:spacing w:after="0"/>
              <w:rPr>
                <w:sz w:val="20"/>
                <w:szCs w:val="20"/>
                <w:color w:val="auto"/>
              </w:rPr>
            </w:pPr>
            <w:r>
              <w:rPr>
                <w:rFonts w:ascii="Arial" w:cs="Arial" w:eastAsia="Arial" w:hAnsi="Arial"/>
                <w:sz w:val="19"/>
                <w:szCs w:val="19"/>
                <w:color w:val="auto"/>
              </w:rPr>
              <w:t>2019</w:t>
            </w:r>
          </w:p>
        </w:tc>
        <w:tc>
          <w:tcPr>
            <w:tcW w:w="860" w:type="dxa"/>
            <w:vAlign w:val="bottom"/>
            <w:gridSpan w:val="2"/>
          </w:tcPr>
          <w:p>
            <w:pPr>
              <w:jc w:val="center"/>
              <w:ind w:left="263"/>
              <w:spacing w:after="0"/>
              <w:rPr>
                <w:sz w:val="20"/>
                <w:szCs w:val="20"/>
                <w:color w:val="auto"/>
              </w:rPr>
            </w:pPr>
            <w:r>
              <w:rPr>
                <w:rFonts w:ascii="Arial" w:cs="Arial" w:eastAsia="Arial" w:hAnsi="Arial"/>
                <w:sz w:val="19"/>
                <w:szCs w:val="19"/>
                <w:color w:val="auto"/>
                <w:w w:val="94"/>
              </w:rPr>
              <w:t>1</w:t>
            </w:r>
          </w:p>
        </w:tc>
        <w:tc>
          <w:tcPr>
            <w:tcW w:w="200" w:type="dxa"/>
            <w:vAlign w:val="bottom"/>
          </w:tcPr>
          <w:p>
            <w:pPr>
              <w:spacing w:after="0"/>
              <w:rPr>
                <w:sz w:val="22"/>
                <w:szCs w:val="22"/>
                <w:color w:val="auto"/>
              </w:rPr>
            </w:pPr>
          </w:p>
        </w:tc>
        <w:tc>
          <w:tcPr>
            <w:tcW w:w="760" w:type="dxa"/>
            <w:vAlign w:val="bottom"/>
          </w:tcPr>
          <w:p>
            <w:pPr>
              <w:jc w:val="right"/>
              <w:ind w:right="143"/>
              <w:spacing w:after="0"/>
              <w:rPr>
                <w:sz w:val="20"/>
                <w:szCs w:val="20"/>
                <w:color w:val="auto"/>
              </w:rPr>
            </w:pPr>
            <w:r>
              <w:rPr>
                <w:rFonts w:ascii="Arial" w:cs="Arial" w:eastAsia="Arial" w:hAnsi="Arial"/>
                <w:sz w:val="19"/>
                <w:szCs w:val="19"/>
                <w:color w:val="auto"/>
              </w:rPr>
              <w:t>1</w:t>
            </w:r>
          </w:p>
        </w:tc>
        <w:tc>
          <w:tcPr>
            <w:tcW w:w="820" w:type="dxa"/>
            <w:vAlign w:val="bottom"/>
            <w:gridSpan w:val="2"/>
          </w:tcPr>
          <w:p>
            <w:pPr>
              <w:jc w:val="center"/>
              <w:ind w:left="263"/>
              <w:spacing w:after="0"/>
              <w:rPr>
                <w:sz w:val="20"/>
                <w:szCs w:val="20"/>
                <w:color w:val="auto"/>
              </w:rPr>
            </w:pPr>
            <w:r>
              <w:rPr>
                <w:rFonts w:ascii="Arial" w:cs="Arial" w:eastAsia="Arial" w:hAnsi="Arial"/>
                <w:sz w:val="19"/>
                <w:szCs w:val="19"/>
                <w:color w:val="auto"/>
                <w:w w:val="88"/>
              </w:rPr>
              <w:t>5,900</w:t>
            </w:r>
          </w:p>
        </w:tc>
        <w:tc>
          <w:tcPr>
            <w:tcW w:w="180" w:type="dxa"/>
            <w:vAlign w:val="bottom"/>
          </w:tcPr>
          <w:p>
            <w:pPr>
              <w:spacing w:after="0"/>
              <w:rPr>
                <w:sz w:val="22"/>
                <w:szCs w:val="2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225" w:lineRule="exact"/>
        <w:rPr>
          <w:sz w:val="20"/>
          <w:szCs w:val="20"/>
          <w:color w:val="auto"/>
        </w:rPr>
      </w:pPr>
    </w:p>
    <w:p>
      <w:pPr>
        <w:ind w:left="620" w:hanging="467"/>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These funeral homes also provide burial niches at their respective locations.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Settlement Agreement and Mutual Release with Lehman Brothers Holdings Inc.</w:t>
      </w:r>
    </w:p>
    <w:p>
      <w:pPr>
        <w:spacing w:after="0" w:line="249" w:lineRule="exact"/>
        <w:rPr>
          <w:sz w:val="20"/>
          <w:szCs w:val="20"/>
          <w:color w:val="auto"/>
        </w:rPr>
      </w:pPr>
    </w:p>
    <w:p>
      <w:pPr>
        <w:jc w:val="both"/>
        <w:ind w:right="319"/>
        <w:spacing w:after="0" w:line="249" w:lineRule="auto"/>
        <w:rPr>
          <w:sz w:val="20"/>
          <w:szCs w:val="20"/>
          <w:color w:val="auto"/>
        </w:rPr>
      </w:pPr>
      <w:r>
        <w:rPr>
          <w:rFonts w:ascii="Arial" w:cs="Arial" w:eastAsia="Arial" w:hAnsi="Arial"/>
          <w:sz w:val="19"/>
          <w:szCs w:val="19"/>
          <w:color w:val="auto"/>
        </w:rPr>
        <w:t>From 2004 to early 2008, SecurityNational Mortgage Company (“SecurityNational Mortgage”), a wholly owned subsidiary of the Company, originated “limited documentation” or “reduced documentation” loans which were sold to certain affiliates of Lehman Brothers Holdings Inc. (“Lehman Holdings”). Certain of these loans became the subject of disputes between SecurityNational Mortgage and Lehman Holdings and certain Lehman Holdings affiliates. Lehman Holdings filed a Petition for Relief under Chapter 11 of the United States Bankruptcy Code in 2008. In May of 2011, SecurityNational Mortgage filed a complaint in U.S. District Court against certain Lehman Holdings affiliates. In June of 2011, Lehman Holdings filed a complaint in Federal District Court against SecurityNational Mortgage, both of which were later resolved. In 2016, certain other pending loan disputes between SecurityNational Mortgage and Lehman Holdings became the subject of an unsuccessful, non-binding alternate dispute resolution mediation proceeding.</w:t>
      </w:r>
    </w:p>
    <w:p>
      <w:pPr>
        <w:spacing w:after="0" w:line="200"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Thereafter, in 2016, Lehman Holdings filed an adversary proceeding complaint against approximately 150 mortgage loan originators, including SecurityNational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w:t>
      </w:r>
    </w:p>
    <w:p>
      <w:pPr>
        <w:sectPr>
          <w:pgSz w:w="11900" w:h="16838" w:orient="portrait"/>
          <w:cols w:equalWidth="0" w:num="1">
            <w:col w:w="9179"/>
          </w:cols>
          <w:pgMar w:left="1280" w:top="118" w:right="1440" w:bottom="1440" w:gutter="0" w:footer="0" w:header="0"/>
        </w:sect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type w:val="continuous"/>
        </w:sectPr>
      </w:pPr>
    </w:p>
    <w:bookmarkStart w:id="15" w:name="page16"/>
    <w:bookmarkEnd w:id="15"/>
    <w:p>
      <w:pPr>
        <w:jc w:val="both"/>
        <w:ind w:right="319"/>
        <w:spacing w:after="0" w:line="288" w:lineRule="auto"/>
        <w:rPr>
          <w:sz w:val="20"/>
          <w:szCs w:val="20"/>
          <w:color w:val="auto"/>
        </w:rPr>
      </w:pPr>
      <w:r>
        <w:rPr>
          <w:rFonts w:ascii="Arial" w:cs="Arial" w:eastAsia="Arial" w:hAnsi="Arial"/>
          <w:sz w:val="17"/>
          <w:szCs w:val="17"/>
          <w:color w:val="auto"/>
        </w:rPr>
        <w:t>fees and costs incurred by Lehman Holdings in enforcing the obligations of the defendants. The complaint was later amended with the latest amended complaint filed against SecurityNational Mortgage on December 27, 2016, seeking damages to be determined at trial, including interest, attorneys’ fees and costs. This complaint involved approximately 135 mortgage loans, there being millions of dollars allegedly in dispute. These claims against SecurityNational Mortgage were asserted as a result of Lehman Holdings’ earlier settlements with the Federal National Mortgage Association (“Fannie Mae”) and the Federal Home Loan Corporation (“Freddie Mac”).</w:t>
      </w:r>
    </w:p>
    <w:p>
      <w:pPr>
        <w:spacing w:after="0" w:line="163" w:lineRule="exact"/>
        <w:rPr>
          <w:sz w:val="20"/>
          <w:szCs w:val="20"/>
          <w:color w:val="auto"/>
        </w:rPr>
      </w:pPr>
    </w:p>
    <w:p>
      <w:pPr>
        <w:jc w:val="both"/>
        <w:ind w:right="319"/>
        <w:spacing w:after="0" w:line="269" w:lineRule="auto"/>
        <w:rPr>
          <w:sz w:val="20"/>
          <w:szCs w:val="20"/>
          <w:color w:val="auto"/>
        </w:rPr>
      </w:pPr>
      <w:r>
        <w:rPr>
          <w:rFonts w:ascii="Arial" w:cs="Arial" w:eastAsia="Arial" w:hAnsi="Arial"/>
          <w:sz w:val="18"/>
          <w:szCs w:val="18"/>
          <w:color w:val="auto"/>
        </w:rPr>
        <w:t>In 2018, Lehman Holdings filed a separate adversary proceeding complaint against SecurityNational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78"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SecurityNational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189"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On February 1, 2021, SecurityNational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SecurityNational Mortgage and Lehman Holdings. In accordance with GAAP, the full amount of SecurityNational Mortgage’s settlement payment has been accounted for in the Company’s loan loss reserve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16" w:name="page17"/>
    <w:bookmarkEnd w:id="16"/>
    <w:p>
      <w:pPr>
        <w:jc w:val="center"/>
        <w:ind w:right="319"/>
        <w:spacing w:after="0"/>
        <w:rPr>
          <w:sz w:val="20"/>
          <w:szCs w:val="20"/>
          <w:color w:val="auto"/>
        </w:rPr>
      </w:pPr>
      <w:r>
        <w:rPr>
          <w:rFonts w:ascii="Arial" w:cs="Arial" w:eastAsia="Arial" w:hAnsi="Arial"/>
          <w:sz w:val="19"/>
          <w:szCs w:val="19"/>
          <w:b w:val="1"/>
          <w:bCs w:val="1"/>
          <w:color w:val="auto"/>
        </w:rPr>
        <w:t>PART II</w:t>
      </w:r>
    </w:p>
    <w:p>
      <w:pPr>
        <w:spacing w:after="0" w:line="97" w:lineRule="exact"/>
        <w:rPr>
          <w:sz w:val="20"/>
          <w:szCs w:val="20"/>
          <w:color w:val="auto"/>
        </w:rPr>
      </w:pPr>
    </w:p>
    <w:p>
      <w:pPr>
        <w:jc w:val="both"/>
        <w:ind w:right="319"/>
        <w:spacing w:after="0" w:line="283" w:lineRule="auto"/>
        <w:rPr>
          <w:sz w:val="20"/>
          <w:szCs w:val="20"/>
          <w:color w:val="auto"/>
        </w:rPr>
      </w:pPr>
      <w:r>
        <w:rPr>
          <w:rFonts w:ascii="Arial" w:cs="Arial" w:eastAsia="Arial" w:hAnsi="Arial"/>
          <w:sz w:val="19"/>
          <w:szCs w:val="19"/>
          <w:b w:val="1"/>
          <w:bCs w:val="1"/>
          <w:color w:val="auto"/>
        </w:rPr>
        <w:t>Item 5. Market for the Registrant’s Common Stock, Related Stockholder Matters, and Issuer Purchases of Equity Securities</w:t>
      </w:r>
    </w:p>
    <w:p>
      <w:pPr>
        <w:spacing w:after="0" w:line="163"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Company’s Class A common stock trades on The Nasdaq Global Select Market under the symbol “SNFCA.” As of March 23, 2021, the closing stock price of the Class A common stock was $9.69 per share. The following were the high and low market closing stock prices for the Class A common stock by quarter as reported by NASDAQ since January 1,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700" w:type="dxa"/>
            <w:vAlign w:val="bottom"/>
            <w:tcBorders>
              <w:bottom w:val="single" w:sz="8" w:color="auto"/>
            </w:tcBorders>
            <w:gridSpan w:val="3"/>
          </w:tcPr>
          <w:p>
            <w:pPr>
              <w:ind w:left="240"/>
              <w:spacing w:after="0"/>
              <w:rPr>
                <w:sz w:val="20"/>
                <w:szCs w:val="20"/>
                <w:color w:val="auto"/>
              </w:rPr>
            </w:pPr>
            <w:r>
              <w:rPr>
                <w:rFonts w:ascii="Arial" w:cs="Arial" w:eastAsia="Arial" w:hAnsi="Arial"/>
                <w:sz w:val="19"/>
                <w:szCs w:val="19"/>
                <w:color w:val="auto"/>
              </w:rPr>
              <w:t>Price Range (1)</w:t>
            </w:r>
          </w:p>
        </w:tc>
      </w:tr>
      <w:tr>
        <w:trPr>
          <w:trHeight w:val="243"/>
        </w:trPr>
        <w:tc>
          <w:tcPr>
            <w:tcW w:w="17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020" w:type="dxa"/>
            <w:vAlign w:val="bottom"/>
            <w:gridSpan w:val="2"/>
          </w:tcPr>
          <w:p>
            <w:pPr>
              <w:ind w:left="240"/>
              <w:spacing w:after="0"/>
              <w:rPr>
                <w:sz w:val="20"/>
                <w:szCs w:val="20"/>
                <w:color w:val="auto"/>
              </w:rPr>
            </w:pPr>
            <w:r>
              <w:rPr>
                <w:rFonts w:ascii="Arial" w:cs="Arial" w:eastAsia="Arial" w:hAnsi="Arial"/>
                <w:sz w:val="19"/>
                <w:szCs w:val="19"/>
                <w:color w:val="auto"/>
              </w:rPr>
              <w:t>High</w:t>
            </w:r>
          </w:p>
        </w:tc>
        <w:tc>
          <w:tcPr>
            <w:tcW w:w="680" w:type="dxa"/>
            <w:vAlign w:val="bottom"/>
          </w:tcPr>
          <w:p>
            <w:pPr>
              <w:jc w:val="right"/>
              <w:ind w:right="63"/>
              <w:spacing w:after="0"/>
              <w:rPr>
                <w:sz w:val="20"/>
                <w:szCs w:val="20"/>
                <w:color w:val="auto"/>
              </w:rPr>
            </w:pPr>
            <w:r>
              <w:rPr>
                <w:rFonts w:ascii="Arial" w:cs="Arial" w:eastAsia="Arial" w:hAnsi="Arial"/>
                <w:sz w:val="19"/>
                <w:szCs w:val="19"/>
                <w:color w:val="auto"/>
              </w:rPr>
              <w:t>Low</w:t>
            </w:r>
          </w:p>
        </w:tc>
      </w:tr>
      <w:tr>
        <w:trPr>
          <w:trHeight w:val="241"/>
        </w:trPr>
        <w:tc>
          <w:tcPr>
            <w:tcW w:w="5380" w:type="dxa"/>
            <w:vAlign w:val="bottom"/>
            <w:gridSpan w:val="2"/>
          </w:tcPr>
          <w:p>
            <w:pPr>
              <w:spacing w:after="0"/>
              <w:rPr>
                <w:sz w:val="20"/>
                <w:szCs w:val="20"/>
                <w:color w:val="auto"/>
              </w:rPr>
            </w:pPr>
            <w:r>
              <w:rPr>
                <w:rFonts w:ascii="Arial" w:cs="Arial" w:eastAsia="Arial" w:hAnsi="Arial"/>
                <w:sz w:val="19"/>
                <w:szCs w:val="19"/>
                <w:color w:val="auto"/>
              </w:rPr>
              <w:t>Period (Calendar Year)</w:t>
            </w: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64"/>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2019</w:t>
            </w:r>
          </w:p>
        </w:tc>
        <w:tc>
          <w:tcPr>
            <w:tcW w:w="3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48"/>
        </w:trPr>
        <w:tc>
          <w:tcPr>
            <w:tcW w:w="5380" w:type="dxa"/>
            <w:vAlign w:val="bottom"/>
            <w:gridSpan w:val="2"/>
          </w:tcPr>
          <w:p>
            <w:pPr>
              <w:ind w:left="200"/>
              <w:spacing w:after="0"/>
              <w:rPr>
                <w:sz w:val="20"/>
                <w:szCs w:val="20"/>
                <w:color w:val="auto"/>
              </w:rPr>
            </w:pPr>
            <w:r>
              <w:rPr>
                <w:rFonts w:ascii="Arial" w:cs="Arial" w:eastAsia="Arial" w:hAnsi="Arial"/>
                <w:sz w:val="19"/>
                <w:szCs w:val="19"/>
                <w:color w:val="auto"/>
              </w:rPr>
              <w:t>First Quarter</w:t>
            </w:r>
          </w:p>
        </w:tc>
        <w:tc>
          <w:tcPr>
            <w:tcW w:w="860" w:type="dxa"/>
            <w:vAlign w:val="bottom"/>
          </w:tcPr>
          <w:p>
            <w:pPr>
              <w:jc w:val="right"/>
              <w:spacing w:after="0"/>
              <w:rPr>
                <w:sz w:val="20"/>
                <w:szCs w:val="20"/>
                <w:color w:val="auto"/>
              </w:rPr>
            </w:pPr>
            <w:r>
              <w:rPr>
                <w:rFonts w:ascii="Arial" w:cs="Arial" w:eastAsia="Arial" w:hAnsi="Arial"/>
                <w:sz w:val="19"/>
                <w:szCs w:val="19"/>
                <w:color w:val="auto"/>
              </w:rPr>
              <w:t>$5.21</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$4.39</w:t>
            </w:r>
          </w:p>
        </w:tc>
      </w:tr>
      <w:tr>
        <w:trPr>
          <w:trHeight w:val="253"/>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Second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$5.25</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$4.42</w:t>
            </w:r>
          </w:p>
        </w:tc>
      </w:tr>
      <w:tr>
        <w:trPr>
          <w:trHeight w:val="248"/>
        </w:trPr>
        <w:tc>
          <w:tcPr>
            <w:tcW w:w="5380" w:type="dxa"/>
            <w:vAlign w:val="bottom"/>
            <w:gridSpan w:val="2"/>
          </w:tcPr>
          <w:p>
            <w:pPr>
              <w:ind w:left="200"/>
              <w:spacing w:after="0"/>
              <w:rPr>
                <w:sz w:val="20"/>
                <w:szCs w:val="20"/>
                <w:color w:val="auto"/>
              </w:rPr>
            </w:pPr>
            <w:r>
              <w:rPr>
                <w:rFonts w:ascii="Arial" w:cs="Arial" w:eastAsia="Arial" w:hAnsi="Arial"/>
                <w:sz w:val="19"/>
                <w:szCs w:val="19"/>
                <w:color w:val="auto"/>
              </w:rPr>
              <w:t>Third Quarter</w:t>
            </w:r>
          </w:p>
        </w:tc>
        <w:tc>
          <w:tcPr>
            <w:tcW w:w="860" w:type="dxa"/>
            <w:vAlign w:val="bottom"/>
          </w:tcPr>
          <w:p>
            <w:pPr>
              <w:jc w:val="right"/>
              <w:spacing w:after="0"/>
              <w:rPr>
                <w:sz w:val="20"/>
                <w:szCs w:val="20"/>
                <w:color w:val="auto"/>
              </w:rPr>
            </w:pPr>
            <w:r>
              <w:rPr>
                <w:rFonts w:ascii="Arial" w:cs="Arial" w:eastAsia="Arial" w:hAnsi="Arial"/>
                <w:sz w:val="19"/>
                <w:szCs w:val="19"/>
                <w:color w:val="auto"/>
              </w:rPr>
              <w:t>$5.07</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$4.44</w:t>
            </w:r>
          </w:p>
        </w:tc>
      </w:tr>
      <w:tr>
        <w:trPr>
          <w:trHeight w:val="253"/>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Fourth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$5.60</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$4.47</w:t>
            </w:r>
          </w:p>
        </w:tc>
      </w:tr>
      <w:tr>
        <w:trPr>
          <w:trHeight w:val="264"/>
        </w:trPr>
        <w:tc>
          <w:tcPr>
            <w:tcW w:w="17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64"/>
        </w:trPr>
        <w:tc>
          <w:tcPr>
            <w:tcW w:w="1780" w:type="dxa"/>
            <w:vAlign w:val="bottom"/>
            <w:shd w:val="clear" w:color="auto" w:fill="CCEEFF"/>
          </w:tcPr>
          <w:p>
            <w:pPr>
              <w:spacing w:after="0"/>
              <w:rPr>
                <w:sz w:val="20"/>
                <w:szCs w:val="20"/>
                <w:color w:val="auto"/>
              </w:rPr>
            </w:pPr>
            <w:r>
              <w:rPr>
                <w:rFonts w:ascii="Arial" w:cs="Arial" w:eastAsia="Arial" w:hAnsi="Arial"/>
                <w:sz w:val="19"/>
                <w:szCs w:val="19"/>
                <w:color w:val="auto"/>
              </w:rPr>
              <w:t>2020</w:t>
            </w:r>
          </w:p>
        </w:tc>
        <w:tc>
          <w:tcPr>
            <w:tcW w:w="3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48"/>
        </w:trPr>
        <w:tc>
          <w:tcPr>
            <w:tcW w:w="5380" w:type="dxa"/>
            <w:vAlign w:val="bottom"/>
            <w:gridSpan w:val="2"/>
          </w:tcPr>
          <w:p>
            <w:pPr>
              <w:ind w:left="200"/>
              <w:spacing w:after="0"/>
              <w:rPr>
                <w:sz w:val="20"/>
                <w:szCs w:val="20"/>
                <w:color w:val="auto"/>
              </w:rPr>
            </w:pPr>
            <w:r>
              <w:rPr>
                <w:rFonts w:ascii="Arial" w:cs="Arial" w:eastAsia="Arial" w:hAnsi="Arial"/>
                <w:sz w:val="19"/>
                <w:szCs w:val="19"/>
                <w:color w:val="auto"/>
              </w:rPr>
              <w:t>First Quarter</w:t>
            </w:r>
          </w:p>
        </w:tc>
        <w:tc>
          <w:tcPr>
            <w:tcW w:w="860" w:type="dxa"/>
            <w:vAlign w:val="bottom"/>
          </w:tcPr>
          <w:p>
            <w:pPr>
              <w:jc w:val="right"/>
              <w:spacing w:after="0"/>
              <w:rPr>
                <w:sz w:val="20"/>
                <w:szCs w:val="20"/>
                <w:color w:val="auto"/>
              </w:rPr>
            </w:pPr>
            <w:r>
              <w:rPr>
                <w:rFonts w:ascii="Arial" w:cs="Arial" w:eastAsia="Arial" w:hAnsi="Arial"/>
                <w:sz w:val="19"/>
                <w:szCs w:val="19"/>
                <w:color w:val="auto"/>
              </w:rPr>
              <w:t>$6.10</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$3.67</w:t>
            </w:r>
          </w:p>
        </w:tc>
      </w:tr>
      <w:tr>
        <w:trPr>
          <w:trHeight w:val="253"/>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Second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$7.32</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$4.01</w:t>
            </w:r>
          </w:p>
        </w:tc>
      </w:tr>
      <w:tr>
        <w:trPr>
          <w:trHeight w:val="248"/>
        </w:trPr>
        <w:tc>
          <w:tcPr>
            <w:tcW w:w="5380" w:type="dxa"/>
            <w:vAlign w:val="bottom"/>
            <w:gridSpan w:val="2"/>
          </w:tcPr>
          <w:p>
            <w:pPr>
              <w:ind w:left="200"/>
              <w:spacing w:after="0"/>
              <w:rPr>
                <w:sz w:val="20"/>
                <w:szCs w:val="20"/>
                <w:color w:val="auto"/>
              </w:rPr>
            </w:pPr>
            <w:r>
              <w:rPr>
                <w:rFonts w:ascii="Arial" w:cs="Arial" w:eastAsia="Arial" w:hAnsi="Arial"/>
                <w:sz w:val="19"/>
                <w:szCs w:val="19"/>
                <w:color w:val="auto"/>
              </w:rPr>
              <w:t>Third Quarter</w:t>
            </w:r>
          </w:p>
        </w:tc>
        <w:tc>
          <w:tcPr>
            <w:tcW w:w="860" w:type="dxa"/>
            <w:vAlign w:val="bottom"/>
          </w:tcPr>
          <w:p>
            <w:pPr>
              <w:jc w:val="right"/>
              <w:spacing w:after="0"/>
              <w:rPr>
                <w:sz w:val="20"/>
                <w:szCs w:val="20"/>
                <w:color w:val="auto"/>
              </w:rPr>
            </w:pPr>
            <w:r>
              <w:rPr>
                <w:rFonts w:ascii="Arial" w:cs="Arial" w:eastAsia="Arial" w:hAnsi="Arial"/>
                <w:sz w:val="19"/>
                <w:szCs w:val="19"/>
                <w:color w:val="auto"/>
              </w:rPr>
              <w:t>$6.98</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$5.55</w:t>
            </w:r>
          </w:p>
        </w:tc>
      </w:tr>
      <w:tr>
        <w:trPr>
          <w:trHeight w:val="253"/>
        </w:trPr>
        <w:tc>
          <w:tcPr>
            <w:tcW w:w="5380" w:type="dxa"/>
            <w:vAlign w:val="bottom"/>
            <w:gridSpan w:val="2"/>
            <w:shd w:val="clear" w:color="auto" w:fill="CCEEFF"/>
          </w:tcPr>
          <w:p>
            <w:pPr>
              <w:ind w:left="200"/>
              <w:spacing w:after="0"/>
              <w:rPr>
                <w:sz w:val="20"/>
                <w:szCs w:val="20"/>
                <w:color w:val="auto"/>
              </w:rPr>
            </w:pPr>
            <w:r>
              <w:rPr>
                <w:rFonts w:ascii="Arial" w:cs="Arial" w:eastAsia="Arial" w:hAnsi="Arial"/>
                <w:sz w:val="19"/>
                <w:szCs w:val="19"/>
                <w:color w:val="auto"/>
              </w:rPr>
              <w:t>Fourth Quarter</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$8.91</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$6.42</w:t>
            </w:r>
          </w:p>
        </w:tc>
      </w:tr>
      <w:tr>
        <w:trPr>
          <w:trHeight w:val="264"/>
        </w:trPr>
        <w:tc>
          <w:tcPr>
            <w:tcW w:w="17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64"/>
        </w:trPr>
        <w:tc>
          <w:tcPr>
            <w:tcW w:w="1780" w:type="dxa"/>
            <w:vAlign w:val="bottom"/>
            <w:shd w:val="clear" w:color="auto" w:fill="CCEEFF"/>
          </w:tcPr>
          <w:p>
            <w:pPr>
              <w:spacing w:after="0"/>
              <w:rPr>
                <w:sz w:val="20"/>
                <w:szCs w:val="20"/>
                <w:color w:val="auto"/>
              </w:rPr>
            </w:pPr>
            <w:r>
              <w:rPr>
                <w:rFonts w:ascii="Arial" w:cs="Arial" w:eastAsia="Arial" w:hAnsi="Arial"/>
                <w:sz w:val="19"/>
                <w:szCs w:val="19"/>
                <w:color w:val="auto"/>
              </w:rPr>
              <w:t>2021</w:t>
            </w:r>
          </w:p>
        </w:tc>
        <w:tc>
          <w:tcPr>
            <w:tcW w:w="3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34"/>
        </w:trPr>
        <w:tc>
          <w:tcPr>
            <w:tcW w:w="5380" w:type="dxa"/>
            <w:vAlign w:val="bottom"/>
            <w:gridSpan w:val="2"/>
          </w:tcPr>
          <w:p>
            <w:pPr>
              <w:ind w:left="200"/>
              <w:spacing w:after="0"/>
              <w:rPr>
                <w:sz w:val="20"/>
                <w:szCs w:val="20"/>
                <w:color w:val="auto"/>
              </w:rPr>
            </w:pPr>
            <w:r>
              <w:rPr>
                <w:rFonts w:ascii="Arial" w:cs="Arial" w:eastAsia="Arial" w:hAnsi="Arial"/>
                <w:sz w:val="19"/>
                <w:szCs w:val="19"/>
                <w:color w:val="auto"/>
              </w:rPr>
              <w:t>First Quarter (through March 23, 2021)</w:t>
            </w:r>
          </w:p>
        </w:tc>
        <w:tc>
          <w:tcPr>
            <w:tcW w:w="860" w:type="dxa"/>
            <w:vAlign w:val="bottom"/>
          </w:tcPr>
          <w:p>
            <w:pPr>
              <w:jc w:val="right"/>
              <w:spacing w:after="0"/>
              <w:rPr>
                <w:sz w:val="20"/>
                <w:szCs w:val="20"/>
                <w:color w:val="auto"/>
              </w:rPr>
            </w:pPr>
            <w:r>
              <w:rPr>
                <w:rFonts w:ascii="Arial" w:cs="Arial" w:eastAsia="Arial" w:hAnsi="Arial"/>
                <w:sz w:val="19"/>
                <w:szCs w:val="19"/>
                <w:color w:val="auto"/>
              </w:rPr>
              <w:t>$10.54</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$8.48</w:t>
            </w:r>
          </w:p>
        </w:tc>
      </w:tr>
      <w:tr>
        <w:trPr>
          <w:trHeight w:val="240"/>
        </w:trPr>
        <w:tc>
          <w:tcPr>
            <w:tcW w:w="1780" w:type="dxa"/>
            <w:vAlign w:val="bottom"/>
          </w:tcPr>
          <w:p>
            <w:pPr>
              <w:spacing w:after="0"/>
              <w:rPr>
                <w:sz w:val="20"/>
                <w:szCs w:val="20"/>
                <w:color w:val="auto"/>
              </w:rPr>
            </w:pPr>
            <w:r>
              <w:rPr>
                <w:rFonts w:ascii="Arial" w:cs="Arial" w:eastAsia="Arial" w:hAnsi="Arial"/>
                <w:sz w:val="19"/>
                <w:szCs w:val="19"/>
                <w:color w:val="auto"/>
              </w:rPr>
              <w:t>_____________</w:t>
            </w:r>
          </w:p>
        </w:tc>
        <w:tc>
          <w:tcPr>
            <w:tcW w:w="3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9"/>
          <w:szCs w:val="19"/>
          <w:color w:val="auto"/>
        </w:rPr>
        <w:t>(1) Stock prices have been adjusted retroactively for the effect of annual stock dividends.</w:t>
      </w:r>
    </w:p>
    <w:p>
      <w:pPr>
        <w:spacing w:after="0" w:line="214"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The Class C common stock is not registered or traded on a national exchange. See Note 12 of the Notes to Consolidated Financial Statements.</w:t>
      </w:r>
    </w:p>
    <w:p>
      <w:pPr>
        <w:spacing w:after="0" w:line="170" w:lineRule="exact"/>
        <w:rPr>
          <w:sz w:val="20"/>
          <w:szCs w:val="20"/>
          <w:color w:val="auto"/>
        </w:rPr>
      </w:pPr>
    </w:p>
    <w:p>
      <w:pPr>
        <w:jc w:val="both"/>
        <w:ind w:right="319"/>
        <w:spacing w:after="0" w:line="251" w:lineRule="auto"/>
        <w:rPr>
          <w:sz w:val="20"/>
          <w:szCs w:val="20"/>
          <w:color w:val="auto"/>
        </w:rPr>
      </w:pPr>
      <w:r>
        <w:rPr>
          <w:rFonts w:ascii="Arial" w:cs="Arial" w:eastAsia="Arial" w:hAnsi="Arial"/>
          <w:sz w:val="19"/>
          <w:szCs w:val="19"/>
          <w:color w:val="auto"/>
        </w:rPr>
        <w:t>The Company has never paid a cash dividend on its Class A or Class C common stock. The Company currently anticipates that all of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the Board of Directors may deem appropriate. A 5% stock dividend on Class A and Class C common stock has been paid each year from 1990 through 2019 and a 7.5% stock dividend was paid for year 2020.</w:t>
      </w:r>
    </w:p>
    <w:p>
      <w:pPr>
        <w:spacing w:after="0" w:line="194" w:lineRule="exact"/>
        <w:rPr>
          <w:sz w:val="20"/>
          <w:szCs w:val="20"/>
          <w:color w:val="auto"/>
        </w:rPr>
      </w:pPr>
    </w:p>
    <w:p>
      <w:pPr>
        <w:jc w:val="both"/>
        <w:ind w:right="319"/>
        <w:spacing w:after="0" w:line="266" w:lineRule="auto"/>
        <w:rPr>
          <w:sz w:val="20"/>
          <w:szCs w:val="20"/>
          <w:color w:val="auto"/>
        </w:rPr>
      </w:pPr>
      <w:r>
        <w:rPr>
          <w:rFonts w:ascii="Arial" w:cs="Arial" w:eastAsia="Arial" w:hAnsi="Arial"/>
          <w:sz w:val="18"/>
          <w:szCs w:val="18"/>
          <w:color w:val="auto"/>
        </w:rPr>
        <w:t>On September 7, 2018, the Board of Directors of the Company approved a Stock Repurchase Plan that authorized the repurchase of 300,000 shares of the Company's Class A Common Stock in the open market. The Stock Repurchase Plan was amended on December 4,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 and for shares held in the Deferred Compensation Plan. The following table shows the Company’s repurchase activity of its common stock during the three months ended December 31, 2020 under its Stock Repurchase Plan.</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1"/>
        </w:trPr>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 Total Number of</w:t>
            </w:r>
          </w:p>
        </w:tc>
        <w:tc>
          <w:tcPr>
            <w:tcW w:w="2140" w:type="dxa"/>
            <w:vAlign w:val="bottom"/>
          </w:tcPr>
          <w:p>
            <w:pPr>
              <w:spacing w:after="0"/>
              <w:rPr>
                <w:sz w:val="18"/>
                <w:szCs w:val="18"/>
                <w:color w:val="auto"/>
              </w:rPr>
            </w:pPr>
          </w:p>
        </w:tc>
      </w:tr>
      <w:tr>
        <w:trPr>
          <w:trHeight w:val="211"/>
        </w:trPr>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Class A Shares</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(d) Maximum Number of</w:t>
            </w:r>
          </w:p>
        </w:tc>
      </w:tr>
      <w:tr>
        <w:trPr>
          <w:trHeight w:val="211"/>
        </w:trPr>
        <w:tc>
          <w:tcPr>
            <w:tcW w:w="176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 Total Number</w:t>
            </w: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(b) Average Price</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 as Part of</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Class A Shares that May Yet</w:t>
            </w:r>
          </w:p>
        </w:tc>
      </w:tr>
      <w:tr>
        <w:trPr>
          <w:trHeight w:val="211"/>
        </w:trPr>
        <w:tc>
          <w:tcPr>
            <w:tcW w:w="176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of Class A</w:t>
            </w: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Paid per Class A</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Publicly Announced</w:t>
            </w:r>
          </w:p>
        </w:tc>
        <w:tc>
          <w:tcPr>
            <w:tcW w:w="2140" w:type="dxa"/>
            <w:vAlign w:val="bottom"/>
          </w:tcPr>
          <w:p>
            <w:pPr>
              <w:jc w:val="center"/>
              <w:spacing w:after="0"/>
              <w:rPr>
                <w:sz w:val="20"/>
                <w:szCs w:val="20"/>
                <w:color w:val="auto"/>
              </w:rPr>
            </w:pPr>
            <w:r>
              <w:rPr>
                <w:rFonts w:ascii="Arial" w:cs="Arial" w:eastAsia="Arial" w:hAnsi="Arial"/>
                <w:sz w:val="18"/>
                <w:szCs w:val="18"/>
                <w:color w:val="auto"/>
                <w:w w:val="86"/>
              </w:rPr>
              <w:t>Be Purchased Under the Plan</w:t>
            </w: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Shares Purchased</w:t>
            </w:r>
          </w:p>
        </w:tc>
        <w:tc>
          <w:tcPr>
            <w:tcW w:w="420" w:type="dxa"/>
            <w:vAlign w:val="bottom"/>
          </w:tcPr>
          <w:p>
            <w:pPr>
              <w:spacing w:after="0"/>
              <w:rPr>
                <w:sz w:val="19"/>
                <w:szCs w:val="19"/>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8"/>
                <w:szCs w:val="18"/>
                <w:color w:val="auto"/>
                <w:w w:val="83"/>
              </w:rPr>
              <w:t>Share</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Plan or Program</w:t>
            </w:r>
          </w:p>
        </w:tc>
        <w:tc>
          <w:tcPr>
            <w:tcW w:w="2140" w:type="dxa"/>
            <w:vAlign w:val="bottom"/>
          </w:tcPr>
          <w:p>
            <w:pPr>
              <w:jc w:val="center"/>
              <w:spacing w:after="0"/>
              <w:rPr>
                <w:sz w:val="20"/>
                <w:szCs w:val="20"/>
                <w:color w:val="auto"/>
              </w:rPr>
            </w:pPr>
            <w:r>
              <w:rPr>
                <w:rFonts w:ascii="Arial" w:cs="Arial" w:eastAsia="Arial" w:hAnsi="Arial"/>
                <w:sz w:val="18"/>
                <w:szCs w:val="18"/>
                <w:color w:val="auto"/>
                <w:w w:val="86"/>
              </w:rPr>
              <w:t>or Program</w:t>
            </w:r>
          </w:p>
        </w:tc>
      </w:tr>
      <w:tr>
        <w:trPr>
          <w:trHeight w:val="237"/>
        </w:trPr>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10/1/2020-10/31/2020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20"/>
                <w:szCs w:val="20"/>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80,488</w:t>
            </w: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88"/>
              </w:rPr>
              <w:t>11/1/2020-11/30/2020</w:t>
            </w:r>
          </w:p>
        </w:tc>
        <w:tc>
          <w:tcPr>
            <w:tcW w:w="1260" w:type="dxa"/>
            <w:vAlign w:val="bottom"/>
          </w:tcPr>
          <w:p>
            <w:pPr>
              <w:jc w:val="right"/>
              <w:spacing w:after="0"/>
              <w:rPr>
                <w:sz w:val="20"/>
                <w:szCs w:val="20"/>
                <w:color w:val="auto"/>
              </w:rPr>
            </w:pPr>
            <w:r>
              <w:rPr>
                <w:rFonts w:ascii="Arial" w:cs="Arial" w:eastAsia="Arial" w:hAnsi="Arial"/>
                <w:sz w:val="18"/>
                <w:szCs w:val="18"/>
                <w:color w:val="auto"/>
              </w:rPr>
              <w:t>9,960</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20"/>
                <w:szCs w:val="20"/>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70,528</w:t>
            </w:r>
          </w:p>
        </w:tc>
      </w:tr>
      <w:tr>
        <w:trPr>
          <w:trHeight w:val="244"/>
        </w:trPr>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12/1/2020-12/31/2020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750,977</w:t>
            </w:r>
          </w:p>
        </w:tc>
      </w:tr>
      <w:tr>
        <w:trPr>
          <w:trHeight w:val="237"/>
        </w:trPr>
        <w:tc>
          <w:tcPr>
            <w:tcW w:w="17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r>
      <w:tr>
        <w:trPr>
          <w:trHeight w:val="230"/>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38,141</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750,977</w:t>
            </w:r>
          </w:p>
        </w:tc>
      </w:tr>
      <w:tr>
        <w:trPr>
          <w:trHeight w:val="20"/>
        </w:trPr>
        <w:tc>
          <w:tcPr>
            <w:tcW w:w="17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The graph below compares the cumulative total stockholder return of the Company’s Class A common stock with the cumulative total return on the Standard &amp; Poor’s 500 Stock Index and the Standard &amp; Poor’s Insurance Index for the period from December 31, 2016 through December 31, 2020. The graph assumes that the value of the investment in the Company’s Class A common stock and in each of the indexes was $100 at December 31, 2016 and that all dividends were reinvested.</w:t>
      </w:r>
    </w:p>
    <w:p>
      <w:pPr>
        <w:spacing w:after="0" w:line="194"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4133215" cy="262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33215" cy="262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12/31/16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12/31/17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12/31/18</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12/31/19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12/31/20</w:t>
            </w:r>
          </w:p>
        </w:tc>
      </w:tr>
      <w:tr>
        <w:trPr>
          <w:trHeight w:val="237"/>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SNFC</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160</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 &amp; P 500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119</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112</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144</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168</w:t>
            </w:r>
          </w:p>
        </w:tc>
      </w:tr>
      <w:tr>
        <w:trPr>
          <w:trHeight w:val="244"/>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S &amp; P Insurance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121</w:t>
            </w:r>
          </w:p>
        </w:tc>
      </w:tr>
    </w:tbl>
    <w:p>
      <w:pPr>
        <w:spacing w:after="0" w:line="102"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40" w:right="1440"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Item 6. Selected Financial Data</w:t>
      </w:r>
    </w:p>
    <w:p>
      <w:pPr>
        <w:spacing w:after="0" w:line="235"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As a smaller reporting company, the Company is not required to provide information typically disclosed under this item.</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6"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an improving housing market by originating mortgage loans. The Company has adjusted its operations and sales approach to respond to the changing economic circumstances resulting from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Operations</w:t>
      </w:r>
    </w:p>
    <w:p>
      <w:pPr>
        <w:spacing w:after="0" w:line="236" w:lineRule="exact"/>
        <w:rPr>
          <w:sz w:val="20"/>
          <w:szCs w:val="20"/>
          <w:color w:val="auto"/>
        </w:rPr>
      </w:pPr>
    </w:p>
    <w:p>
      <w:pPr>
        <w:jc w:val="both"/>
        <w:ind w:right="339"/>
        <w:spacing w:after="0" w:line="305" w:lineRule="auto"/>
        <w:rPr>
          <w:sz w:val="20"/>
          <w:szCs w:val="20"/>
          <w:color w:val="auto"/>
        </w:rPr>
      </w:pPr>
      <w:r>
        <w:rPr>
          <w:rFonts w:ascii="Arial" w:cs="Arial" w:eastAsia="Arial" w:hAnsi="Arial"/>
          <w:sz w:val="18"/>
          <w:szCs w:val="18"/>
          <w:color w:val="auto"/>
        </w:rPr>
        <w:t>The following table shows the condensed financial results for the Company’s insurance operations for the years ended December 31, 2020 and 2019. See Note 15 of the Notes to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color w:val="auto"/>
                <w:w w:val="86"/>
              </w:rPr>
              <w:t>Years ended December 31</w:t>
            </w:r>
          </w:p>
        </w:tc>
        <w:tc>
          <w:tcPr>
            <w:tcW w:w="1000" w:type="dxa"/>
            <w:vAlign w:val="bottom"/>
          </w:tcPr>
          <w:p>
            <w:pPr>
              <w:spacing w:after="0"/>
              <w:rPr>
                <w:sz w:val="17"/>
                <w:szCs w:val="17"/>
                <w:color w:val="auto"/>
              </w:rPr>
            </w:pPr>
          </w:p>
        </w:tc>
      </w:tr>
      <w:tr>
        <w:trPr>
          <w:trHeight w:val="214"/>
        </w:trPr>
        <w:tc>
          <w:tcPr>
            <w:tcW w:w="35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w w:val="90"/>
              </w:rPr>
              <w:t>(in thousands of dollars)</w:t>
            </w:r>
          </w:p>
        </w:tc>
        <w:tc>
          <w:tcPr>
            <w:tcW w:w="1000" w:type="dxa"/>
            <w:vAlign w:val="bottom"/>
            <w:tcBorders>
              <w:bottom w:val="single" w:sz="8" w:color="auto"/>
            </w:tcBorders>
          </w:tcPr>
          <w:p>
            <w:pPr>
              <w:spacing w:after="0"/>
              <w:rPr>
                <w:sz w:val="18"/>
                <w:szCs w:val="18"/>
                <w:color w:val="auto"/>
              </w:rPr>
            </w:pPr>
          </w:p>
        </w:tc>
      </w:tr>
      <w:tr>
        <w:trPr>
          <w:trHeight w:val="201"/>
        </w:trPr>
        <w:tc>
          <w:tcPr>
            <w:tcW w:w="3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88"/>
              </w:rPr>
              <w:t>2020 vs 2019 %</w:t>
            </w:r>
          </w:p>
        </w:tc>
      </w:tr>
      <w:tr>
        <w:trPr>
          <w:trHeight w:val="198"/>
        </w:trPr>
        <w:tc>
          <w:tcPr>
            <w:tcW w:w="3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41"/>
              <w:spacing w:after="0"/>
              <w:rPr>
                <w:sz w:val="20"/>
                <w:szCs w:val="20"/>
                <w:color w:val="auto"/>
              </w:rPr>
            </w:pPr>
            <w:r>
              <w:rPr>
                <w:rFonts w:ascii="Arial" w:cs="Arial" w:eastAsia="Arial" w:hAnsi="Arial"/>
                <w:sz w:val="16"/>
                <w:szCs w:val="16"/>
                <w:color w:val="auto"/>
                <w:w w:val="87"/>
              </w:rPr>
              <w:t>Increase</w:t>
            </w:r>
          </w:p>
        </w:tc>
      </w:tr>
      <w:tr>
        <w:trPr>
          <w:trHeight w:val="214"/>
        </w:trPr>
        <w:tc>
          <w:tcPr>
            <w:tcW w:w="3520" w:type="dxa"/>
            <w:vAlign w:val="bottom"/>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6"/>
                <w:szCs w:val="16"/>
                <w:color w:val="auto"/>
              </w:rPr>
              <w:t>2020</w:t>
            </w:r>
          </w:p>
        </w:tc>
        <w:tc>
          <w:tcPr>
            <w:tcW w:w="1260" w:type="dxa"/>
            <w:vAlign w:val="bottom"/>
            <w:gridSpan w:val="3"/>
          </w:tcPr>
          <w:p>
            <w:pPr>
              <w:ind w:left="600"/>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41"/>
              <w:spacing w:after="0"/>
              <w:rPr>
                <w:sz w:val="20"/>
                <w:szCs w:val="20"/>
                <w:color w:val="auto"/>
              </w:rPr>
            </w:pPr>
            <w:r>
              <w:rPr>
                <w:rFonts w:ascii="Arial" w:cs="Arial" w:eastAsia="Arial" w:hAnsi="Arial"/>
                <w:sz w:val="16"/>
                <w:szCs w:val="16"/>
                <w:color w:val="auto"/>
                <w:w w:val="88"/>
              </w:rPr>
              <w:t>(Decrease)</w:t>
            </w:r>
          </w:p>
        </w:tc>
      </w:tr>
      <w:tr>
        <w:trPr>
          <w:trHeight w:val="264"/>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from external customers:</w:t>
            </w:r>
          </w:p>
        </w:tc>
        <w:tc>
          <w:tcPr>
            <w:tcW w:w="48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214"/>
        </w:trPr>
        <w:tc>
          <w:tcPr>
            <w:tcW w:w="3520" w:type="dxa"/>
            <w:vAlign w:val="bottom"/>
          </w:tcPr>
          <w:p>
            <w:pPr>
              <w:ind w:left="160"/>
              <w:spacing w:after="0"/>
              <w:rPr>
                <w:sz w:val="20"/>
                <w:szCs w:val="20"/>
                <w:color w:val="auto"/>
              </w:rPr>
            </w:pPr>
            <w:r>
              <w:rPr>
                <w:rFonts w:ascii="Arial" w:cs="Arial" w:eastAsia="Arial" w:hAnsi="Arial"/>
                <w:sz w:val="16"/>
                <w:szCs w:val="16"/>
                <w:color w:val="auto"/>
              </w:rPr>
              <w:t>Insurance premiums</w:t>
            </w: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93,021</w:t>
            </w:r>
          </w:p>
        </w:tc>
        <w:tc>
          <w:tcPr>
            <w:tcW w:w="7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81,861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54,811</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41,611</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4"/>
        </w:trPr>
        <w:tc>
          <w:tcPr>
            <w:tcW w:w="3520" w:type="dxa"/>
            <w:vAlign w:val="bottom"/>
          </w:tcPr>
          <w:p>
            <w:pPr>
              <w:spacing w:after="0"/>
              <w:rPr>
                <w:sz w:val="20"/>
                <w:szCs w:val="20"/>
                <w:color w:val="auto"/>
              </w:rPr>
            </w:pPr>
            <w:r>
              <w:rPr>
                <w:rFonts w:ascii="Arial" w:cs="Arial" w:eastAsia="Arial" w:hAnsi="Arial"/>
                <w:sz w:val="16"/>
                <w:szCs w:val="16"/>
                <w:color w:val="auto"/>
              </w:rPr>
              <w:t>Gains (losses) on investments and other assets</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2,089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1414%</w:t>
            </w:r>
          </w:p>
        </w:tc>
      </w:tr>
      <w:tr>
        <w:trPr>
          <w:trHeight w:val="234"/>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Other than temporary impairments</w:t>
            </w:r>
          </w:p>
        </w:tc>
        <w:tc>
          <w:tcPr>
            <w:tcW w:w="4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3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21"/>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151,042</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125,739</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3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3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Intersegment revenue</w:t>
            </w:r>
          </w:p>
        </w:tc>
        <w:tc>
          <w:tcPr>
            <w:tcW w:w="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4"/>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319"/>
        <w:spacing w:after="0" w:line="264" w:lineRule="auto"/>
        <w:rPr>
          <w:sz w:val="20"/>
          <w:szCs w:val="20"/>
          <w:color w:val="auto"/>
        </w:rPr>
      </w:pPr>
      <w:r>
        <w:rPr>
          <w:rFonts w:ascii="Arial" w:cs="Arial" w:eastAsia="Arial" w:hAnsi="Arial"/>
          <w:sz w:val="18"/>
          <w:szCs w:val="18"/>
          <w:color w:val="auto"/>
        </w:rPr>
        <w:t>Intersegment revenues for the Company’s insurance operations were primarily interest income from the warehouse lines provided to its mortgage lending affiliates to fund loans held for sale. Profitability in 2020 increased due to a $13,201,000 increase in net investment income, a $11,160,000 increase in insurance premiums and other considerations, a $3,567,000 increase in intersegment revenue, a $1,950,000 increase in gains on investments and other assets primarily due to a decrease in impairment losses on commercial real estate, a $581,000 decrease in amortization of deferred policy acquisition costs, and a $453,000 decrease in interest expense. This increase was partially offset by a $17,930,000 increase in death, surrenders and other policy benefits ($6,239,000 for COVID-19 related deaths), a $6,449,000 increase in selling, general and administrative expenses, and a $637,000 decrease in other revenues. The Company acquired Kilpatrick Life Insurance Company (“Kilpatrick Life”) in December 2019. See Note 15 to the condensed consolidated financial statements. This acquisition is the primary reason for the increases in insurance premiums, net investment income, death, surrenders and other policy benefits, and selling, general and administrative expenses.</w:t>
      </w:r>
    </w:p>
    <w:p>
      <w:pPr>
        <w:spacing w:after="0" w:line="183"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In response to the COVID-19 pandemic, the life insurance sales force has transitioned to virtual and tele sales processes and transitioned approximately 95% of office staff to work remotely.</w:t>
      </w: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9" w:name="page20"/>
    <w:bookmarkEnd w:id="19"/>
    <w:p>
      <w:pPr>
        <w:spacing w:after="0"/>
        <w:rPr>
          <w:sz w:val="20"/>
          <w:szCs w:val="20"/>
          <w:color w:val="auto"/>
        </w:rPr>
      </w:pPr>
      <w:r>
        <w:rPr>
          <w:rFonts w:ascii="Arial" w:cs="Arial" w:eastAsia="Arial" w:hAnsi="Arial"/>
          <w:sz w:val="19"/>
          <w:szCs w:val="19"/>
          <w:b w:val="1"/>
          <w:bCs w:val="1"/>
          <w:color w:val="auto"/>
        </w:rPr>
        <w:t>Cemetery and Mortuary Operations</w:t>
      </w:r>
    </w:p>
    <w:p>
      <w:pPr>
        <w:spacing w:after="0" w:line="235" w:lineRule="exact"/>
        <w:rPr>
          <w:sz w:val="20"/>
          <w:szCs w:val="20"/>
          <w:color w:val="auto"/>
        </w:rPr>
      </w:pPr>
    </w:p>
    <w:p>
      <w:pPr>
        <w:jc w:val="both"/>
        <w:ind w:right="319"/>
        <w:spacing w:after="0" w:line="337" w:lineRule="auto"/>
        <w:rPr>
          <w:sz w:val="20"/>
          <w:szCs w:val="20"/>
          <w:color w:val="auto"/>
        </w:rPr>
      </w:pPr>
      <w:r>
        <w:rPr>
          <w:rFonts w:ascii="Arial" w:cs="Arial" w:eastAsia="Arial" w:hAnsi="Arial"/>
          <w:sz w:val="17"/>
          <w:szCs w:val="17"/>
          <w:color w:val="auto"/>
        </w:rPr>
        <w:t>The following table shows the condensed financial results for the Company’s cemetery and mortuary operations for the years ended December 31, 2020 and 2019. See Note 15 of the Notes to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6"/>
          </w:tcPr>
          <w:p>
            <w:pPr>
              <w:jc w:val="center"/>
              <w:spacing w:after="0"/>
              <w:rPr>
                <w:sz w:val="20"/>
                <w:szCs w:val="20"/>
                <w:color w:val="auto"/>
              </w:rPr>
            </w:pPr>
            <w:r>
              <w:rPr>
                <w:rFonts w:ascii="Arial" w:cs="Arial" w:eastAsia="Arial" w:hAnsi="Arial"/>
                <w:sz w:val="16"/>
                <w:szCs w:val="16"/>
                <w:color w:val="auto"/>
                <w:w w:val="86"/>
              </w:rPr>
              <w:t>Years ended December 31</w:t>
            </w:r>
          </w:p>
        </w:tc>
        <w:tc>
          <w:tcPr>
            <w:tcW w:w="960" w:type="dxa"/>
            <w:vAlign w:val="bottom"/>
          </w:tcPr>
          <w:p>
            <w:pPr>
              <w:spacing w:after="0"/>
              <w:rPr>
                <w:sz w:val="17"/>
                <w:szCs w:val="17"/>
                <w:color w:val="auto"/>
              </w:rPr>
            </w:pPr>
          </w:p>
        </w:tc>
      </w:tr>
      <w:tr>
        <w:trPr>
          <w:trHeight w:val="214"/>
        </w:trPr>
        <w:tc>
          <w:tcPr>
            <w:tcW w:w="3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center"/>
              <w:ind w:right="1"/>
              <w:spacing w:after="0"/>
              <w:rPr>
                <w:sz w:val="20"/>
                <w:szCs w:val="20"/>
                <w:color w:val="auto"/>
              </w:rPr>
            </w:pPr>
            <w:r>
              <w:rPr>
                <w:rFonts w:ascii="Arial" w:cs="Arial" w:eastAsia="Arial" w:hAnsi="Arial"/>
                <w:sz w:val="16"/>
                <w:szCs w:val="16"/>
                <w:color w:val="auto"/>
                <w:w w:val="90"/>
              </w:rPr>
              <w:t>(in thousands of dollars)</w:t>
            </w:r>
          </w:p>
        </w:tc>
        <w:tc>
          <w:tcPr>
            <w:tcW w:w="960" w:type="dxa"/>
            <w:vAlign w:val="bottom"/>
            <w:tcBorders>
              <w:bottom w:val="single" w:sz="8" w:color="auto"/>
            </w:tcBorders>
          </w:tcPr>
          <w:p>
            <w:pPr>
              <w:spacing w:after="0"/>
              <w:rPr>
                <w:sz w:val="18"/>
                <w:szCs w:val="18"/>
                <w:color w:val="auto"/>
              </w:rPr>
            </w:pPr>
          </w:p>
        </w:tc>
      </w:tr>
      <w:tr>
        <w:trPr>
          <w:trHeight w:val="201"/>
        </w:trPr>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0"/>
              </w:rPr>
              <w:t>2020 vs 2019 %</w:t>
            </w:r>
          </w:p>
        </w:tc>
      </w:tr>
      <w:tr>
        <w:trPr>
          <w:trHeight w:val="198"/>
        </w:trPr>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21"/>
              <w:spacing w:after="0"/>
              <w:rPr>
                <w:sz w:val="20"/>
                <w:szCs w:val="20"/>
                <w:color w:val="auto"/>
              </w:rPr>
            </w:pPr>
            <w:r>
              <w:rPr>
                <w:rFonts w:ascii="Arial" w:cs="Arial" w:eastAsia="Arial" w:hAnsi="Arial"/>
                <w:sz w:val="16"/>
                <w:szCs w:val="16"/>
                <w:color w:val="auto"/>
                <w:w w:val="84"/>
              </w:rPr>
              <w:t>Increase</w:t>
            </w:r>
          </w:p>
        </w:tc>
      </w:tr>
      <w:tr>
        <w:trPr>
          <w:trHeight w:val="214"/>
        </w:trPr>
        <w:tc>
          <w:tcPr>
            <w:tcW w:w="36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4"/>
              </w:rPr>
              <w:t>2020</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4"/>
              </w:rPr>
              <w:t>2019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color w:val="auto"/>
                <w:w w:val="85"/>
              </w:rPr>
              <w:t>(Decrease)</w:t>
            </w:r>
          </w:p>
        </w:tc>
      </w:tr>
      <w:tr>
        <w:trPr>
          <w:trHeight w:val="264"/>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external customers:</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14"/>
        </w:trPr>
        <w:tc>
          <w:tcPr>
            <w:tcW w:w="3660" w:type="dxa"/>
            <w:vAlign w:val="bottom"/>
          </w:tcPr>
          <w:p>
            <w:pPr>
              <w:ind w:left="160"/>
              <w:spacing w:after="0"/>
              <w:rPr>
                <w:sz w:val="20"/>
                <w:szCs w:val="20"/>
                <w:color w:val="auto"/>
              </w:rPr>
            </w:pPr>
            <w:r>
              <w:rPr>
                <w:rFonts w:ascii="Arial" w:cs="Arial" w:eastAsia="Arial" w:hAnsi="Arial"/>
                <w:sz w:val="16"/>
                <w:szCs w:val="16"/>
                <w:color w:val="auto"/>
              </w:rPr>
              <w:t>Mortuary revenues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7,854</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4"/>
        </w:trPr>
        <w:tc>
          <w:tcPr>
            <w:tcW w:w="3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Cemetery revenues</w:t>
            </w: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4"/>
        </w:trPr>
        <w:tc>
          <w:tcPr>
            <w:tcW w:w="3660" w:type="dxa"/>
            <w:vAlign w:val="bottom"/>
          </w:tcPr>
          <w:p>
            <w:pPr>
              <w:spacing w:after="0"/>
              <w:rPr>
                <w:sz w:val="20"/>
                <w:szCs w:val="20"/>
                <w:color w:val="auto"/>
              </w:rPr>
            </w:pPr>
            <w:r>
              <w:rPr>
                <w:rFonts w:ascii="Arial" w:cs="Arial" w:eastAsia="Arial" w:hAnsi="Arial"/>
                <w:sz w:val="16"/>
                <w:szCs w:val="16"/>
                <w:color w:val="auto"/>
              </w:rPr>
              <w:t>Net investment income</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34"/>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Gains on investments and other assets</w:t>
            </w: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3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1"/>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21,047</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4,399</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
        </w:trPr>
        <w:tc>
          <w:tcPr>
            <w:tcW w:w="3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319"/>
        <w:spacing w:after="0" w:line="267" w:lineRule="auto"/>
        <w:rPr>
          <w:sz w:val="20"/>
          <w:szCs w:val="20"/>
          <w:color w:val="auto"/>
        </w:rPr>
      </w:pPr>
      <w:r>
        <w:rPr>
          <w:rFonts w:ascii="Arial" w:cs="Arial" w:eastAsia="Arial" w:hAnsi="Arial"/>
          <w:sz w:val="18"/>
          <w:szCs w:val="18"/>
          <w:color w:val="auto"/>
        </w:rPr>
        <w:t>Profitability in 2020 has increased due to a $2,133,000 increase in cemetery pre-need sales, a $1,566,000 increase in cemetery at-need sales, a $1,312,000 increase in mortuary at-need sales, and a $228,000 increase in net investment income. This increase was partially offset by a $2,178,000 increase in selling, general and administrative expenses, a $693,000 decrease in gains on investments and other assets primarily attributable to a $621,000 decrease in gains on real estate sales and a $72,000 decrease in the fair value of equity securities classified as restricted assets and cemetery perpetual care trust investments due to the recent downturn of the economy caused by the COVID-19 pandemic, and a $374,000 increase in costs of goods sold.</w:t>
      </w:r>
    </w:p>
    <w:p>
      <w:pPr>
        <w:spacing w:after="0" w:line="182"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As a result of the COVID-19 pandemic, the Company has seen a decrease in its average case size as funeral services have been limited. The Company has transitioned its pre-need sales force to virtual selling and has done in home sales as local regulations permit.</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Operations</w:t>
      </w:r>
    </w:p>
    <w:p>
      <w:pPr>
        <w:spacing w:after="0" w:line="236" w:lineRule="exact"/>
        <w:rPr>
          <w:sz w:val="20"/>
          <w:szCs w:val="20"/>
          <w:color w:val="auto"/>
        </w:rPr>
      </w:pPr>
    </w:p>
    <w:p>
      <w:pPr>
        <w:jc w:val="both"/>
        <w:ind w:right="319"/>
        <w:spacing w:after="0" w:line="266" w:lineRule="auto"/>
        <w:rPr>
          <w:sz w:val="20"/>
          <w:szCs w:val="20"/>
          <w:color w:val="auto"/>
        </w:rPr>
      </w:pPr>
      <w:r>
        <w:rPr>
          <w:rFonts w:ascii="Arial" w:cs="Arial" w:eastAsia="Arial" w:hAnsi="Arial"/>
          <w:sz w:val="18"/>
          <w:szCs w:val="18"/>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Kilpatrick Life and unaffiliated financial institutions.</w:t>
      </w:r>
    </w:p>
    <w:p>
      <w:pPr>
        <w:spacing w:after="0" w:line="183" w:lineRule="exact"/>
        <w:rPr>
          <w:sz w:val="20"/>
          <w:szCs w:val="20"/>
          <w:color w:val="auto"/>
        </w:rPr>
      </w:pPr>
    </w:p>
    <w:p>
      <w:pPr>
        <w:jc w:val="both"/>
        <w:ind w:right="319"/>
        <w:spacing w:after="0" w:line="251" w:lineRule="auto"/>
        <w:rPr>
          <w:sz w:val="20"/>
          <w:szCs w:val="20"/>
          <w:color w:val="auto"/>
        </w:rPr>
      </w:pPr>
      <w:r>
        <w:rPr>
          <w:rFonts w:ascii="Arial" w:cs="Arial" w:eastAsia="Arial" w:hAnsi="Arial"/>
          <w:sz w:val="19"/>
          <w:szCs w:val="19"/>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67% of its loan origination volume. These mortgage loans are serviced by either SecurityNational Mortgage or an approved third-party sub-servicer.</w:t>
      </w:r>
    </w:p>
    <w:p>
      <w:pPr>
        <w:spacing w:after="0" w:line="194"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For the twelve months ended December 31, 2020 and 2019, SecurityNational Mortgage originated 21,206 loans ($5,472,503,000 total volume) and 10,885 loans ($2,534,399,000 total volume), respectively. For the twelve months ended December 31, 2020 and 2019, EverLEND Mortgage originated 511 loans ($154,511,000 total volume) and 275 loans ($72,440,000 total volume), respectively.</w:t>
      </w:r>
    </w:p>
    <w:p>
      <w:pPr>
        <w:spacing w:after="0" w:line="189" w:lineRule="exact"/>
        <w:rPr>
          <w:sz w:val="20"/>
          <w:szCs w:val="20"/>
          <w:color w:val="auto"/>
        </w:rPr>
      </w:pPr>
    </w:p>
    <w:p>
      <w:pPr>
        <w:jc w:val="both"/>
        <w:ind w:right="339"/>
        <w:spacing w:after="0" w:line="261" w:lineRule="auto"/>
        <w:rPr>
          <w:sz w:val="20"/>
          <w:szCs w:val="20"/>
          <w:color w:val="auto"/>
        </w:rPr>
      </w:pPr>
      <w:r>
        <w:rPr>
          <w:rFonts w:ascii="Arial" w:cs="Arial" w:eastAsia="Arial" w:hAnsi="Arial"/>
          <w:sz w:val="19"/>
          <w:szCs w:val="19"/>
          <w:color w:val="auto"/>
        </w:rPr>
        <w:t>During the COVID-19 pandemic, the demand for mortgage loans has increased. The Company has seen most markets increase their demand for new homes and refinances on existing homes. The Company has transitioned 90% of its processes to a remote work environment.</w:t>
      </w:r>
    </w:p>
    <w:p>
      <w:pPr>
        <w:sectPr>
          <w:pgSz w:w="11900" w:h="16838" w:orient="portrait"/>
          <w:cols w:equalWidth="0" w:num="1">
            <w:col w:w="9179"/>
          </w:cols>
          <w:pgMar w:left="1280" w:top="118" w:right="1440" w:bottom="1440" w:gutter="0" w:footer="0" w:header="0"/>
        </w:sect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type w:val="continuous"/>
        </w:sectPr>
      </w:pPr>
    </w:p>
    <w:bookmarkStart w:id="20" w:name="page21"/>
    <w:bookmarkEnd w:id="20"/>
    <w:p>
      <w:pPr>
        <w:jc w:val="both"/>
        <w:ind w:right="339"/>
        <w:spacing w:after="0" w:line="278" w:lineRule="auto"/>
        <w:rPr>
          <w:sz w:val="20"/>
          <w:szCs w:val="20"/>
          <w:color w:val="auto"/>
        </w:rPr>
      </w:pPr>
      <w:r>
        <w:rPr>
          <w:rFonts w:ascii="Arial" w:cs="Arial" w:eastAsia="Arial" w:hAnsi="Arial"/>
          <w:sz w:val="19"/>
          <w:szCs w:val="19"/>
          <w:color w:val="auto"/>
        </w:rPr>
        <w:t>The following table shows the condensed financial results for the Company’s mortgage operations for the years ended 2020 and 2019. See Note 15 of the Notes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6"/>
                <w:szCs w:val="16"/>
                <w:color w:val="auto"/>
                <w:w w:val="86"/>
              </w:rPr>
              <w:t>Years ended December 31</w:t>
            </w:r>
          </w:p>
        </w:tc>
        <w:tc>
          <w:tcPr>
            <w:tcW w:w="1200" w:type="dxa"/>
            <w:vAlign w:val="bottom"/>
          </w:tcPr>
          <w:p>
            <w:pPr>
              <w:spacing w:after="0"/>
              <w:rPr>
                <w:sz w:val="17"/>
                <w:szCs w:val="17"/>
                <w:color w:val="auto"/>
              </w:rPr>
            </w:pPr>
          </w:p>
        </w:tc>
      </w:tr>
      <w:tr>
        <w:trPr>
          <w:trHeight w:val="214"/>
        </w:trPr>
        <w:tc>
          <w:tcPr>
            <w:tcW w:w="26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color w:val="auto"/>
                <w:w w:val="90"/>
              </w:rPr>
              <w:t>(in thousands of dollars)</w:t>
            </w:r>
          </w:p>
        </w:tc>
        <w:tc>
          <w:tcPr>
            <w:tcW w:w="1200" w:type="dxa"/>
            <w:vAlign w:val="bottom"/>
            <w:tcBorders>
              <w:bottom w:val="single" w:sz="8" w:color="auto"/>
            </w:tcBorders>
          </w:tcPr>
          <w:p>
            <w:pPr>
              <w:spacing w:after="0"/>
              <w:rPr>
                <w:sz w:val="18"/>
                <w:szCs w:val="18"/>
                <w:color w:val="auto"/>
              </w:rPr>
            </w:pPr>
          </w:p>
        </w:tc>
      </w:tr>
      <w:tr>
        <w:trPr>
          <w:trHeight w:val="201"/>
        </w:trPr>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0"/>
              </w:rPr>
              <w:t>2020 vs 2019 %</w:t>
            </w:r>
          </w:p>
        </w:tc>
      </w:tr>
      <w:tr>
        <w:trPr>
          <w:trHeight w:val="198"/>
        </w:trPr>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4"/>
              </w:rPr>
              <w:t>Increase</w:t>
            </w:r>
          </w:p>
        </w:tc>
      </w:tr>
      <w:tr>
        <w:trPr>
          <w:trHeight w:val="214"/>
        </w:trPr>
        <w:tc>
          <w:tcPr>
            <w:tcW w:w="2620" w:type="dxa"/>
            <w:vAlign w:val="bottom"/>
          </w:tcPr>
          <w:p>
            <w:pPr>
              <w:spacing w:after="0"/>
              <w:rPr>
                <w:sz w:val="18"/>
                <w:szCs w:val="18"/>
                <w:color w:val="auto"/>
              </w:rPr>
            </w:pPr>
          </w:p>
        </w:tc>
        <w:tc>
          <w:tcPr>
            <w:tcW w:w="1340" w:type="dxa"/>
            <w:vAlign w:val="bottom"/>
            <w:gridSpan w:val="2"/>
          </w:tcPr>
          <w:p>
            <w:pPr>
              <w:jc w:val="right"/>
              <w:ind w:right="421"/>
              <w:spacing w:after="0"/>
              <w:rPr>
                <w:sz w:val="20"/>
                <w:szCs w:val="20"/>
                <w:color w:val="auto"/>
              </w:rPr>
            </w:pPr>
            <w:r>
              <w:rPr>
                <w:rFonts w:ascii="Arial" w:cs="Arial" w:eastAsia="Arial" w:hAnsi="Arial"/>
                <w:sz w:val="16"/>
                <w:szCs w:val="16"/>
                <w:color w:val="auto"/>
              </w:rPr>
              <w:t>2020</w:t>
            </w:r>
          </w:p>
        </w:tc>
        <w:tc>
          <w:tcPr>
            <w:tcW w:w="1540" w:type="dxa"/>
            <w:vAlign w:val="bottom"/>
            <w:gridSpan w:val="3"/>
          </w:tcPr>
          <w:p>
            <w:pPr>
              <w:jc w:val="right"/>
              <w:ind w:right="401"/>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5"/>
              </w:rPr>
              <w:t>(Decrease)</w:t>
            </w:r>
          </w:p>
        </w:tc>
      </w:tr>
      <w:tr>
        <w:trPr>
          <w:trHeight w:val="264"/>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from external customers:</w:t>
            </w:r>
          </w:p>
        </w:tc>
        <w:tc>
          <w:tcPr>
            <w:tcW w:w="7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r>
      <w:tr>
        <w:trPr>
          <w:trHeight w:val="214"/>
        </w:trPr>
        <w:tc>
          <w:tcPr>
            <w:tcW w:w="2620" w:type="dxa"/>
            <w:vAlign w:val="bottom"/>
          </w:tcPr>
          <w:p>
            <w:pPr>
              <w:ind w:left="160"/>
              <w:spacing w:after="0"/>
              <w:rPr>
                <w:sz w:val="20"/>
                <w:szCs w:val="20"/>
                <w:color w:val="auto"/>
              </w:rPr>
            </w:pPr>
            <w:r>
              <w:rPr>
                <w:rFonts w:ascii="Arial" w:cs="Arial" w:eastAsia="Arial" w:hAnsi="Arial"/>
                <w:sz w:val="16"/>
                <w:szCs w:val="16"/>
                <w:color w:val="auto"/>
              </w:rPr>
              <w:t>Income from loan originations</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67,174</w:t>
            </w:r>
          </w:p>
        </w:tc>
        <w:tc>
          <w:tcPr>
            <w:tcW w:w="94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38,394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34"/>
        </w:trPr>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Secondary gains from investors</w:t>
            </w:r>
          </w:p>
        </w:tc>
        <w:tc>
          <w:tcPr>
            <w:tcW w:w="7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231,759</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93,582</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4"/>
        </w:trPr>
        <w:tc>
          <w:tcPr>
            <w:tcW w:w="2620" w:type="dxa"/>
            <w:vAlign w:val="bottom"/>
          </w:tcPr>
          <w:p>
            <w:pPr>
              <w:spacing w:after="0"/>
              <w:rPr>
                <w:sz w:val="20"/>
                <w:szCs w:val="20"/>
                <w:color w:val="auto"/>
              </w:rPr>
            </w:pPr>
            <w:r>
              <w:rPr>
                <w:rFonts w:ascii="Arial" w:cs="Arial" w:eastAsia="Arial" w:hAnsi="Arial"/>
                <w:sz w:val="16"/>
                <w:szCs w:val="16"/>
                <w:color w:val="auto"/>
              </w:rPr>
              <w:t>Net investment income</w:t>
            </w:r>
          </w:p>
        </w:tc>
        <w:tc>
          <w:tcPr>
            <w:tcW w:w="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829</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w w:val="93"/>
              </w:rPr>
              <w:t>Gains on investments and other assets</w:t>
            </w:r>
          </w:p>
        </w:tc>
        <w:tc>
          <w:tcPr>
            <w:tcW w:w="7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2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9,732</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21"/>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309,376</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140,821</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2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4"/>
        </w:trPr>
        <w:tc>
          <w:tcPr>
            <w:tcW w:w="262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55,128</w:t>
            </w:r>
          </w:p>
        </w:tc>
        <w:tc>
          <w:tcPr>
            <w:tcW w:w="940" w:type="dxa"/>
            <w:vAlign w:val="bottom"/>
            <w:gridSpan w:val="2"/>
          </w:tcPr>
          <w:p>
            <w:pPr>
              <w:jc w:val="center"/>
              <w:ind w:left="62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4,718</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1068%</w:t>
            </w:r>
          </w:p>
        </w:tc>
      </w:tr>
      <w:tr>
        <w:trPr>
          <w:trHeight w:val="20"/>
        </w:trPr>
        <w:tc>
          <w:tcPr>
            <w:tcW w:w="2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319"/>
        <w:spacing w:after="0" w:line="306" w:lineRule="auto"/>
        <w:rPr>
          <w:sz w:val="20"/>
          <w:szCs w:val="20"/>
          <w:color w:val="auto"/>
        </w:rPr>
      </w:pPr>
      <w:r>
        <w:rPr>
          <w:rFonts w:ascii="Arial" w:cs="Arial" w:eastAsia="Arial" w:hAnsi="Arial"/>
          <w:sz w:val="17"/>
          <w:szCs w:val="17"/>
          <w:color w:val="auto"/>
        </w:rPr>
        <w:t>Included in other revenues is service fee income. The increase in revenues for the Company’s mortgage operations for the twelve months ended December 31, 2020 as compared to December 31, 2019 was due to an increase in mortgage loan originations and refinancings, and subsequent sales of mortgage loans into the secondary market.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Loan Loss Settlements</w:t>
      </w:r>
    </w:p>
    <w:p>
      <w:pPr>
        <w:spacing w:after="0" w:line="236" w:lineRule="exact"/>
        <w:rPr>
          <w:sz w:val="20"/>
          <w:szCs w:val="20"/>
          <w:color w:val="auto"/>
        </w:rPr>
      </w:pPr>
    </w:p>
    <w:p>
      <w:pPr>
        <w:jc w:val="both"/>
        <w:ind w:right="319"/>
        <w:spacing w:after="0" w:line="296" w:lineRule="auto"/>
        <w:rPr>
          <w:sz w:val="20"/>
          <w:szCs w:val="20"/>
          <w:color w:val="auto"/>
        </w:rPr>
      </w:pPr>
      <w:r>
        <w:rPr>
          <w:rFonts w:ascii="Arial" w:cs="Arial" w:eastAsia="Arial" w:hAnsi="Arial"/>
          <w:sz w:val="17"/>
          <w:szCs w:val="17"/>
          <w:color w:val="auto"/>
        </w:rPr>
        <w:t>Future loan losses can be extremely difficult to estimate. However, management believes that the Company’s reserve methodology and its current practice of property preservation allow it to estimate potential losses on mortgage loans sold. The estimated liability for indemnification losses is included in other liabilities and accrued expenses and, as of December 31, 2020 and 2019, the balances were $20,584,000 and $4,046,000,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Loan Loss Litigation</w:t>
      </w:r>
    </w:p>
    <w:p>
      <w:pPr>
        <w:spacing w:after="0" w:line="236"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For a description of the litigation involving SecurityNational Mortgage and Lehman Brothers Holdings, see Part I, Item 3. 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Significant Accounting Policies</w:t>
      </w:r>
    </w:p>
    <w:p>
      <w:pPr>
        <w:spacing w:after="0" w:line="236" w:lineRule="exact"/>
        <w:rPr>
          <w:sz w:val="20"/>
          <w:szCs w:val="20"/>
          <w:color w:val="auto"/>
        </w:rPr>
      </w:pPr>
    </w:p>
    <w:p>
      <w:pPr>
        <w:jc w:val="both"/>
        <w:ind w:right="339"/>
        <w:spacing w:after="0" w:line="305" w:lineRule="auto"/>
        <w:rPr>
          <w:sz w:val="20"/>
          <w:szCs w:val="20"/>
          <w:color w:val="auto"/>
        </w:rPr>
      </w:pPr>
      <w:r>
        <w:rPr>
          <w:rFonts w:ascii="Arial" w:cs="Arial" w:eastAsia="Arial" w:hAnsi="Arial"/>
          <w:sz w:val="18"/>
          <w:szCs w:val="18"/>
          <w:color w:val="auto"/>
        </w:rPr>
        <w:t>The following is a brief summary of the Company’s significant accounting policies and a review of the Company’s most critical accounting estimates. See Note 1 of the Notes to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Insurance Operations</w:t>
      </w:r>
    </w:p>
    <w:p>
      <w:pPr>
        <w:spacing w:after="0" w:line="230" w:lineRule="exact"/>
        <w:rPr>
          <w:sz w:val="20"/>
          <w:szCs w:val="20"/>
          <w:color w:val="auto"/>
        </w:rPr>
      </w:pPr>
    </w:p>
    <w:p>
      <w:pPr>
        <w:jc w:val="both"/>
        <w:ind w:right="319"/>
        <w:spacing w:after="0" w:line="269" w:lineRule="auto"/>
        <w:rPr>
          <w:sz w:val="20"/>
          <w:szCs w:val="20"/>
          <w:color w:val="auto"/>
        </w:rPr>
      </w:pPr>
      <w:r>
        <w:rPr>
          <w:rFonts w:ascii="Arial" w:cs="Arial" w:eastAsia="Arial" w:hAnsi="Arial"/>
          <w:sz w:val="18"/>
          <w:szCs w:val="18"/>
          <w:color w:val="auto"/>
        </w:rPr>
        <w:t>In accordance with generally accepted accounting principles in the United States of America (“GAAP”), premiums and other considerations received for interest sensitive products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w:t>
      </w:r>
    </w:p>
    <w:p>
      <w:pPr>
        <w:spacing w:after="0" w:line="178"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Company receives investment income earned from the funds deposited into account balances, a portion of which is passed through to the policyholders in the form of interest credited. Interest credited to policyholder account balances and benefit claims in excess of policyholder account balances are reported as expenses in the consolidated financial statements.</w:t>
      </w:r>
    </w:p>
    <w:p>
      <w:pPr>
        <w:spacing w:after="0" w:line="83"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Premiums and other considerations received for traditional life insurance products are recognized as revenues when due. Future policy benefits are recognized as expenses over the life of the policy by means of the provision for future policy benefits.</w:t>
      </w:r>
    </w:p>
    <w:p>
      <w:pPr>
        <w:spacing w:after="0" w:line="184"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costs related to acquiring new business, including certain costs of issuing policies and other variable selling expenses (principally commissions), defined as deferred policy acquisition costs, are capitalized and amortized into expense. For nonparticipating traditional life products, these costs are amortized over the premium paying period of</w:t>
      </w:r>
    </w:p>
    <w:p>
      <w:pPr>
        <w:sectPr>
          <w:pgSz w:w="11900" w:h="16838" w:orient="portrait"/>
          <w:cols w:equalWidth="0" w:num="1">
            <w:col w:w="9179"/>
          </w:cols>
          <w:pgMar w:left="1280" w:top="121" w:right="1440" w:bottom="1440" w:gutter="0" w:footer="0" w:header="0"/>
        </w:sect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type w:val="continuous"/>
        </w:sectPr>
      </w:pPr>
    </w:p>
    <w:bookmarkStart w:id="21" w:name="page22"/>
    <w:bookmarkEnd w:id="21"/>
    <w:p>
      <w:pPr>
        <w:jc w:val="both"/>
        <w:ind w:right="319"/>
        <w:spacing w:after="0" w:line="266" w:lineRule="auto"/>
        <w:rPr>
          <w:sz w:val="20"/>
          <w:szCs w:val="20"/>
          <w:color w:val="auto"/>
        </w:rPr>
      </w:pPr>
      <w:r>
        <w:rPr>
          <w:rFonts w:ascii="Arial" w:cs="Arial" w:eastAsia="Arial" w:hAnsi="Arial"/>
          <w:sz w:val="18"/>
          <w:szCs w:val="18"/>
          <w:color w:val="auto"/>
        </w:rPr>
        <w:t>the related policies, in proportion to the ratio of annual premium revenues to total anticipated premium revenues. Such anticipated premium revenues are estimated using the same assumptions used for computing liabilities for future policy benefits and are generally “locked in” at the date the policies are issued. For interest sensitive products, these costs are amortized generally in proportion to expected gross profits from surrender charges and investment, mortality and expense margins. This amortization is adjusted when the Company revises the estimate of current or future gross profits or margins. For example, deferred policy acquisition costs are amortized earlier than originally estimated when policy terminations are higher than originally estimated or when investments backing the related policyholder liabilities are sold at a gain prior to their anticipated maturity.</w:t>
      </w:r>
    </w:p>
    <w:p>
      <w:pPr>
        <w:spacing w:after="0" w:line="184" w:lineRule="exact"/>
        <w:rPr>
          <w:sz w:val="20"/>
          <w:szCs w:val="20"/>
          <w:color w:val="auto"/>
        </w:rPr>
      </w:pPr>
    </w:p>
    <w:p>
      <w:pPr>
        <w:jc w:val="both"/>
        <w:ind w:right="319"/>
        <w:spacing w:after="0" w:line="287" w:lineRule="auto"/>
        <w:rPr>
          <w:sz w:val="20"/>
          <w:szCs w:val="20"/>
          <w:color w:val="auto"/>
        </w:rPr>
      </w:pPr>
      <w:r>
        <w:rPr>
          <w:rFonts w:ascii="Arial" w:cs="Arial" w:eastAsia="Arial" w:hAnsi="Arial"/>
          <w:sz w:val="17"/>
          <w:szCs w:val="17"/>
          <w:color w:val="auto"/>
        </w:rPr>
        <w:t>Death and other policyholder benefits reflect exposure to mortality risk and fluctuate from year to year on the level of claims incurred under insurance retention limits. The profitability of the Company is primarily affected by fluctuations in mortality, other policyholder benefits, expense levels, interest spreads (i.e., the difference between interest earned on investments and interest credited to policyholders) and persistency. The Company has the ability to mitigate adverse experience through sound underwriting, asset and liability duration matching, sound actuarial practices, adjustments to credited interest rates, policyholder dividends and cost of insurance charges.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Cemetery and Mortuary Operations</w:t>
      </w:r>
    </w:p>
    <w:p>
      <w:pPr>
        <w:spacing w:after="0" w:line="230" w:lineRule="exact"/>
        <w:rPr>
          <w:sz w:val="20"/>
          <w:szCs w:val="20"/>
          <w:color w:val="auto"/>
        </w:rPr>
      </w:pPr>
    </w:p>
    <w:p>
      <w:pPr>
        <w:jc w:val="both"/>
        <w:ind w:right="319"/>
        <w:spacing w:after="0" w:line="305" w:lineRule="auto"/>
        <w:rPr>
          <w:sz w:val="20"/>
          <w:szCs w:val="20"/>
          <w:color w:val="auto"/>
        </w:rPr>
      </w:pPr>
      <w:r>
        <w:rPr>
          <w:rFonts w:ascii="Arial" w:cs="Arial" w:eastAsia="Arial" w:hAnsi="Arial"/>
          <w:sz w:val="18"/>
          <w:szCs w:val="18"/>
          <w:color w:val="auto"/>
        </w:rPr>
        <w:t>Pre-need sales of funeral services and caskets, including revenue and costs associated with the sales of pre-need funeral services and caskets, are deferred until the services are performed or the caskets are delivered.</w:t>
      </w:r>
    </w:p>
    <w:p>
      <w:pPr>
        <w:spacing w:after="0" w:line="147"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Pre-need sales of cemetery interment rights (cemetery burial property), including revenue and costs associated with the sales of pre-need cemetery interment rights, are recognized in accordance with the retail land sales provisions of GAAP. Under GAAP, recognition of revenue and associated costs from constructed cemetery property must be deferred until a minimum percentage of the sales price has been collected. Revenues related to the pre-need sale of unconstructed cemetery property will be deferred until such property is constructed and meets the criteria of GAAP, described above.</w:t>
      </w:r>
    </w:p>
    <w:p>
      <w:pPr>
        <w:spacing w:after="0" w:line="193"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Pre-need sales of cemetery merchandise (primarily markers and vaults), including revenue and costs associated with the sales of pre-need cemetery merchandise, are deferred until the merchandise is delivered, fulfilling the performance obligation.</w:t>
      </w:r>
    </w:p>
    <w:p>
      <w:pPr>
        <w:spacing w:after="0" w:line="184" w:lineRule="exact"/>
        <w:rPr>
          <w:sz w:val="20"/>
          <w:szCs w:val="20"/>
          <w:color w:val="auto"/>
        </w:rPr>
      </w:pPr>
    </w:p>
    <w:p>
      <w:pPr>
        <w:jc w:val="both"/>
        <w:ind w:right="339"/>
        <w:spacing w:after="0" w:line="261" w:lineRule="auto"/>
        <w:rPr>
          <w:sz w:val="20"/>
          <w:szCs w:val="20"/>
          <w:color w:val="auto"/>
        </w:rPr>
      </w:pPr>
      <w:r>
        <w:rPr>
          <w:rFonts w:ascii="Arial" w:cs="Arial" w:eastAsia="Arial" w:hAnsi="Arial"/>
          <w:sz w:val="19"/>
          <w:szCs w:val="19"/>
          <w:color w:val="auto"/>
        </w:rPr>
        <w:t>Pre-need sales of cemetery services (primarily merchandise delivery and installation fees and burial opening and closing fees), including revenue and costs associated with the sales of pre-need cemetery services, are deferred until the services are performed.</w:t>
      </w:r>
    </w:p>
    <w:p>
      <w:pPr>
        <w:spacing w:after="0" w:line="184"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Prearranged funeral and pre-need cemetery customer obtaining costs, including costs incurred related to obtaining new pre-need cemetery and prearranged funeral business are accounted for under the guidance of the provisions of GAAP. Obtaining costs, which include only costs that vary with and are primarily related to the acquisition of new pre-need cemetery and prearranged funeral business, are deferred until the merchandise is delivered or services are performed.</w:t>
      </w:r>
    </w:p>
    <w:p>
      <w:pPr>
        <w:spacing w:after="0" w:line="194"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Revenues and costs for at-need sales are recorded when a valid contract exists, the services are performed, collection is reasonably assured, and there are no significant company obligations remaining.</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Operations</w:t>
      </w:r>
    </w:p>
    <w:p>
      <w:pPr>
        <w:spacing w:after="0" w:line="230" w:lineRule="exact"/>
        <w:rPr>
          <w:sz w:val="20"/>
          <w:szCs w:val="20"/>
          <w:color w:val="auto"/>
        </w:rPr>
      </w:pPr>
    </w:p>
    <w:p>
      <w:pPr>
        <w:jc w:val="both"/>
        <w:ind w:right="299"/>
        <w:spacing w:after="0" w:line="275"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The Company has elected to use fair value accounting for all mortgage loans that are held for sale. Accordingly, all revenues and costs are now recognized when the mortgage loan is funded and any changes in fair value are shown as a component of mortgage fee income.</w:t>
      </w: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22" w:name="page23"/>
    <w:bookmarkEnd w:id="22"/>
    <w:p>
      <w:pPr>
        <w:jc w:val="both"/>
        <w:ind w:right="319"/>
        <w:spacing w:after="0" w:line="307" w:lineRule="auto"/>
        <w:rPr>
          <w:sz w:val="20"/>
          <w:szCs w:val="20"/>
          <w:color w:val="auto"/>
        </w:rPr>
      </w:pPr>
      <w:r>
        <w:rPr>
          <w:rFonts w:ascii="Arial" w:cs="Arial" w:eastAsia="Arial" w:hAnsi="Arial"/>
          <w:sz w:val="17"/>
          <w:szCs w:val="17"/>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48" w:lineRule="exact"/>
        <w:rPr>
          <w:sz w:val="20"/>
          <w:szCs w:val="20"/>
          <w:color w:val="auto"/>
        </w:rPr>
      </w:pPr>
    </w:p>
    <w:p>
      <w:pPr>
        <w:ind w:left="1260" w:hanging="315"/>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Failure to deliver original documents specified by the investor,</w:t>
      </w:r>
    </w:p>
    <w:p>
      <w:pPr>
        <w:spacing w:after="0" w:line="21" w:lineRule="exact"/>
        <w:rPr>
          <w:rFonts w:ascii="Arial" w:cs="Arial" w:eastAsia="Arial" w:hAnsi="Arial"/>
          <w:sz w:val="19"/>
          <w:szCs w:val="19"/>
          <w:color w:val="auto"/>
        </w:rPr>
      </w:pPr>
    </w:p>
    <w:p>
      <w:pPr>
        <w:ind w:left="1260" w:hanging="315"/>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existence of misrepresentation or fraud in the origination of the loan,</w:t>
      </w:r>
    </w:p>
    <w:p>
      <w:pPr>
        <w:spacing w:after="0" w:line="5" w:lineRule="exact"/>
        <w:rPr>
          <w:rFonts w:ascii="Arial" w:cs="Arial" w:eastAsia="Arial" w:hAnsi="Arial"/>
          <w:sz w:val="19"/>
          <w:szCs w:val="19"/>
          <w:color w:val="auto"/>
        </w:rPr>
      </w:pPr>
    </w:p>
    <w:p>
      <w:pPr>
        <w:ind w:left="1260" w:hanging="31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loan becomes delinquent due to nonpayment during the first several months after it is sold,</w:t>
      </w:r>
    </w:p>
    <w:p>
      <w:pPr>
        <w:spacing w:after="0" w:line="17" w:lineRule="exact"/>
        <w:rPr>
          <w:rFonts w:ascii="Arial" w:cs="Arial" w:eastAsia="Arial" w:hAnsi="Arial"/>
          <w:sz w:val="18"/>
          <w:szCs w:val="18"/>
          <w:color w:val="auto"/>
        </w:rPr>
      </w:pPr>
    </w:p>
    <w:p>
      <w:pPr>
        <w:ind w:left="1260" w:hanging="315"/>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Early pay-off of a loan, as defined by the agreements,</w:t>
      </w:r>
    </w:p>
    <w:p>
      <w:pPr>
        <w:spacing w:after="0" w:line="5" w:lineRule="exact"/>
        <w:rPr>
          <w:rFonts w:ascii="Arial" w:cs="Arial" w:eastAsia="Arial" w:hAnsi="Arial"/>
          <w:sz w:val="19"/>
          <w:szCs w:val="19"/>
          <w:color w:val="auto"/>
        </w:rPr>
      </w:pPr>
    </w:p>
    <w:p>
      <w:pPr>
        <w:ind w:left="1260" w:hanging="315"/>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Excessive time to settle a loan,</w:t>
      </w:r>
    </w:p>
    <w:p>
      <w:pPr>
        <w:spacing w:after="0" w:line="5" w:lineRule="exact"/>
        <w:rPr>
          <w:rFonts w:ascii="Arial" w:cs="Arial" w:eastAsia="Arial" w:hAnsi="Arial"/>
          <w:sz w:val="19"/>
          <w:szCs w:val="19"/>
          <w:color w:val="auto"/>
        </w:rPr>
      </w:pPr>
    </w:p>
    <w:p>
      <w:pPr>
        <w:ind w:left="1260" w:hanging="315"/>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Investor declines purchase, and</w:t>
      </w:r>
    </w:p>
    <w:p>
      <w:pPr>
        <w:spacing w:after="0" w:line="5" w:lineRule="exact"/>
        <w:rPr>
          <w:rFonts w:ascii="Arial" w:cs="Arial" w:eastAsia="Arial" w:hAnsi="Arial"/>
          <w:sz w:val="19"/>
          <w:szCs w:val="19"/>
          <w:color w:val="auto"/>
        </w:rPr>
      </w:pPr>
    </w:p>
    <w:p>
      <w:pPr>
        <w:ind w:left="1260" w:hanging="315"/>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Discontinued product and expired commitment.</w:t>
      </w:r>
    </w:p>
    <w:p>
      <w:pPr>
        <w:spacing w:after="0" w:line="214"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84"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89" w:lineRule="exact"/>
        <w:rPr>
          <w:sz w:val="20"/>
          <w:szCs w:val="20"/>
          <w:color w:val="auto"/>
        </w:rPr>
      </w:pPr>
    </w:p>
    <w:p>
      <w:pPr>
        <w:ind w:left="1260" w:hanging="315"/>
        <w:spacing w:after="0"/>
        <w:tabs>
          <w:tab w:leader="none" w:pos="1260" w:val="left"/>
        </w:tabs>
        <w:numPr>
          <w:ilvl w:val="0"/>
          <w:numId w:val="8"/>
        </w:numPr>
        <w:rPr>
          <w:rFonts w:ascii="Arial" w:cs="Arial" w:eastAsia="Arial" w:hAnsi="Arial"/>
          <w:sz w:val="19"/>
          <w:szCs w:val="19"/>
          <w:color w:val="auto"/>
        </w:rPr>
      </w:pPr>
      <w:r>
        <w:rPr>
          <w:rFonts w:ascii="Arial" w:cs="Arial" w:eastAsia="Arial" w:hAnsi="Arial"/>
          <w:sz w:val="21"/>
          <w:szCs w:val="21"/>
          <w:color w:val="auto"/>
        </w:rPr>
        <w:t>Research reasons for rejection,</w:t>
      </w:r>
    </w:p>
    <w:p>
      <w:pPr>
        <w:spacing w:after="0" w:line="13" w:lineRule="exact"/>
        <w:rPr>
          <w:rFonts w:ascii="Arial" w:cs="Arial" w:eastAsia="Arial" w:hAnsi="Arial"/>
          <w:sz w:val="19"/>
          <w:szCs w:val="19"/>
          <w:color w:val="auto"/>
        </w:rPr>
      </w:pPr>
    </w:p>
    <w:p>
      <w:pPr>
        <w:ind w:left="1260" w:hanging="315"/>
        <w:spacing w:after="0" w:line="235"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21"/>
          <w:szCs w:val="21"/>
          <w:color w:val="auto"/>
        </w:rPr>
        <w:t>Provide additional documents,</w:t>
      </w:r>
    </w:p>
    <w:p>
      <w:pPr>
        <w:ind w:left="1260" w:hanging="315"/>
        <w:spacing w:after="0" w:line="235"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21"/>
          <w:szCs w:val="21"/>
          <w:color w:val="auto"/>
        </w:rPr>
        <w:t>Request investor exceptions,</w:t>
      </w:r>
    </w:p>
    <w:p>
      <w:pPr>
        <w:ind w:left="1260" w:hanging="315"/>
        <w:spacing w:after="0" w:line="235"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21"/>
          <w:szCs w:val="21"/>
          <w:color w:val="auto"/>
        </w:rPr>
        <w:t>Appeal rejection decision to purchase committee, and</w:t>
      </w:r>
    </w:p>
    <w:p>
      <w:pPr>
        <w:ind w:left="1260" w:hanging="315"/>
        <w:spacing w:after="0"/>
        <w:tabs>
          <w:tab w:leader="none" w:pos="1260" w:val="left"/>
        </w:tabs>
        <w:numPr>
          <w:ilvl w:val="0"/>
          <w:numId w:val="8"/>
        </w:numPr>
        <w:rPr>
          <w:rFonts w:ascii="Arial" w:cs="Arial" w:eastAsia="Arial" w:hAnsi="Arial"/>
          <w:sz w:val="19"/>
          <w:szCs w:val="19"/>
          <w:color w:val="auto"/>
        </w:rPr>
      </w:pPr>
      <w:r>
        <w:rPr>
          <w:rFonts w:ascii="Arial" w:cs="Arial" w:eastAsia="Arial" w:hAnsi="Arial"/>
          <w:sz w:val="21"/>
          <w:szCs w:val="21"/>
          <w:color w:val="auto"/>
        </w:rPr>
        <w:t>Commit to secondary investors.</w:t>
      </w:r>
    </w:p>
    <w:p>
      <w:pPr>
        <w:spacing w:after="0" w:line="378"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Once purchase commitments have expired and other alternatives to remedy are exhausted, which could be earlier than the six-month time period, the loans are repurchased and transferred to mortgage loans held for investment at the lower of cost or fair value and the previously recorded sales revenue that was to be received from a third-party investor is written off against the loan loss reserve. Any loan that later becomes delinquent is evaluated by the Company at that time and any impairment is adjusted accordingly.</w:t>
      </w:r>
    </w:p>
    <w:p>
      <w:pPr>
        <w:spacing w:after="0" w:line="200" w:lineRule="exact"/>
        <w:rPr>
          <w:sz w:val="20"/>
          <w:szCs w:val="20"/>
          <w:color w:val="auto"/>
        </w:rPr>
      </w:pPr>
    </w:p>
    <w:p>
      <w:pPr>
        <w:spacing w:after="0" w:line="333"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u w:val="single" w:color="auto"/>
          <w:color w:val="auto"/>
        </w:rPr>
        <w:t>Determining lower of cost or market</w:t>
      </w:r>
      <w:r>
        <w:rPr>
          <w:rFonts w:ascii="Arial" w:cs="Arial" w:eastAsia="Arial" w:hAnsi="Arial"/>
          <w:sz w:val="19"/>
          <w:szCs w:val="19"/>
          <w:color w:val="auto"/>
        </w:rPr>
        <w:t>. Cost for loans held for sale is equal to the amount paid to the warehouse bank and the amount originally funded by the Company. Market value, while often difficult to determine, is based on the following guidelines:</w:t>
      </w:r>
    </w:p>
    <w:p>
      <w:pPr>
        <w:spacing w:after="0" w:line="200" w:lineRule="exact"/>
        <w:rPr>
          <w:sz w:val="20"/>
          <w:szCs w:val="20"/>
          <w:color w:val="auto"/>
        </w:rPr>
      </w:pPr>
    </w:p>
    <w:p>
      <w:pPr>
        <w:spacing w:after="0" w:line="336" w:lineRule="exact"/>
        <w:rPr>
          <w:sz w:val="20"/>
          <w:szCs w:val="20"/>
          <w:color w:val="auto"/>
        </w:rPr>
      </w:pPr>
    </w:p>
    <w:p>
      <w:pPr>
        <w:ind w:left="1260" w:hanging="315"/>
        <w:spacing w:after="0"/>
        <w:tabs>
          <w:tab w:leader="none" w:pos="1260" w:val="left"/>
        </w:tabs>
        <w:numPr>
          <w:ilvl w:val="0"/>
          <w:numId w:val="9"/>
        </w:numPr>
        <w:rPr>
          <w:rFonts w:ascii="Arial" w:cs="Arial" w:eastAsia="Arial" w:hAnsi="Arial"/>
          <w:sz w:val="19"/>
          <w:szCs w:val="19"/>
          <w:color w:val="auto"/>
        </w:rPr>
      </w:pPr>
      <w:r>
        <w:rPr>
          <w:rFonts w:ascii="Arial" w:cs="Arial" w:eastAsia="Arial" w:hAnsi="Arial"/>
          <w:sz w:val="21"/>
          <w:szCs w:val="21"/>
          <w:color w:val="auto"/>
        </w:rPr>
        <w:t>For loans that are committed, the Company uses the commitment price.</w:t>
      </w:r>
    </w:p>
    <w:p>
      <w:pPr>
        <w:spacing w:after="0" w:line="13" w:lineRule="exact"/>
        <w:rPr>
          <w:rFonts w:ascii="Arial" w:cs="Arial" w:eastAsia="Arial" w:hAnsi="Arial"/>
          <w:sz w:val="19"/>
          <w:szCs w:val="19"/>
          <w:color w:val="auto"/>
        </w:rPr>
      </w:pPr>
    </w:p>
    <w:p>
      <w:pPr>
        <w:ind w:left="1260" w:right="339" w:hanging="315"/>
        <w:spacing w:after="0" w:line="235"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21"/>
          <w:szCs w:val="21"/>
          <w:color w:val="auto"/>
        </w:rPr>
        <w:t>For loans that are non-committed that have an active market, the Company uses the market price.</w:t>
      </w:r>
    </w:p>
    <w:p>
      <w:pPr>
        <w:spacing w:after="0" w:line="1" w:lineRule="exact"/>
        <w:rPr>
          <w:rFonts w:ascii="Arial" w:cs="Arial" w:eastAsia="Arial" w:hAnsi="Arial"/>
          <w:sz w:val="19"/>
          <w:szCs w:val="19"/>
          <w:color w:val="auto"/>
        </w:rPr>
      </w:pPr>
    </w:p>
    <w:p>
      <w:pPr>
        <w:ind w:left="1260" w:right="319" w:hanging="315"/>
        <w:spacing w:after="0" w:line="235"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21"/>
          <w:szCs w:val="21"/>
          <w:color w:val="auto"/>
        </w:rPr>
        <w:t>For loans that are non-committed where there is no market but there is a similar product, the Company uses the market value for the similar product.</w:t>
      </w:r>
    </w:p>
    <w:p>
      <w:pPr>
        <w:spacing w:after="0" w:line="1" w:lineRule="exact"/>
        <w:rPr>
          <w:rFonts w:ascii="Arial" w:cs="Arial" w:eastAsia="Arial" w:hAnsi="Arial"/>
          <w:sz w:val="19"/>
          <w:szCs w:val="19"/>
          <w:color w:val="auto"/>
        </w:rPr>
      </w:pPr>
    </w:p>
    <w:p>
      <w:pPr>
        <w:jc w:val="both"/>
        <w:ind w:left="1260" w:right="319" w:hanging="315"/>
        <w:spacing w:after="0" w:line="239" w:lineRule="auto"/>
        <w:tabs>
          <w:tab w:leader="none" w:pos="1260" w:val="left"/>
        </w:tabs>
        <w:numPr>
          <w:ilvl w:val="0"/>
          <w:numId w:val="9"/>
        </w:numPr>
        <w:rPr>
          <w:rFonts w:ascii="Arial" w:cs="Arial" w:eastAsia="Arial" w:hAnsi="Arial"/>
          <w:sz w:val="19"/>
          <w:szCs w:val="19"/>
          <w:color w:val="auto"/>
        </w:rPr>
      </w:pPr>
      <w:r>
        <w:rPr>
          <w:rFonts w:ascii="Arial" w:cs="Arial" w:eastAsia="Arial" w:hAnsi="Arial"/>
          <w:sz w:val="21"/>
          <w:szCs w:val="21"/>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loan interest rate.</w:t>
      </w:r>
    </w:p>
    <w:p>
      <w:pPr>
        <w:spacing w:after="0" w:line="370" w:lineRule="exact"/>
        <w:rPr>
          <w:sz w:val="20"/>
          <w:szCs w:val="20"/>
          <w:color w:val="auto"/>
        </w:rPr>
      </w:pPr>
    </w:p>
    <w:p>
      <w:pPr>
        <w:jc w:val="both"/>
        <w:ind w:right="319"/>
        <w:spacing w:after="0" w:line="282" w:lineRule="auto"/>
        <w:rPr>
          <w:sz w:val="20"/>
          <w:szCs w:val="20"/>
          <w:color w:val="auto"/>
        </w:rPr>
      </w:pPr>
      <w:r>
        <w:rPr>
          <w:rFonts w:ascii="Arial" w:cs="Arial" w:eastAsia="Arial" w:hAnsi="Arial"/>
          <w:sz w:val="18"/>
          <w:szCs w:val="18"/>
          <w:color w:val="auto"/>
        </w:rPr>
        <w:t>The appraised value of the real estate underlying the original mortgage loan adds significance to the Company’s determination of fair value because, if the loan becomes delinquent, the Company has sufficient value to collect the unpaid principal balance or the carrying value of the loan, thus minimizing credit risk.</w:t>
      </w:r>
    </w:p>
    <w:p>
      <w:pPr>
        <w:spacing w:after="0" w:line="62"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The majority of loans originated are sold to third-party investors. The amounts expected to be sold to investors are shown on the consolidated balance sheets as loans held for sale.</w:t>
      </w:r>
    </w:p>
    <w:p>
      <w:pPr>
        <w:sectPr>
          <w:pgSz w:w="11900" w:h="16838" w:orient="portrait"/>
          <w:cols w:equalWidth="0" w:num="1">
            <w:col w:w="9179"/>
          </w:cols>
          <w:pgMar w:left="1280" w:top="121" w:right="1440" w:bottom="1440" w:gutter="0" w:footer="0" w:header="0"/>
        </w:sect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Use of Significant Accounting Estimates</w:t>
      </w:r>
    </w:p>
    <w:p>
      <w:pPr>
        <w:spacing w:after="0" w:line="130" w:lineRule="exact"/>
        <w:rPr>
          <w:sz w:val="20"/>
          <w:szCs w:val="20"/>
          <w:color w:val="auto"/>
        </w:rPr>
      </w:pPr>
    </w:p>
    <w:p>
      <w:pPr>
        <w:jc w:val="both"/>
        <w:ind w:right="319"/>
        <w:spacing w:after="0" w:line="29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reported amounts and disclosures. It is reasonably possible that actual experience could differ from the estimates and assumptions utilized which could have a material impact on the financial statements. The following is a summary of our significant accounting estimates, and critical issues that impact them:</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Loan Commitments</w:t>
      </w:r>
    </w:p>
    <w:p>
      <w:pPr>
        <w:spacing w:after="0" w:line="230"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The Company estimates the fair value of a mortgage loan commitment based on the change in estimated fair value of the underlying mortgage loan, quoted mortgage backed security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mortgage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Deferred Acquisition Costs</w:t>
      </w:r>
    </w:p>
    <w:p>
      <w:pPr>
        <w:spacing w:after="0" w:line="230"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Amortization of deferred policy acquisition costs for interest sensitive products is dependent upon estimates of current and future gross profits or margins on this business. Key assumptions used include the following: yield on investments supporting the liabilities, amount of interest or dividends credited to the policies, amount of policy fees and charges, amount of expenses necessary to maintain the policies, amount of death and surrender benefits, and the length of time the policies will stay in force.</w:t>
      </w:r>
    </w:p>
    <w:p>
      <w:pPr>
        <w:spacing w:after="0" w:line="194" w:lineRule="exact"/>
        <w:rPr>
          <w:sz w:val="20"/>
          <w:szCs w:val="20"/>
          <w:color w:val="auto"/>
        </w:rPr>
      </w:pPr>
    </w:p>
    <w:p>
      <w:pPr>
        <w:jc w:val="both"/>
        <w:ind w:right="319"/>
        <w:spacing w:after="0" w:line="275" w:lineRule="auto"/>
        <w:rPr>
          <w:sz w:val="20"/>
          <w:szCs w:val="20"/>
          <w:color w:val="auto"/>
        </w:rPr>
      </w:pPr>
      <w:r>
        <w:rPr>
          <w:rFonts w:ascii="Arial" w:cs="Arial" w:eastAsia="Arial" w:hAnsi="Arial"/>
          <w:sz w:val="18"/>
          <w:szCs w:val="18"/>
          <w:color w:val="auto"/>
        </w:rPr>
        <w:t>For nonparticipating traditional life products, these costs are amortized over the premium paying period of the related policies in proportion to the ratio of annual premium revenues to total anticipated premium revenues. Such anticipated premium revenues are estimated using the same assumption used for computing liabilities for future policy benefits and are generally “locked in” at the date the policies are issued.</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Value of Business Acquired</w:t>
      </w:r>
    </w:p>
    <w:p>
      <w:pPr>
        <w:spacing w:after="0" w:line="230"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Value of business acquired is the present value of estimated future profits of the acquired business and is amortized similar to deferred acquisition costs. The critical issues explained for deferred acquisition costs would also apply for value of business acquired.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Loans Foreclosed to Real Estate Held for Investment or Sale</w:t>
      </w:r>
    </w:p>
    <w:p>
      <w:pPr>
        <w:spacing w:after="0" w:line="230"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These properties are recorded at the lower of cost or fair value upon foreclosure. The Company believes that in an orderly market, fair value approximates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estimated future policy benefits. Accordingly, the fair value determination is generally weighted more heavily toward the rental analysis. The fair value is also estimated by obtaining an independent appraisal, which typically considers area comparables and property condition.</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Future Policy Benefits</w:t>
      </w:r>
    </w:p>
    <w:p>
      <w:pPr>
        <w:spacing w:after="0" w:line="230"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Reserves for future policy benefits for traditional life insurance products requires the use of many assumptions, including the duration of the policies, mortality experience, expenses, investment yield, lapse rates, surrender rates, and dividend crediting rates.</w:t>
      </w: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24" w:name="page25"/>
    <w:bookmarkEnd w:id="24"/>
    <w:p>
      <w:pPr>
        <w:jc w:val="both"/>
        <w:ind w:right="339"/>
        <w:spacing w:after="0" w:line="283" w:lineRule="auto"/>
        <w:rPr>
          <w:sz w:val="20"/>
          <w:szCs w:val="20"/>
          <w:color w:val="auto"/>
        </w:rPr>
      </w:pPr>
      <w:r>
        <w:rPr>
          <w:rFonts w:ascii="Arial" w:cs="Arial" w:eastAsia="Arial" w:hAnsi="Arial"/>
          <w:sz w:val="18"/>
          <w:szCs w:val="18"/>
          <w:color w:val="auto"/>
        </w:rPr>
        <w:t>These assumptions are made based upon historical experience, industry standards and a best estimate of future results and, for traditional life products, include a provision for adverse deviation. For traditional life insurance, once established for a particular series of products, these assumptions are generally held constant.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Unearned Revenue</w:t>
      </w:r>
    </w:p>
    <w:p>
      <w:pPr>
        <w:spacing w:after="0" w:line="230"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The universal life products the Company sells have significant policy initiation fees (front-end load) that are deferred and amortized into revenues over the estimated expected gross profits from surrender charges and investment, mortality and expense margins. The same issues that impact deferred acquisition costs would apply to unearned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Pre-need Cemetery and Funeral Contracts Revenues and Estimated Future Cost of Pre-need Sales</w:t>
      </w:r>
    </w:p>
    <w:p>
      <w:pPr>
        <w:spacing w:after="0" w:line="241"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The revenue and cost associated with the sales of pre-need cemetery merchandise and funeral services are deferred until the merchandise is delivered or the service is performed.</w:t>
      </w:r>
    </w:p>
    <w:p>
      <w:pPr>
        <w:spacing w:after="0" w:line="170" w:lineRule="exact"/>
        <w:rPr>
          <w:sz w:val="20"/>
          <w:szCs w:val="20"/>
          <w:color w:val="auto"/>
        </w:rPr>
      </w:pPr>
    </w:p>
    <w:p>
      <w:pPr>
        <w:jc w:val="both"/>
        <w:ind w:right="319"/>
        <w:spacing w:after="0" w:line="266" w:lineRule="auto"/>
        <w:rPr>
          <w:sz w:val="20"/>
          <w:szCs w:val="20"/>
          <w:color w:val="auto"/>
        </w:rPr>
      </w:pPr>
      <w:r>
        <w:rPr>
          <w:rFonts w:ascii="Arial" w:cs="Arial" w:eastAsia="Arial" w:hAnsi="Arial"/>
          <w:sz w:val="18"/>
          <w:szCs w:val="18"/>
          <w:color w:val="auto"/>
        </w:rPr>
        <w:t>The Company, through its cemetery and mortuary operations, provides a guaranteed funeral arrangement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 or 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Servicing Rights</w:t>
      </w:r>
    </w:p>
    <w:p>
      <w:pPr>
        <w:spacing w:after="0" w:line="230" w:lineRule="exact"/>
        <w:rPr>
          <w:sz w:val="20"/>
          <w:szCs w:val="20"/>
          <w:color w:val="auto"/>
        </w:rPr>
      </w:pPr>
    </w:p>
    <w:p>
      <w:pPr>
        <w:jc w:val="both"/>
        <w:ind w:right="319"/>
        <w:spacing w:after="0" w:line="249" w:lineRule="auto"/>
        <w:rPr>
          <w:sz w:val="20"/>
          <w:szCs w:val="20"/>
          <w:color w:val="auto"/>
        </w:rPr>
      </w:pPr>
      <w:r>
        <w:rPr>
          <w:rFonts w:ascii="Arial" w:cs="Arial" w:eastAsia="Arial" w:hAnsi="Arial"/>
          <w:sz w:val="19"/>
          <w:szCs w:val="19"/>
          <w:color w:val="auto"/>
        </w:rPr>
        <w:t>Mortgage Service Rights (“MSR”) arise from contractual agreements between the Company and third-party investors (or their agents) when mortgage loans are sold. Under these contracts, the Company is obligated to retain and provide loan servicing functions on the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 The Company initially accounts for MSRs at fair value and subsequently accounts for them using the amortization method. MSR amortization is determined by amortizing the MSR balance in proportion to, and over the period of the estimated future net servicing income of the underlying financial assets. The Company periodically assesses MSRs accounted for using the amortization method for impairment.</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Allowance for Loan Losses and Loan Loss Reserve</w:t>
      </w:r>
    </w:p>
    <w:p>
      <w:pPr>
        <w:spacing w:after="0" w:line="230" w:lineRule="exact"/>
        <w:rPr>
          <w:sz w:val="20"/>
          <w:szCs w:val="20"/>
          <w:color w:val="auto"/>
        </w:rPr>
      </w:pPr>
    </w:p>
    <w:p>
      <w:pPr>
        <w:jc w:val="both"/>
        <w:ind w:right="319"/>
        <w:spacing w:after="0" w:line="269" w:lineRule="auto"/>
        <w:rPr>
          <w:sz w:val="20"/>
          <w:szCs w:val="20"/>
          <w:color w:val="auto"/>
        </w:rPr>
      </w:pPr>
      <w:r>
        <w:rPr>
          <w:rFonts w:ascii="Arial" w:cs="Arial" w:eastAsia="Arial" w:hAnsi="Arial"/>
          <w:sz w:val="18"/>
          <w:szCs w:val="18"/>
          <w:color w:val="auto"/>
        </w:rPr>
        <w:t>The Company provides for losses on its mortgage loans held for investment through an allowance for loan losses (a contra-asset account) and through the mortgage loan loss reserve (a liability account). The allowance for loan losses is an allowance for losses on the Company’s mortgage loans held for investment.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w:t>
      </w:r>
    </w:p>
    <w:p>
      <w:pPr>
        <w:spacing w:after="0" w:line="178" w:lineRule="exact"/>
        <w:rPr>
          <w:sz w:val="20"/>
          <w:szCs w:val="20"/>
          <w:color w:val="auto"/>
        </w:rPr>
      </w:pPr>
    </w:p>
    <w:p>
      <w:pPr>
        <w:jc w:val="both"/>
        <w:ind w:right="319"/>
        <w:spacing w:after="0" w:line="287" w:lineRule="auto"/>
        <w:rPr>
          <w:sz w:val="20"/>
          <w:szCs w:val="20"/>
          <w:color w:val="auto"/>
        </w:rPr>
      </w:pPr>
      <w:r>
        <w:rPr>
          <w:rFonts w:ascii="Arial" w:cs="Arial" w:eastAsia="Arial" w:hAnsi="Arial"/>
          <w:sz w:val="17"/>
          <w:szCs w:val="17"/>
          <w:color w:val="auto"/>
        </w:rPr>
        <w:t>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67" w:lineRule="exact"/>
        <w:rPr>
          <w:sz w:val="20"/>
          <w:szCs w:val="20"/>
          <w:color w:val="auto"/>
        </w:rPr>
      </w:pPr>
    </w:p>
    <w:p>
      <w:pPr>
        <w:jc w:val="both"/>
        <w:ind w:right="319"/>
        <w:spacing w:after="0" w:line="253" w:lineRule="auto"/>
        <w:rPr>
          <w:sz w:val="20"/>
          <w:szCs w:val="20"/>
          <w:color w:val="auto"/>
        </w:rPr>
      </w:pPr>
      <w:r>
        <w:rPr>
          <w:rFonts w:ascii="Arial" w:cs="Arial" w:eastAsia="Arial" w:hAnsi="Arial"/>
          <w:sz w:val="19"/>
          <w:szCs w:val="19"/>
          <w:color w:val="auto"/>
        </w:rPr>
        <w:t>The mortgage loan loss reserve is an estimate of probable losses at the balance sheet date that the Company will realize in the future on mortgage loans sold to third-party investors. The Company may be required to reimburse third-party investors for costs associated with early payoff of loans within six months of origination of such loans and to repurchase loans where there is a default in any of the first four monthly payments to the investors or, in lieu</w:t>
      </w:r>
    </w:p>
    <w:p>
      <w:pPr>
        <w:sectPr>
          <w:pgSz w:w="11900" w:h="16838" w:orient="portrait"/>
          <w:cols w:equalWidth="0" w:num="1">
            <w:col w:w="9179"/>
          </w:cols>
          <w:pgMar w:left="1280" w:top="121" w:right="1440" w:bottom="1440" w:gutter="0" w:footer="0" w:header="0"/>
        </w:sect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type w:val="continuous"/>
        </w:sectPr>
      </w:pPr>
    </w:p>
    <w:bookmarkStart w:id="25" w:name="page26"/>
    <w:bookmarkEnd w:id="25"/>
    <w:p>
      <w:pPr>
        <w:jc w:val="both"/>
        <w:ind w:right="319"/>
        <w:spacing w:after="0" w:line="278" w:lineRule="auto"/>
        <w:rPr>
          <w:sz w:val="20"/>
          <w:szCs w:val="20"/>
          <w:color w:val="auto"/>
        </w:rPr>
      </w:pPr>
      <w:r>
        <w:rPr>
          <w:rFonts w:ascii="Arial" w:cs="Arial" w:eastAsia="Arial" w:hAnsi="Arial"/>
          <w:sz w:val="19"/>
          <w:szCs w:val="19"/>
          <w:color w:val="auto"/>
        </w:rPr>
        <w:t>of repurchase, to pay a negotiated fee to the investors. The Company’s estimates are based upon historical loss experience and the best estimate of the probable loan loss liabilities.</w:t>
      </w:r>
    </w:p>
    <w:p>
      <w:pPr>
        <w:spacing w:after="0" w:line="168" w:lineRule="exact"/>
        <w:rPr>
          <w:sz w:val="20"/>
          <w:szCs w:val="20"/>
          <w:color w:val="auto"/>
        </w:rPr>
      </w:pPr>
    </w:p>
    <w:p>
      <w:pPr>
        <w:jc w:val="both"/>
        <w:ind w:right="319"/>
        <w:spacing w:after="0" w:line="267" w:lineRule="auto"/>
        <w:rPr>
          <w:sz w:val="20"/>
          <w:szCs w:val="20"/>
          <w:color w:val="auto"/>
        </w:rPr>
      </w:pPr>
      <w:r>
        <w:rPr>
          <w:rFonts w:ascii="Arial" w:cs="Arial" w:eastAsia="Arial" w:hAnsi="Arial"/>
          <w:sz w:val="18"/>
          <w:szCs w:val="18"/>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representations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The estimated liability for indemnification losses is included in other liabilities and accrued expenses.</w:t>
      </w:r>
    </w:p>
    <w:p>
      <w:pPr>
        <w:spacing w:after="0" w:line="182"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The Company believes the allowance for loan losses and the loan loss reserve represent probable loan losses incurred as of the balance sheet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Deferred Tax Assets and Liabilities</w:t>
      </w:r>
    </w:p>
    <w:p>
      <w:pPr>
        <w:spacing w:after="0" w:line="230"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color w:val="auto"/>
        </w:rPr>
        <w:t>Deferred tax assets and liabilities require various estimates and judgments and may be affected favorably or unfavorably by various internal and external factors. These estimates and judgments occur in the calculation of certain deferred tax assets and liabilities that arise from temporary differences in the recognition of revenues and expenses for tax and financial reporting purposes and in estimating the ultimate amount of deferred tax assets recoverable in future periods.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Consolidated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2020 Compared to 2019</w:t>
      </w:r>
    </w:p>
    <w:p>
      <w:pPr>
        <w:spacing w:after="0" w:line="236" w:lineRule="exact"/>
        <w:rPr>
          <w:sz w:val="20"/>
          <w:szCs w:val="20"/>
          <w:color w:val="auto"/>
        </w:rPr>
      </w:pPr>
    </w:p>
    <w:p>
      <w:pPr>
        <w:jc w:val="both"/>
        <w:ind w:right="319"/>
        <w:spacing w:after="0" w:line="269" w:lineRule="auto"/>
        <w:rPr>
          <w:sz w:val="20"/>
          <w:szCs w:val="20"/>
          <w:color w:val="auto"/>
        </w:rPr>
      </w:pPr>
      <w:r>
        <w:rPr>
          <w:rFonts w:ascii="Arial" w:cs="Arial" w:eastAsia="Arial" w:hAnsi="Arial"/>
          <w:sz w:val="18"/>
          <w:szCs w:val="18"/>
          <w:color w:val="auto"/>
        </w:rPr>
        <w:t>Total revenues increased by $198,402,000, or 70.1%, to $481,463,000 for 2020 from $283,061,000 for the fiscal year 2019. Contributing to this increase in total revenues was a $166,957,000 increase in mortgage fee income, a $13,310,000 increase in net investment income, a $11,160,000 increase in insurance premiums and other considerations, a $5,011,000 increase in net cemetery and mortuary sales, a $1,198,000 increase in gains on investments and other assets, and a $1,137,000 increase in other revenues. This increase in total revenues was offset by a $371,000 increase in other than temporary impairments.</w:t>
      </w:r>
    </w:p>
    <w:p>
      <w:pPr>
        <w:spacing w:after="0" w:line="178"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Insurance premiums and other considerations increased by $11,160,000, or 13.6%, to $93,021,000 for 2020, from $81,861,000 for the comparable period in 2019. This increase was primarily due to $10,452,000 from the acquisition of Kilpatrick Life in December 2019. See Note 20 to the consolidated financial statements. This increase was also due to an increase in renewal premiums due to the growth of the Company in recent years, particularly in whole life products, which resulted in more premium paying business in force.</w:t>
      </w:r>
    </w:p>
    <w:p>
      <w:pPr>
        <w:spacing w:after="0" w:line="177" w:lineRule="exact"/>
        <w:rPr>
          <w:sz w:val="20"/>
          <w:szCs w:val="20"/>
          <w:color w:val="auto"/>
        </w:rPr>
      </w:pPr>
    </w:p>
    <w:p>
      <w:pPr>
        <w:jc w:val="both"/>
        <w:ind w:right="319"/>
        <w:spacing w:after="0" w:line="264" w:lineRule="auto"/>
        <w:rPr>
          <w:sz w:val="20"/>
          <w:szCs w:val="20"/>
          <w:color w:val="auto"/>
        </w:rPr>
      </w:pPr>
      <w:r>
        <w:rPr>
          <w:rFonts w:ascii="Arial" w:cs="Arial" w:eastAsia="Arial" w:hAnsi="Arial"/>
          <w:sz w:val="18"/>
          <w:szCs w:val="18"/>
          <w:color w:val="auto"/>
        </w:rPr>
        <w:t>Net investment income increased by $13,310,000, or 30.9%, to $56,330,000 for 2020, from $43,019,000 for the comparable period in 2019. This increase was primarily attributable to a $7,268,000 increase in mortgage loan interest ($4,048,000 due to interest on residential construction loans and $1,763,000 due to the acquisition of Kilpatrick Life), a $3,162,000 increase in rental income from real estate held for investment ($1,711,000 due to the acquisition of Kilpatrick Life and $1,651,000 due to Center53 building 1 now at 96% occupancy), a $1,861,000 increase in fixed maturity securities income ($2,233,000 due to the acquisition of Kilpatrick Life), a $1,752,000 increase in insurance assignment income, a $470,000 increase in policy loan income ($489,000 due to the acquisition of Kilpatrick Life), and a $333,000 increase in equity securities income ($44,000 due to the acquisition of Kilpatrick Life). This increase was partially offset by a $1,398,000 decrease in interest on cash and cash equivalents ($118,000 increase due to the acquisition of Kilpatrick Life), a $79,000 increase in investment expenses ($502,000 due to the acquisition of Kilpatrick Life), and a $59,000 decrease in income from other investments ($25,000 increase due to the acquisition of Kilpatrick Life).</w:t>
      </w: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26" w:name="page27"/>
    <w:bookmarkEnd w:id="26"/>
    <w:p>
      <w:pPr>
        <w:jc w:val="both"/>
        <w:ind w:right="319"/>
        <w:spacing w:after="0" w:line="307" w:lineRule="auto"/>
        <w:rPr>
          <w:sz w:val="20"/>
          <w:szCs w:val="20"/>
          <w:color w:val="auto"/>
        </w:rPr>
      </w:pPr>
      <w:r>
        <w:rPr>
          <w:rFonts w:ascii="Arial" w:cs="Arial" w:eastAsia="Arial" w:hAnsi="Arial"/>
          <w:sz w:val="17"/>
          <w:szCs w:val="17"/>
          <w:color w:val="auto"/>
        </w:rPr>
        <w:t>Net mortuary and cemetery sales increased by $5,011,000, or 32.8%, to $20,307,000 for 2020, from $15,296,000 for the comparable period in 2019. This increase was primarily due to a $2,133,000 increase in cemetery pre-need sales, a $1,566,000 increase in cemetery at-need sales, and a $1,312,000 increase in mortuary at-need sales.</w:t>
      </w:r>
    </w:p>
    <w:p>
      <w:pPr>
        <w:spacing w:after="0" w:line="148" w:lineRule="exact"/>
        <w:rPr>
          <w:sz w:val="20"/>
          <w:szCs w:val="20"/>
          <w:color w:val="auto"/>
        </w:rPr>
      </w:pPr>
    </w:p>
    <w:p>
      <w:pPr>
        <w:jc w:val="both"/>
        <w:ind w:right="319"/>
        <w:spacing w:after="0" w:line="285" w:lineRule="auto"/>
        <w:rPr>
          <w:sz w:val="20"/>
          <w:szCs w:val="20"/>
          <w:color w:val="auto"/>
        </w:rPr>
      </w:pPr>
      <w:r>
        <w:rPr>
          <w:rFonts w:ascii="Arial" w:cs="Arial" w:eastAsia="Arial" w:hAnsi="Arial"/>
          <w:sz w:val="17"/>
          <w:szCs w:val="17"/>
          <w:color w:val="auto"/>
        </w:rPr>
        <w:t>Gains on investments and other assets increased by $1,197,000, or 164.4%, to $1,926,000 for 2020, from $728,000 for the comparable period in 2019. This increase in gains on investments and other assets was primarily due to a $1,268,000 increase in gains on other assets ($341,000 due to the acquisition of Kilpatrick Life) mostly attributable to a decrease in impairment losses on commercial real estate. This increase in gains on investments and other assets was also due to a $71,000 increase in gains on fixed maturity securities ($137,000 due to the acquisition of Kilpatrick Life). This decrease in gains on investments and other assets was partially offset by a $142,000 decrease in gains on equity securities ($549,000 increase due to the acquisition of Kilpatrick Life).</w:t>
      </w:r>
    </w:p>
    <w:p>
      <w:pPr>
        <w:spacing w:after="0" w:line="169"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Mortgage fee income increased by $166,957,000, or 126.5%, to $298,933,000 for 2020, from $131,976,000 for the comparable period in 2019. This increase was primarily due to a $138,177,000 increase in secondary gains from mortgage loans sold to third-party investors into the secondary market, a $18,421,000 increase in loan fees and interest income, and a $14,653,000 increase in the fair value of loans held for sale and loan commitments. This increase in mortgage fee income was partially offset by a $4,294,000 increase in the provision for loan loss reserve.</w:t>
      </w:r>
    </w:p>
    <w:p>
      <w:pPr>
        <w:spacing w:after="0" w:line="193" w:lineRule="exact"/>
        <w:rPr>
          <w:sz w:val="20"/>
          <w:szCs w:val="20"/>
          <w:color w:val="auto"/>
        </w:rPr>
      </w:pPr>
    </w:p>
    <w:p>
      <w:pPr>
        <w:jc w:val="both"/>
        <w:ind w:right="319"/>
        <w:spacing w:after="0" w:line="305" w:lineRule="auto"/>
        <w:rPr>
          <w:sz w:val="20"/>
          <w:szCs w:val="20"/>
          <w:color w:val="auto"/>
        </w:rPr>
      </w:pPr>
      <w:r>
        <w:rPr>
          <w:rFonts w:ascii="Arial" w:cs="Arial" w:eastAsia="Arial" w:hAnsi="Arial"/>
          <w:sz w:val="18"/>
          <w:szCs w:val="18"/>
          <w:color w:val="auto"/>
        </w:rPr>
        <w:t>Other revenues increased by $1,137,000, or 11.2%, to $11,317,000 for 2020 from $10,180,000 for the comparable period in 2019. This increase was primarily attributable to an increase in servicing fee revenue.</w:t>
      </w:r>
    </w:p>
    <w:p>
      <w:pPr>
        <w:spacing w:after="0" w:line="147"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Total benefits and expenses were $410,013,000, or 85.2% of total revenues for 2020, as compared to $269,117,000, or 95.1% of total revenues for the comparable period in 2019.</w:t>
      </w:r>
    </w:p>
    <w:p>
      <w:pPr>
        <w:spacing w:after="0" w:line="170"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$17,930,000, or 26.2%, to $86,410,000 for 2020, from $68,480,000 for the comparable period in 2019. This increase was primarily the result of a $17,449,000 increase in death benefits ($8,324,000 due to the acquisition of Kilpatrick Life and $6,239,000 for COVID-19 related deaths) and a $481,000 increase in surrender and other policy benefits ($918,000 due to the acquisition of Kilpatrick Life).</w:t>
      </w:r>
    </w:p>
    <w:p>
      <w:pPr>
        <w:spacing w:after="0" w:line="177"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Amortization of deferred policy and pre-need acquisition costs and value of business acquired decreased by $327,000, or 2.2%, to $14,307,000 for 2020, from $14,634,000 for the comparable period in 2019. This decrease was primarily due to improved persistency in the payment of premiums in the traditional life business. ($125,000 increase due to the acquisition of Kilpatrick Life).</w:t>
      </w:r>
    </w:p>
    <w:p>
      <w:pPr>
        <w:spacing w:after="0" w:line="189" w:lineRule="exact"/>
        <w:rPr>
          <w:sz w:val="20"/>
          <w:szCs w:val="20"/>
          <w:color w:val="auto"/>
        </w:rPr>
      </w:pPr>
    </w:p>
    <w:p>
      <w:pPr>
        <w:jc w:val="both"/>
        <w:ind w:right="319"/>
        <w:spacing w:after="0" w:line="264" w:lineRule="auto"/>
        <w:rPr>
          <w:sz w:val="20"/>
          <w:szCs w:val="20"/>
          <w:color w:val="auto"/>
        </w:rPr>
      </w:pPr>
      <w:r>
        <w:rPr>
          <w:rFonts w:ascii="Arial" w:cs="Arial" w:eastAsia="Arial" w:hAnsi="Arial"/>
          <w:sz w:val="18"/>
          <w:szCs w:val="18"/>
          <w:color w:val="auto"/>
        </w:rPr>
        <w:t>Selling, general and administrative expenses increased by $121,727,000, or 69.3%, to $297,464,000 for 2020, from $175,737,000 for the comparable period in 2019. This increase was primarily the result of a $67,663,000 increase in commissions, a $20,769,000 increase in personnel expenses, a $16,506,000 increase in the provision for loan loss reserve, a $12,408,000 increase in other expenses, a $3,599,000 increase in costs related to funding mortgage loans, a $596,000 increase in advertising expenses, and a $367,000 increase in depreciation on property and equipment. This increase was partially offset by a $182,000 decrease in rent and rent related expenses. Most of these increases are attributable to the mortgage segment due to the increase in mortgage loan originations and refinancings, most notably $66,600,000 in commissions, $15,140,000 in personnel expenses, $11,192,000 in other expenses, and $554,838 in advertising expenses. Also, these increases are attributable to the acquisition of Kilpatrick Life, most notably $2,027,000 in personnel expenses, $1,329,000 in other expenses, and $1,047,000 in commissions.</w:t>
      </w:r>
    </w:p>
    <w:p>
      <w:pPr>
        <w:spacing w:after="0" w:line="186"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Interest expense increased by $1,192,000, or 16.1%, to $8,579,000 for 2020, from $7,387,000 for the comparable period in 2019. This increase was primarily due to an increase of $1,735,000 in interest expense on mortgage warehouse lines for loans held for sale. This increase was partially offset by a $598,000 decrease in interest expense on bank loans collateralized by real estate held for investment.</w:t>
      </w:r>
    </w:p>
    <w:p>
      <w:pPr>
        <w:spacing w:after="0" w:line="189"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Cost of goods and services sold of the cemeteries and mortuaries increased by $374,000, or 13.0%, to $3,252,000 for 2020, from $2,878,000 for the comparable period in 2019. This increase was primarily due to an $176,000 increase in mortuary at-need sales, a $126,000 increase in cemetery at-need sales, and a $72,000 increase in cemetery pre-need sales.</w:t>
      </w: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27" w:name="page28"/>
    <w:bookmarkEnd w:id="27"/>
    <w:p>
      <w:pPr>
        <w:jc w:val="both"/>
        <w:ind w:right="319"/>
        <w:spacing w:after="0" w:line="262" w:lineRule="auto"/>
        <w:rPr>
          <w:sz w:val="20"/>
          <w:szCs w:val="20"/>
          <w:color w:val="auto"/>
        </w:rPr>
      </w:pPr>
      <w:r>
        <w:rPr>
          <w:rFonts w:ascii="Arial" w:cs="Arial" w:eastAsia="Arial" w:hAnsi="Arial"/>
          <w:sz w:val="19"/>
          <w:szCs w:val="19"/>
          <w:color w:val="auto"/>
        </w:rPr>
        <w:t>Income tax expense increased by $12,803,000, or 412.4%, to $15,854,000 for 2020, from $3,050,00 for the comparable period in 2019. This increase was primarily due to an increase in earnings before income taxes for 2020 compared to 2019.</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most significant risks facing the Company and how it mitigates those risks:</w:t>
      </w:r>
    </w:p>
    <w:p>
      <w:pPr>
        <w:spacing w:after="0" w:line="241" w:lineRule="exact"/>
        <w:rPr>
          <w:sz w:val="20"/>
          <w:szCs w:val="20"/>
          <w:color w:val="auto"/>
        </w:rPr>
      </w:pPr>
    </w:p>
    <w:p>
      <w:pPr>
        <w:jc w:val="both"/>
        <w:ind w:right="319"/>
        <w:spacing w:after="0" w:line="249" w:lineRule="auto"/>
        <w:rPr>
          <w:sz w:val="20"/>
          <w:szCs w:val="20"/>
          <w:color w:val="auto"/>
        </w:rPr>
      </w:pPr>
      <w:r>
        <w:rPr>
          <w:rFonts w:ascii="Arial" w:cs="Arial" w:eastAsia="Arial" w:hAnsi="Arial"/>
          <w:sz w:val="19"/>
          <w:szCs w:val="19"/>
          <w:u w:val="single" w:color="auto"/>
          <w:color w:val="auto"/>
        </w:rPr>
        <w:t>Legal and Regulatory Risks</w:t>
      </w:r>
      <w:r>
        <w:rPr>
          <w:rFonts w:ascii="Arial" w:cs="Arial" w:eastAsia="Arial" w:hAnsi="Arial"/>
          <w:sz w:val="19"/>
          <w:szCs w:val="19"/>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mitigates these risks by offering a wide range of products and by diversifying its operations, thus reducing its exposure to any single product or jurisdiction, and also by employing underwriting practices that identify and minimize the adverse impact of such risks.</w:t>
      </w:r>
    </w:p>
    <w:p>
      <w:pPr>
        <w:spacing w:after="0" w:line="200"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u w:val="single" w:color="auto"/>
          <w:color w:val="auto"/>
        </w:rPr>
        <w:t>Mortgage Industry Risks</w:t>
      </w:r>
      <w:r>
        <w:rPr>
          <w:rFonts w:ascii="Arial" w:cs="Arial" w:eastAsia="Arial" w:hAnsi="Arial"/>
          <w:sz w:val="19"/>
          <w:szCs w:val="19"/>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184" w:lineRule="exact"/>
        <w:rPr>
          <w:sz w:val="20"/>
          <w:szCs w:val="20"/>
          <w:color w:val="auto"/>
        </w:rPr>
      </w:pPr>
    </w:p>
    <w:p>
      <w:pPr>
        <w:jc w:val="both"/>
        <w:ind w:right="319"/>
        <w:spacing w:after="0" w:line="287" w:lineRule="auto"/>
        <w:rPr>
          <w:sz w:val="20"/>
          <w:szCs w:val="20"/>
          <w:color w:val="auto"/>
        </w:rPr>
      </w:pPr>
      <w:r>
        <w:rPr>
          <w:rFonts w:ascii="Arial" w:cs="Arial" w:eastAsia="Arial" w:hAnsi="Arial"/>
          <w:sz w:val="17"/>
          <w:szCs w:val="17"/>
          <w:color w:val="auto"/>
        </w:rPr>
        <w:t>The mortgage loan loss reserve is an estimate of probable losses at the balance sheet date that the Company could realize in the future on mortgage loans sold to third-party investors. The Company’s mortgage subsidiaries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67" w:lineRule="exact"/>
        <w:rPr>
          <w:sz w:val="20"/>
          <w:szCs w:val="20"/>
          <w:color w:val="auto"/>
        </w:rPr>
      </w:pPr>
    </w:p>
    <w:p>
      <w:pPr>
        <w:jc w:val="both"/>
        <w:ind w:right="319"/>
        <w:spacing w:after="0" w:line="266" w:lineRule="auto"/>
        <w:rPr>
          <w:sz w:val="20"/>
          <w:szCs w:val="20"/>
          <w:color w:val="auto"/>
        </w:rPr>
      </w:pPr>
      <w:r>
        <w:rPr>
          <w:rFonts w:ascii="Arial" w:cs="Arial" w:eastAsia="Arial" w:hAnsi="Arial"/>
          <w:sz w:val="18"/>
          <w:szCs w:val="18"/>
          <w:color w:val="auto"/>
        </w:rPr>
        <w:t>During the twelve months ended December 31, 2020 and 2019 the Company increased its loan loss reserve by $4,938,000 and $643,000, respectively, for loan originations, and the charge has been included in mortgage fee income. During the twelve months ended December 31, 2020 and 2019 the Company increased its loan loss reserve by an additional $16,506,000 and $-0-, respectively, to account for changes in estimates specific to settlements of loan losses. The estimated liability for indemnification losses is included in other liabilities and accrued expenses and, as of December 31, 2020 and 2019, the balances were $20,584,000 and $4,046,000, respectively. The Company believes the loan loss reserve represent probable loan losses incurred as of December 31, 2020. There is a risk, however, that future loan losses may exceed the loan loss reserve.</w:t>
      </w:r>
    </w:p>
    <w:p>
      <w:pPr>
        <w:spacing w:after="0" w:line="183"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As of December 31, 2020, the Company’s mortgage loans held for investment portfolio consisted of $10,282,000 in mortgage loans with delinquencies more than 90 days. Of this amount, $2,464,000 of the loans were in foreclosure proceedings. The Company has not received or recognized any interest income on the $10,282,000 in mortgage loans with delinquencies more than 90 days. During the twelve months ended December 31, 2020 and 2019, the Company increased its allowance for loan losses by $552,000 and by $105,000, respectively, which was charged to bad debt expense and included in selling, general and administrative expenses for the period. The allowances for loan losses on the Company’s held for investment portfolio as of December 31, 2020 and 2019 were $2,005,000 and $1,453,000, respectively.</w:t>
      </w:r>
    </w:p>
    <w:p>
      <w:pPr>
        <w:spacing w:after="0" w:line="197"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u w:val="single" w:color="auto"/>
          <w:color w:val="auto"/>
        </w:rPr>
        <w:t>Interest Rate Risk</w:t>
      </w:r>
      <w:r>
        <w:rPr>
          <w:rFonts w:ascii="Arial" w:cs="Arial" w:eastAsia="Arial" w:hAnsi="Arial"/>
          <w:sz w:val="19"/>
          <w:szCs w:val="19"/>
          <w:color w:val="auto"/>
        </w:rPr>
        <w:t>. The risk that interest rates will change, which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mitigates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197"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u w:val="single" w:color="auto"/>
          <w:color w:val="auto"/>
        </w:rPr>
        <w:t>Mortality and Morbidity Risks</w:t>
      </w:r>
      <w:r>
        <w:rPr>
          <w:rFonts w:ascii="Arial" w:cs="Arial" w:eastAsia="Arial" w:hAnsi="Arial"/>
          <w:sz w:val="19"/>
          <w:szCs w:val="19"/>
          <w:color w:val="auto"/>
        </w:rPr>
        <w:t>. The risk that the Company’s actuarial assumptions may differ from actual mortality and morbidity experiences may cause the Company’s products to be underpriced, may cause the Company to liquidate</w:t>
      </w:r>
    </w:p>
    <w:p>
      <w:pPr>
        <w:sectPr>
          <w:pgSz w:w="11900" w:h="16838" w:orient="portrait"/>
          <w:cols w:equalWidth="0" w:num="1">
            <w:col w:w="9179"/>
          </w:cols>
          <w:pgMar w:left="1280" w:top="122" w:right="1440" w:bottom="1440" w:gutter="0" w:footer="0" w:header="0"/>
        </w:sectPr>
      </w:pP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562800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type w:val="continuous"/>
        </w:sectPr>
      </w:pPr>
    </w:p>
    <w:bookmarkStart w:id="28" w:name="page29"/>
    <w:bookmarkEnd w:id="28"/>
    <w:p>
      <w:pPr>
        <w:jc w:val="both"/>
        <w:ind w:right="339"/>
        <w:spacing w:after="0" w:line="262" w:lineRule="auto"/>
        <w:rPr>
          <w:sz w:val="20"/>
          <w:szCs w:val="20"/>
          <w:color w:val="auto"/>
        </w:rPr>
      </w:pPr>
      <w:r>
        <w:rPr>
          <w:rFonts w:ascii="Arial" w:cs="Arial" w:eastAsia="Arial" w:hAnsi="Arial"/>
          <w:sz w:val="19"/>
          <w:szCs w:val="19"/>
          <w:color w:val="auto"/>
        </w:rPr>
        <w:t>insurance or other claims earlier than anticipated, and other potentially adverse consequences to the business. The Company minimizes this risk through sound underwriting practices, asset and liability duration matching, and sound actuarial practices.</w:t>
      </w:r>
    </w:p>
    <w:p>
      <w:pPr>
        <w:spacing w:after="0" w:line="182"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During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85" w:lineRule="exact"/>
        <w:rPr>
          <w:sz w:val="20"/>
          <w:szCs w:val="20"/>
          <w:color w:val="auto"/>
        </w:rPr>
      </w:pPr>
    </w:p>
    <w:p>
      <w:pPr>
        <w:jc w:val="both"/>
        <w:ind w:right="319"/>
        <w:spacing w:after="0" w:line="285" w:lineRule="auto"/>
        <w:rPr>
          <w:sz w:val="20"/>
          <w:szCs w:val="20"/>
          <w:color w:val="auto"/>
        </w:rPr>
      </w:pPr>
      <w:r>
        <w:rPr>
          <w:rFonts w:ascii="Arial" w:cs="Arial" w:eastAsia="Arial" w:hAnsi="Arial"/>
          <w:sz w:val="17"/>
          <w:szCs w:val="17"/>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this Management’s Discussion and Analysis of Financial Condition and Results of Operations. These uncertainties have the potential to negatively affect the risk of credit default for the issuers of the Company’s fixed maturity debt securities and individual borrowers with mortgage loans held by the Company.</w:t>
      </w:r>
    </w:p>
    <w:p>
      <w:pPr>
        <w:spacing w:after="0" w:line="169"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184"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u w:val="single" w:color="auto"/>
          <w:color w:val="auto"/>
        </w:rPr>
        <w:t>Estimates</w:t>
      </w:r>
      <w:r>
        <w:rPr>
          <w:rFonts w:ascii="Arial" w:cs="Arial" w:eastAsia="Arial" w:hAnsi="Arial"/>
          <w:sz w:val="19"/>
          <w:szCs w:val="19"/>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84" w:lineRule="exact"/>
        <w:rPr>
          <w:sz w:val="20"/>
          <w:szCs w:val="20"/>
          <w:color w:val="auto"/>
        </w:rPr>
      </w:pPr>
    </w:p>
    <w:p>
      <w:pPr>
        <w:jc w:val="both"/>
        <w:ind w:right="319"/>
        <w:spacing w:after="0" w:line="250" w:lineRule="auto"/>
        <w:rPr>
          <w:sz w:val="20"/>
          <w:szCs w:val="20"/>
          <w:color w:val="auto"/>
        </w:rPr>
      </w:pPr>
      <w:r>
        <w:rPr>
          <w:rFonts w:ascii="Arial" w:cs="Arial" w:eastAsia="Arial" w:hAnsi="Arial"/>
          <w:sz w:val="19"/>
          <w:szCs w:val="19"/>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6"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on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It should be noted that current conditions in the financial markets and economy caused by the COVID-19 pandemic may affect the cash flows of the Company.</w:t>
      </w:r>
    </w:p>
    <w:p>
      <w:pPr>
        <w:spacing w:after="0" w:line="181" w:lineRule="exact"/>
        <w:rPr>
          <w:sz w:val="20"/>
          <w:szCs w:val="20"/>
          <w:color w:val="auto"/>
        </w:rPr>
      </w:pPr>
    </w:p>
    <w:p>
      <w:pPr>
        <w:jc w:val="both"/>
        <w:ind w:right="319"/>
        <w:spacing w:after="0" w:line="261" w:lineRule="auto"/>
        <w:rPr>
          <w:sz w:val="20"/>
          <w:szCs w:val="20"/>
          <w:color w:val="auto"/>
        </w:rPr>
      </w:pPr>
      <w:r>
        <w:rPr>
          <w:rFonts w:ascii="Arial" w:cs="Arial" w:eastAsia="Arial" w:hAnsi="Arial"/>
          <w:sz w:val="19"/>
          <w:szCs w:val="19"/>
          <w:color w:val="auto"/>
        </w:rPr>
        <w:t>During the twelve months ended December 31, 2020 and 2019, the Company's operations used cash of $129,627,000 and $75,602,000, respectively. This increase was primarily due to originations of mortgage loans held for sale.</w:t>
      </w:r>
    </w:p>
    <w:p>
      <w:pPr>
        <w:spacing w:after="0" w:line="2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29" w:name="page30"/>
    <w:bookmarkEnd w:id="29"/>
    <w:p>
      <w:pPr>
        <w:jc w:val="both"/>
        <w:ind w:right="319"/>
        <w:spacing w:after="0" w:line="269"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liquidating these long-term investments as a result of any sudden changes in market values.</w:t>
      </w:r>
    </w:p>
    <w:p>
      <w:pPr>
        <w:spacing w:after="0" w:line="179"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93"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$294,384,000 (at estimated fair value) and $355,613,000 (at estimated fair value) as of December 31, 2020 and 2019, respectively. This represents 38.0% and 45.5% of the total investments as of December 31, 2020, and 2019, respectively. Generally, all bonds owned by the life insurance subsidiaries are rated by the National Association of Insurance Commissioners. Under this rating system, there are six categories used for rating bonds. At December 31, 2020, 4.2% (or $12,418,000) and at December 31, 2019, 2.2% (or $7,633,000) of the Company’s total bond investments were invested in bonds in rating categories three through six, which are considered non-investment grade.</w:t>
      </w:r>
    </w:p>
    <w:p>
      <w:pPr>
        <w:spacing w:after="0" w:line="181" w:lineRule="exact"/>
        <w:rPr>
          <w:sz w:val="20"/>
          <w:szCs w:val="20"/>
          <w:color w:val="auto"/>
        </w:rPr>
      </w:pPr>
    </w:p>
    <w:p>
      <w:pPr>
        <w:jc w:val="both"/>
        <w:ind w:right="319"/>
        <w:spacing w:after="0" w:line="305" w:lineRule="auto"/>
        <w:rPr>
          <w:sz w:val="20"/>
          <w:szCs w:val="20"/>
          <w:color w:val="auto"/>
        </w:rPr>
      </w:pPr>
      <w:r>
        <w:rPr>
          <w:rFonts w:ascii="Arial" w:cs="Arial" w:eastAsia="Arial" w:hAnsi="Arial"/>
          <w:sz w:val="18"/>
          <w:szCs w:val="18"/>
          <w:color w:val="auto"/>
        </w:rPr>
        <w:t>See Note 2 of the Notes to Consolidated Financial Statements for the schedule of the maturity of fixed maturity securities available for sale and for the schedule of principal payments for mortgage loans held for investment.</w:t>
      </w:r>
    </w:p>
    <w:p>
      <w:pPr>
        <w:spacing w:after="0" w:line="147"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See Note 7 of the Notes to Consolidated Financial Statements for a description of the Company’s sources of liquidity.</w:t>
      </w:r>
    </w:p>
    <w:p>
      <w:pPr>
        <w:spacing w:after="0" w:line="170" w:lineRule="exact"/>
        <w:rPr>
          <w:sz w:val="20"/>
          <w:szCs w:val="20"/>
          <w:color w:val="auto"/>
        </w:rPr>
      </w:pPr>
    </w:p>
    <w:p>
      <w:pPr>
        <w:jc w:val="both"/>
        <w:ind w:right="319"/>
        <w:spacing w:after="0" w:line="256" w:lineRule="auto"/>
        <w:rPr>
          <w:sz w:val="20"/>
          <w:szCs w:val="20"/>
          <w:color w:val="auto"/>
        </w:rPr>
      </w:pPr>
      <w:r>
        <w:rPr>
          <w:rFonts w:ascii="Arial" w:cs="Arial" w:eastAsia="Arial" w:hAnsi="Arial"/>
          <w:sz w:val="19"/>
          <w:szCs w:val="19"/>
          <w:color w:val="auto"/>
        </w:rPr>
        <w:t>If market conditions were to cause interest rates to change, the fair value of the Company’s fixed income portfolio (of approximately $544,001,000), which includes bonds, preferred stocks and mortgage loans held for investment, could change by the following amounts based on the respective basis point swing (the change in the fair values were calculated using a modeling technique):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9"/>
                <w:szCs w:val="19"/>
                <w:color w:val="auto"/>
                <w:w w:val="89"/>
              </w:rPr>
              <w:t>-200 bps</w:t>
            </w:r>
          </w:p>
        </w:tc>
        <w:tc>
          <w:tcPr>
            <w:tcW w:w="6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1"/>
              </w:rPr>
              <w:t>-100 bps</w:t>
            </w:r>
          </w:p>
        </w:tc>
        <w:tc>
          <w:tcPr>
            <w:tcW w:w="1460" w:type="dxa"/>
            <w:vAlign w:val="bottom"/>
            <w:gridSpan w:val="3"/>
          </w:tcPr>
          <w:p>
            <w:pPr>
              <w:ind w:left="520"/>
              <w:spacing w:after="0"/>
              <w:rPr>
                <w:sz w:val="20"/>
                <w:szCs w:val="20"/>
                <w:color w:val="auto"/>
              </w:rPr>
            </w:pPr>
            <w:r>
              <w:rPr>
                <w:rFonts w:ascii="Arial" w:cs="Arial" w:eastAsia="Arial" w:hAnsi="Arial"/>
                <w:sz w:val="19"/>
                <w:szCs w:val="19"/>
                <w:color w:val="auto"/>
              </w:rPr>
              <w:t>+100 bps</w:t>
            </w:r>
          </w:p>
        </w:tc>
        <w:tc>
          <w:tcPr>
            <w:tcW w:w="20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9"/>
                <w:szCs w:val="19"/>
                <w:color w:val="auto"/>
              </w:rPr>
              <w:t>+200 bps</w:t>
            </w:r>
          </w:p>
        </w:tc>
      </w:tr>
      <w:tr>
        <w:trPr>
          <w:trHeight w:val="26"/>
        </w:trPr>
        <w:tc>
          <w:tcPr>
            <w:tcW w:w="4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21"/>
        </w:trPr>
        <w:tc>
          <w:tcPr>
            <w:tcW w:w="4220" w:type="dxa"/>
            <w:vAlign w:val="bottom"/>
            <w:shd w:val="clear" w:color="auto" w:fill="CCEEFF"/>
          </w:tcPr>
          <w:p>
            <w:pPr>
              <w:spacing w:after="0"/>
              <w:rPr>
                <w:sz w:val="20"/>
                <w:szCs w:val="20"/>
                <w:color w:val="auto"/>
              </w:rPr>
            </w:pPr>
            <w:r>
              <w:rPr>
                <w:rFonts w:ascii="Arial" w:cs="Arial" w:eastAsia="Arial" w:hAnsi="Arial"/>
                <w:sz w:val="19"/>
                <w:szCs w:val="19"/>
                <w:color w:val="auto"/>
              </w:rPr>
              <w:t>Change in Fair Value</w:t>
            </w:r>
          </w:p>
        </w:tc>
        <w:tc>
          <w:tcPr>
            <w:tcW w:w="680" w:type="dxa"/>
            <w:vAlign w:val="bottom"/>
            <w:shd w:val="clear" w:color="auto" w:fill="CCEEFF"/>
          </w:tcPr>
          <w:p>
            <w:pPr>
              <w:ind w:left="40"/>
              <w:spacing w:after="0"/>
              <w:rPr>
                <w:sz w:val="20"/>
                <w:szCs w:val="20"/>
                <w:color w:val="auto"/>
              </w:rPr>
            </w:pPr>
            <w:r>
              <w:rPr>
                <w:rFonts w:ascii="Arial" w:cs="Arial" w:eastAsia="Arial" w:hAnsi="Arial"/>
                <w:sz w:val="19"/>
                <w:szCs w:val="19"/>
                <w:color w:val="auto"/>
                <w:w w:val="90"/>
              </w:rPr>
              <w:t>$15,635</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$6,869</w:t>
            </w:r>
          </w:p>
        </w:tc>
        <w:tc>
          <w:tcPr>
            <w:tcW w:w="1460" w:type="dxa"/>
            <w:vAlign w:val="bottom"/>
            <w:gridSpan w:val="3"/>
            <w:shd w:val="clear" w:color="auto" w:fill="CCEEFF"/>
          </w:tcPr>
          <w:p>
            <w:pPr>
              <w:ind w:left="500"/>
              <w:spacing w:after="0"/>
              <w:rPr>
                <w:sz w:val="20"/>
                <w:szCs w:val="20"/>
                <w:color w:val="auto"/>
              </w:rPr>
            </w:pPr>
            <w:r>
              <w:rPr>
                <w:rFonts w:ascii="Arial" w:cs="Arial" w:eastAsia="Arial" w:hAnsi="Arial"/>
                <w:sz w:val="19"/>
                <w:szCs w:val="19"/>
                <w:color w:val="auto"/>
              </w:rPr>
              <w:t>$(10,662)</w:t>
            </w:r>
          </w:p>
        </w:tc>
        <w:tc>
          <w:tcPr>
            <w:tcW w:w="116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$(19,428)</w:t>
            </w:r>
          </w:p>
        </w:tc>
      </w:tr>
      <w:tr>
        <w:trPr>
          <w:trHeight w:val="254"/>
        </w:trPr>
        <w:tc>
          <w:tcPr>
            <w:tcW w:w="4220" w:type="dxa"/>
            <w:vAlign w:val="bottom"/>
            <w:shd w:val="clear" w:color="auto" w:fill="CCEEFF"/>
          </w:tcPr>
          <w:p>
            <w:pPr>
              <w:spacing w:after="0"/>
              <w:rPr>
                <w:sz w:val="20"/>
                <w:szCs w:val="20"/>
                <w:color w:val="auto"/>
              </w:rPr>
            </w:pPr>
            <w:r>
              <w:rPr>
                <w:rFonts w:ascii="Arial" w:cs="Arial" w:eastAsia="Arial" w:hAnsi="Arial"/>
                <w:sz w:val="19"/>
                <w:szCs w:val="19"/>
                <w:color w:val="auto"/>
              </w:rPr>
              <w:t>(in thousands)</w:t>
            </w:r>
          </w:p>
        </w:tc>
        <w:tc>
          <w:tcPr>
            <w:tcW w:w="6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bl>
    <w:p>
      <w:pPr>
        <w:spacing w:after="0" w:line="207" w:lineRule="exact"/>
        <w:rPr>
          <w:sz w:val="20"/>
          <w:szCs w:val="20"/>
          <w:color w:val="auto"/>
        </w:rPr>
      </w:pPr>
    </w:p>
    <w:p>
      <w:pPr>
        <w:jc w:val="both"/>
        <w:ind w:right="319"/>
        <w:spacing w:after="0" w:line="306" w:lineRule="auto"/>
        <w:rPr>
          <w:sz w:val="20"/>
          <w:szCs w:val="20"/>
          <w:color w:val="auto"/>
        </w:rPr>
      </w:pPr>
      <w:r>
        <w:rPr>
          <w:rFonts w:ascii="Arial" w:cs="Arial" w:eastAsia="Arial" w:hAnsi="Arial"/>
          <w:sz w:val="17"/>
          <w:szCs w:val="17"/>
          <w:color w:val="auto"/>
        </w:rPr>
        <w:t>The Company is subject to risk-based capital guidelines established by statutory regulators requiring minimum capital levels based on the perceived risk of assets, liabilities, disintermediation, and business risk. At December 31, 2020 and 2019, the capital levels of the life insurance subsidiaries exceeded the regulatory criteria.</w:t>
      </w:r>
    </w:p>
    <w:p>
      <w:pPr>
        <w:spacing w:after="0" w:line="149" w:lineRule="exact"/>
        <w:rPr>
          <w:sz w:val="20"/>
          <w:szCs w:val="20"/>
          <w:color w:val="auto"/>
        </w:rPr>
      </w:pPr>
    </w:p>
    <w:p>
      <w:pPr>
        <w:jc w:val="both"/>
        <w:ind w:right="319"/>
        <w:spacing w:after="0" w:line="252" w:lineRule="auto"/>
        <w:rPr>
          <w:sz w:val="20"/>
          <w:szCs w:val="20"/>
          <w:color w:val="auto"/>
        </w:rPr>
      </w:pPr>
      <w:r>
        <w:rPr>
          <w:rFonts w:ascii="Arial" w:cs="Arial" w:eastAsia="Arial" w:hAnsi="Arial"/>
          <w:sz w:val="19"/>
          <w:szCs w:val="19"/>
          <w:color w:val="auto"/>
        </w:rPr>
        <w:t>The Company’s total capitalization of stockholders’ equity, and bank loans and other loans payable was $561,811,000 as of December 31, 2020, as compared to $414,283,000 as of December 31, 2019. Stockholders’ equity as a percent of total capitalization was 47.0% and 47.5% as of December 31, 2020 and December 31, 2019, respectively. Bank loans and other loans payable increased by $80,252,000 for the twelve months ended December 31, 2020 as compared to December 31, 2019, thus limiting the increase in the stockholders’ equity percentage.</w:t>
      </w:r>
    </w:p>
    <w:p>
      <w:pPr>
        <w:spacing w:after="0" w:line="193"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Lapse rates measure the amount of insurance terminated during a particular period. The Company’s lapse rate for life insurance was 5.9% in 2020 as compared to a rate of 9.8% for 2019.</w:t>
      </w:r>
    </w:p>
    <w:p>
      <w:pPr>
        <w:spacing w:after="0" w:line="170" w:lineRule="exact"/>
        <w:rPr>
          <w:sz w:val="20"/>
          <w:szCs w:val="20"/>
          <w:color w:val="auto"/>
        </w:rPr>
      </w:pPr>
    </w:p>
    <w:p>
      <w:pPr>
        <w:jc w:val="both"/>
        <w:ind w:right="319"/>
        <w:spacing w:after="0" w:line="282" w:lineRule="auto"/>
        <w:rPr>
          <w:sz w:val="20"/>
          <w:szCs w:val="20"/>
          <w:color w:val="auto"/>
        </w:rPr>
      </w:pPr>
      <w:r>
        <w:rPr>
          <w:rFonts w:ascii="Arial" w:cs="Arial" w:eastAsia="Arial" w:hAnsi="Arial"/>
          <w:sz w:val="18"/>
          <w:szCs w:val="18"/>
          <w:color w:val="auto"/>
        </w:rPr>
        <w:t>The combined statutory capital and surplus of the Company’s life insurance subsidiaries was $78,493,000 and $74,140,000 as of December 31, 2020 and 2019, respectively. The life insurance subsidiaries cannot pay a dividend to its parent company without the approval of state insurance regulatory authorities.</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Forward-Looking Statements</w:t>
      </w:r>
    </w:p>
    <w:p>
      <w:pPr>
        <w:spacing w:after="0" w:line="235" w:lineRule="exact"/>
        <w:rPr>
          <w:sz w:val="20"/>
          <w:szCs w:val="20"/>
          <w:color w:val="auto"/>
        </w:rPr>
      </w:pPr>
    </w:p>
    <w:p>
      <w:pPr>
        <w:jc w:val="both"/>
        <w:ind w:right="319"/>
        <w:spacing w:after="0" w:line="271"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77" w:lineRule="exact"/>
        <w:rPr>
          <w:sz w:val="20"/>
          <w:szCs w:val="20"/>
          <w:color w:val="auto"/>
        </w:rPr>
      </w:pPr>
    </w:p>
    <w:p>
      <w:pPr>
        <w:jc w:val="both"/>
        <w:ind w:right="319"/>
        <w:spacing w:after="0" w:line="287" w:lineRule="auto"/>
        <w:rPr>
          <w:sz w:val="20"/>
          <w:szCs w:val="20"/>
          <w:color w:val="auto"/>
        </w:rPr>
      </w:pPr>
      <w:r>
        <w:rPr>
          <w:rFonts w:ascii="Arial" w:cs="Arial" w:eastAsia="Arial" w:hAnsi="Arial"/>
          <w:sz w:val="17"/>
          <w:szCs w:val="17"/>
          <w:color w:val="auto"/>
        </w:rPr>
        <w:t>This Annual Report on Form 10-K contains forward-looking statements, together with related data and projections, about the Company’s projected financial results and its future plans and strategies. However, actual results and needs of the Company may vary materially from forward-looking statements and projections made from time to time by the Company on the basis of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6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Agreements</w:t>
      </w:r>
    </w:p>
    <w:p>
      <w:pPr>
        <w:spacing w:after="0" w:line="236" w:lineRule="exact"/>
        <w:rPr>
          <w:sz w:val="20"/>
          <w:szCs w:val="20"/>
          <w:color w:val="auto"/>
        </w:rPr>
      </w:pPr>
    </w:p>
    <w:p>
      <w:pPr>
        <w:jc w:val="both"/>
        <w:ind w:right="319"/>
        <w:spacing w:after="0" w:line="251" w:lineRule="auto"/>
        <w:rPr>
          <w:sz w:val="20"/>
          <w:szCs w:val="20"/>
          <w:color w:val="auto"/>
        </w:rPr>
      </w:pPr>
      <w:r>
        <w:rPr>
          <w:rFonts w:ascii="Arial" w:cs="Arial" w:eastAsia="Arial" w:hAnsi="Arial"/>
          <w:sz w:val="19"/>
          <w:szCs w:val="19"/>
          <w:color w:val="auto"/>
        </w:rPr>
        <w:t>The Company has entered into commitments to fund construction and land development loans and has also provided financing for land acquisition and development. As of December 31, 2020, the Company’s commitments were approximately $185,751,000 for these loans, of which $115,898,000 had been funded. The Company advances funds once the work has been completed and an independent inspection is made. The maximum loan commitment ranges between 50% and 80% of appraised value. The Company receives fees and interest for these loans and the interest rate is generally fixed 5.50% to 8.00% per annum. Maturities generally range between six and eighteen months.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Contractual Obligations</w:t>
      </w:r>
    </w:p>
    <w:p>
      <w:pPr>
        <w:spacing w:after="0" w:line="236" w:lineRule="exact"/>
        <w:rPr>
          <w:sz w:val="20"/>
          <w:szCs w:val="20"/>
          <w:color w:val="auto"/>
        </w:rPr>
      </w:pPr>
    </w:p>
    <w:p>
      <w:pPr>
        <w:jc w:val="both"/>
        <w:ind w:right="339"/>
        <w:spacing w:after="0" w:line="276" w:lineRule="auto"/>
        <w:rPr>
          <w:sz w:val="20"/>
          <w:szCs w:val="20"/>
          <w:color w:val="auto"/>
        </w:rPr>
      </w:pPr>
      <w:r>
        <w:rPr>
          <w:rFonts w:ascii="Arial" w:cs="Arial" w:eastAsia="Arial" w:hAnsi="Arial"/>
          <w:sz w:val="19"/>
          <w:szCs w:val="19"/>
          <w:color w:val="auto"/>
        </w:rPr>
        <w:t>The Company’s contractual obligations as of December 31, 2020, and the payments due by period are shown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Less than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420"/>
              <w:spacing w:after="0"/>
              <w:rPr>
                <w:sz w:val="20"/>
                <w:szCs w:val="20"/>
                <w:color w:val="auto"/>
              </w:rPr>
            </w:pPr>
            <w:r>
              <w:rPr>
                <w:rFonts w:ascii="Arial" w:cs="Arial" w:eastAsia="Arial" w:hAnsi="Arial"/>
                <w:sz w:val="16"/>
                <w:szCs w:val="16"/>
                <w:color w:val="auto"/>
              </w:rPr>
              <w:t>over</w:t>
            </w:r>
          </w:p>
        </w:tc>
        <w:tc>
          <w:tcPr>
            <w:tcW w:w="1260" w:type="dxa"/>
            <w:vAlign w:val="bottom"/>
          </w:tcPr>
          <w:p>
            <w:pPr>
              <w:spacing w:after="0"/>
              <w:rPr>
                <w:sz w:val="17"/>
                <w:szCs w:val="17"/>
                <w:color w:val="auto"/>
              </w:rPr>
            </w:pPr>
          </w:p>
        </w:tc>
      </w:tr>
      <w:tr>
        <w:trPr>
          <w:trHeight w:val="214"/>
        </w:trPr>
        <w:tc>
          <w:tcPr>
            <w:tcW w:w="240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1 year</w:t>
            </w:r>
          </w:p>
        </w:tc>
        <w:tc>
          <w:tcPr>
            <w:tcW w:w="1260" w:type="dxa"/>
            <w:vAlign w:val="bottom"/>
            <w:gridSpan w:val="2"/>
          </w:tcPr>
          <w:p>
            <w:pPr>
              <w:ind w:left="240"/>
              <w:spacing w:after="0"/>
              <w:rPr>
                <w:sz w:val="20"/>
                <w:szCs w:val="20"/>
                <w:color w:val="auto"/>
              </w:rPr>
            </w:pPr>
            <w:r>
              <w:rPr>
                <w:rFonts w:ascii="Arial" w:cs="Arial" w:eastAsia="Arial" w:hAnsi="Arial"/>
                <w:sz w:val="16"/>
                <w:szCs w:val="16"/>
                <w:color w:val="auto"/>
              </w:rPr>
              <w:t>1-3 years</w:t>
            </w:r>
          </w:p>
        </w:tc>
        <w:tc>
          <w:tcPr>
            <w:tcW w:w="1240" w:type="dxa"/>
            <w:vAlign w:val="bottom"/>
            <w:gridSpan w:val="2"/>
          </w:tcPr>
          <w:p>
            <w:pPr>
              <w:ind w:left="240"/>
              <w:spacing w:after="0"/>
              <w:rPr>
                <w:sz w:val="20"/>
                <w:szCs w:val="20"/>
                <w:color w:val="auto"/>
              </w:rPr>
            </w:pPr>
            <w:r>
              <w:rPr>
                <w:rFonts w:ascii="Arial" w:cs="Arial" w:eastAsia="Arial" w:hAnsi="Arial"/>
                <w:sz w:val="16"/>
                <w:szCs w:val="16"/>
                <w:color w:val="auto"/>
              </w:rPr>
              <w:t>4-5 years</w:t>
            </w:r>
          </w:p>
        </w:tc>
        <w:tc>
          <w:tcPr>
            <w:tcW w:w="1340" w:type="dxa"/>
            <w:vAlign w:val="bottom"/>
            <w:gridSpan w:val="2"/>
          </w:tcPr>
          <w:p>
            <w:pPr>
              <w:ind w:left="360"/>
              <w:spacing w:after="0"/>
              <w:rPr>
                <w:sz w:val="20"/>
                <w:szCs w:val="20"/>
                <w:color w:val="auto"/>
              </w:rPr>
            </w:pPr>
            <w:r>
              <w:rPr>
                <w:rFonts w:ascii="Arial" w:cs="Arial" w:eastAsia="Arial" w:hAnsi="Arial"/>
                <w:sz w:val="16"/>
                <w:szCs w:val="16"/>
                <w:color w:val="auto"/>
              </w:rPr>
              <w:t>5 years</w:t>
            </w:r>
          </w:p>
        </w:tc>
        <w:tc>
          <w:tcPr>
            <w:tcW w:w="1260" w:type="dxa"/>
            <w:vAlign w:val="bottom"/>
          </w:tcPr>
          <w:p>
            <w:pPr>
              <w:jc w:val="right"/>
              <w:ind w:right="401"/>
              <w:spacing w:after="0"/>
              <w:rPr>
                <w:sz w:val="20"/>
                <w:szCs w:val="20"/>
                <w:color w:val="auto"/>
              </w:rPr>
            </w:pPr>
            <w:r>
              <w:rPr>
                <w:rFonts w:ascii="Arial" w:cs="Arial" w:eastAsia="Arial" w:hAnsi="Arial"/>
                <w:sz w:val="16"/>
                <w:szCs w:val="16"/>
                <w:color w:val="auto"/>
              </w:rPr>
              <w:t>Total</w:t>
            </w:r>
          </w:p>
        </w:tc>
      </w:tr>
      <w:tr>
        <w:trPr>
          <w:trHeight w:val="224"/>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Bank and other loans payable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284,242,327</w:t>
            </w:r>
          </w:p>
        </w:tc>
        <w:tc>
          <w:tcPr>
            <w:tcW w:w="1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1,810,569</w:t>
            </w:r>
          </w:p>
        </w:tc>
        <w:tc>
          <w:tcPr>
            <w:tcW w:w="1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2,571,472</w:t>
            </w: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1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297,824,368</w:t>
            </w:r>
          </w:p>
        </w:tc>
      </w:tr>
      <w:tr>
        <w:trPr>
          <w:trHeight w:val="214"/>
        </w:trPr>
        <w:tc>
          <w:tcPr>
            <w:tcW w:w="2400" w:type="dxa"/>
            <w:vAlign w:val="bottom"/>
          </w:tcPr>
          <w:p>
            <w:pPr>
              <w:spacing w:after="0"/>
              <w:rPr>
                <w:sz w:val="20"/>
                <w:szCs w:val="20"/>
                <w:color w:val="auto"/>
              </w:rPr>
            </w:pPr>
            <w:r>
              <w:rPr>
                <w:rFonts w:ascii="Arial" w:cs="Arial" w:eastAsia="Arial" w:hAnsi="Arial"/>
                <w:sz w:val="16"/>
                <w:szCs w:val="16"/>
                <w:color w:val="auto"/>
              </w:rPr>
              <w:t>Non-cancelable operating leases</w:t>
            </w:r>
          </w:p>
        </w:tc>
        <w:tc>
          <w:tcPr>
            <w:tcW w:w="1180" w:type="dxa"/>
            <w:vAlign w:val="bottom"/>
          </w:tcPr>
          <w:p>
            <w:pPr>
              <w:jc w:val="right"/>
              <w:spacing w:after="0"/>
              <w:rPr>
                <w:sz w:val="20"/>
                <w:szCs w:val="20"/>
                <w:color w:val="auto"/>
              </w:rPr>
            </w:pPr>
            <w:r>
              <w:rPr>
                <w:rFonts w:ascii="Arial" w:cs="Arial" w:eastAsia="Arial" w:hAnsi="Arial"/>
                <w:sz w:val="16"/>
                <w:szCs w:val="16"/>
                <w:color w:val="auto"/>
              </w:rPr>
              <w:t>4,344,756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5,092,299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2,405,450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2,938,906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14,781,411</w:t>
            </w:r>
          </w:p>
        </w:tc>
      </w:tr>
      <w:tr>
        <w:trPr>
          <w:trHeight w:val="227"/>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Future policy benefits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11,428,444</w:t>
            </w:r>
          </w:p>
        </w:tc>
        <w:tc>
          <w:tcPr>
            <w:tcW w:w="1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37,020,154</w:t>
            </w:r>
          </w:p>
        </w:tc>
        <w:tc>
          <w:tcPr>
            <w:tcW w:w="1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51,077,675</w:t>
            </w:r>
          </w:p>
        </w:tc>
        <w:tc>
          <w:tcPr>
            <w:tcW w:w="1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728,904,251</w:t>
            </w:r>
          </w:p>
        </w:tc>
        <w:tc>
          <w:tcPr>
            <w:tcW w:w="1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828,430,524</w:t>
            </w:r>
          </w:p>
        </w:tc>
      </w:tr>
      <w:tr>
        <w:trPr>
          <w:trHeight w:val="217"/>
        </w:trPr>
        <w:tc>
          <w:tcPr>
            <w:tcW w:w="24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$ 300,015,527</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$ 43,923,022</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$ 56,054,597</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$ 741,043,157</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$ 1,141,036,303</w:t>
            </w:r>
          </w:p>
        </w:tc>
      </w:tr>
      <w:tr>
        <w:trPr>
          <w:trHeight w:val="20"/>
        </w:trPr>
        <w:tc>
          <w:tcPr>
            <w:tcW w:w="2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20" w:hanging="467"/>
        <w:spacing w:after="0"/>
        <w:tabs>
          <w:tab w:leader="none" w:pos="6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Amounts represent the present value of future policy benefits, net of estimated future premiums.</w:t>
      </w:r>
    </w:p>
    <w:p>
      <w:pPr>
        <w:spacing w:after="0" w:line="260" w:lineRule="exact"/>
        <w:rPr>
          <w:rFonts w:ascii="Arial" w:cs="Arial" w:eastAsia="Arial" w:hAnsi="Arial"/>
          <w:sz w:val="19"/>
          <w:szCs w:val="19"/>
          <w:color w:val="auto"/>
        </w:rPr>
      </w:pPr>
    </w:p>
    <w:p>
      <w:pPr>
        <w:ind w:left="4340"/>
        <w:spacing w:after="0"/>
        <w:rPr>
          <w:rFonts w:ascii="Arial" w:cs="Arial" w:eastAsia="Arial" w:hAnsi="Arial"/>
          <w:sz w:val="19"/>
          <w:szCs w:val="19"/>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Casualty Insurance Program</w:t>
      </w:r>
    </w:p>
    <w:p>
      <w:pPr>
        <w:spacing w:after="0" w:line="235" w:lineRule="exact"/>
        <w:rPr>
          <w:sz w:val="20"/>
          <w:szCs w:val="20"/>
          <w:color w:val="auto"/>
        </w:rPr>
      </w:pPr>
    </w:p>
    <w:p>
      <w:pPr>
        <w:jc w:val="both"/>
        <w:ind w:right="319"/>
        <w:spacing w:after="0" w:line="265" w:lineRule="auto"/>
        <w:rPr>
          <w:sz w:val="20"/>
          <w:szCs w:val="20"/>
          <w:color w:val="auto"/>
        </w:rPr>
      </w:pPr>
      <w:r>
        <w:rPr>
          <w:rFonts w:ascii="Arial" w:cs="Arial" w:eastAsia="Arial" w:hAnsi="Arial"/>
          <w:sz w:val="18"/>
          <w:szCs w:val="18"/>
          <w:color w:val="auto"/>
        </w:rPr>
        <w:t>In conjunction with the Company’s casualty insurance program, limited equity interests are held in a captive insurance entity. This program permits the Company to self-insure a portion of losses, to gain access to a wide array of safety-related services, to pool insurance risks and resources in order to obtain more competitive pricing for administration and reinsurance and to limit its risk of loss in any particular year. The maximum exposure to loss related to the Company’s involvement with this entity is limited to approximately $348,183, which is collateralized under a standby letter of credit issued on the insurance entity’s behalf. See Note 10, “Reinsurance, Commitments and Contingencies,” for additional discussion of commitments associated with the insurance program. The Company does not expect any material losses to result from the issuance of the standby letter of credit because claims are not expected to exceed premiums paid.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36" w:lineRule="exact"/>
        <w:rPr>
          <w:sz w:val="20"/>
          <w:szCs w:val="20"/>
          <w:color w:val="auto"/>
        </w:rPr>
      </w:pPr>
    </w:p>
    <w:p>
      <w:pPr>
        <w:jc w:val="both"/>
        <w:ind w:right="319"/>
        <w:spacing w:after="0" w:line="276" w:lineRule="auto"/>
        <w:rPr>
          <w:sz w:val="20"/>
          <w:szCs w:val="20"/>
          <w:color w:val="auto"/>
        </w:rPr>
      </w:pPr>
      <w:r>
        <w:rPr>
          <w:rFonts w:ascii="Arial" w:cs="Arial" w:eastAsia="Arial" w:hAnsi="Arial"/>
          <w:sz w:val="19"/>
          <w:szCs w:val="19"/>
          <w:color w:val="auto"/>
        </w:rPr>
        <w:t>As a smaller reporting company, the Company is not required to provide information typically disclosed under this item.</w:t>
      </w: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ectPr>
          <w:pgSz w:w="11900" w:h="16838" w:orient="portrait"/>
          <w:cols w:equalWidth="0" w:num="1">
            <w:col w:w="9179"/>
          </w:cols>
          <w:pgMar w:left="1280" w:top="118" w:right="1440" w:bottom="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color w:val="auto"/>
        </w:rPr>
        <w:t>INDEX TO CONSOLIDATED FINANCIAL STATEMENTS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ind w:left="60"/>
              <w:spacing w:after="0"/>
              <w:rPr>
                <w:sz w:val="20"/>
                <w:szCs w:val="20"/>
                <w:color w:val="auto"/>
              </w:rPr>
            </w:pPr>
            <w:r>
              <w:rPr>
                <w:rFonts w:ascii="Arial" w:cs="Arial" w:eastAsia="Arial" w:hAnsi="Arial"/>
                <w:sz w:val="19"/>
                <w:szCs w:val="19"/>
                <w:color w:val="auto"/>
              </w:rPr>
              <w:t>Page No.</w:t>
            </w:r>
          </w:p>
        </w:tc>
      </w:tr>
      <w:tr>
        <w:trPr>
          <w:trHeight w:val="253"/>
        </w:trPr>
        <w:tc>
          <w:tcPr>
            <w:tcW w:w="7860" w:type="dxa"/>
            <w:vAlign w:val="bottom"/>
            <w:gridSpan w:val="9"/>
          </w:tcPr>
          <w:p>
            <w:pPr>
              <w:spacing w:after="0"/>
              <w:rPr>
                <w:sz w:val="20"/>
                <w:szCs w:val="20"/>
                <w:color w:val="auto"/>
              </w:rPr>
            </w:pPr>
            <w:r>
              <w:rPr>
                <w:rFonts w:ascii="Arial" w:cs="Arial" w:eastAsia="Arial" w:hAnsi="Arial"/>
                <w:sz w:val="19"/>
                <w:szCs w:val="19"/>
                <w:color w:val="auto"/>
              </w:rPr>
              <w:t>Financial Statements:</w:t>
            </w:r>
          </w:p>
        </w:tc>
        <w:tc>
          <w:tcPr>
            <w:tcW w:w="6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48"/>
        </w:trPr>
        <w:tc>
          <w:tcPr>
            <w:tcW w:w="38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0000FF"/>
            </w:tcBorders>
            <w:gridSpan w:val="3"/>
            <w:shd w:val="clear" w:color="auto" w:fill="CCEEFF"/>
          </w:tcPr>
          <w:p>
            <w:pPr>
              <w:spacing w:after="0"/>
              <w:rPr>
                <w:rFonts w:ascii="Arial" w:cs="Arial" w:eastAsia="Arial" w:hAnsi="Arial"/>
                <w:sz w:val="19"/>
                <w:szCs w:val="19"/>
                <w:color w:val="0000EE"/>
                <w:w w:val="93"/>
              </w:rPr>
            </w:pPr>
            <w:hyperlink w:anchor="page34">
              <w:r>
                <w:rPr>
                  <w:rFonts w:ascii="Arial" w:cs="Arial" w:eastAsia="Arial" w:hAnsi="Arial"/>
                  <w:sz w:val="19"/>
                  <w:szCs w:val="19"/>
                  <w:color w:val="0000EE"/>
                  <w:w w:val="93"/>
                </w:rPr>
                <w:t>Report of Independent Registered Public Accounting Firm</w:t>
              </w:r>
            </w:hyperlink>
          </w:p>
        </w:tc>
        <w:tc>
          <w:tcPr>
            <w:tcW w:w="2940" w:type="dxa"/>
            <w:vAlign w:val="bottom"/>
            <w:tcBorders>
              <w:bottom w:val="single" w:sz="8" w:color="CCEEFF"/>
            </w:tcBorders>
            <w:gridSpan w:val="5"/>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1"/>
        </w:trPr>
        <w:tc>
          <w:tcPr>
            <w:tcW w:w="380" w:type="dxa"/>
            <w:vAlign w:val="bottom"/>
          </w:tcPr>
          <w:p>
            <w:pPr>
              <w:spacing w:after="0"/>
              <w:rPr>
                <w:sz w:val="20"/>
                <w:szCs w:val="20"/>
                <w:color w:val="auto"/>
              </w:rPr>
            </w:pPr>
          </w:p>
        </w:tc>
        <w:tc>
          <w:tcPr>
            <w:tcW w:w="4620" w:type="dxa"/>
            <w:vAlign w:val="bottom"/>
            <w:tcBorders>
              <w:bottom w:val="single" w:sz="8" w:color="0000FF"/>
            </w:tcBorders>
            <w:gridSpan w:val="4"/>
          </w:tcPr>
          <w:p>
            <w:pPr>
              <w:spacing w:after="0"/>
              <w:rPr>
                <w:rFonts w:ascii="Arial" w:cs="Arial" w:eastAsia="Arial" w:hAnsi="Arial"/>
                <w:sz w:val="19"/>
                <w:szCs w:val="19"/>
                <w:color w:val="0000EE"/>
                <w:w w:val="89"/>
              </w:rPr>
            </w:pPr>
            <w:hyperlink w:anchor="page36">
              <w:r>
                <w:rPr>
                  <w:rFonts w:ascii="Arial" w:cs="Arial" w:eastAsia="Arial" w:hAnsi="Arial"/>
                  <w:sz w:val="19"/>
                  <w:szCs w:val="19"/>
                  <w:color w:val="0000EE"/>
                  <w:w w:val="89"/>
                </w:rPr>
                <w:t>Consolidated Balance Sheets, December 31, 2020 and 2019</w:t>
              </w:r>
            </w:hyperlink>
          </w:p>
        </w:tc>
        <w:tc>
          <w:tcPr>
            <w:tcW w:w="2860" w:type="dxa"/>
            <w:vAlign w:val="bottom"/>
            <w:gridSpan w:val="4"/>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36</w:t>
            </w:r>
          </w:p>
        </w:tc>
        <w:tc>
          <w:tcPr>
            <w:tcW w:w="220" w:type="dxa"/>
            <w:vAlign w:val="bottom"/>
          </w:tcPr>
          <w:p>
            <w:pPr>
              <w:spacing w:after="0"/>
              <w:rPr>
                <w:sz w:val="20"/>
                <w:szCs w:val="20"/>
                <w:color w:val="auto"/>
              </w:rPr>
            </w:pPr>
          </w:p>
        </w:tc>
      </w:tr>
      <w:tr>
        <w:trPr>
          <w:trHeight w:val="224"/>
        </w:trPr>
        <w:tc>
          <w:tcPr>
            <w:tcW w:w="380" w:type="dxa"/>
            <w:vAlign w:val="bottom"/>
            <w:shd w:val="clear" w:color="auto" w:fill="CCEEFF"/>
          </w:tcPr>
          <w:p>
            <w:pPr>
              <w:spacing w:after="0"/>
              <w:rPr>
                <w:sz w:val="19"/>
                <w:szCs w:val="19"/>
                <w:color w:val="auto"/>
              </w:rPr>
            </w:pPr>
          </w:p>
        </w:tc>
        <w:tc>
          <w:tcPr>
            <w:tcW w:w="7480" w:type="dxa"/>
            <w:vAlign w:val="bottom"/>
            <w:gridSpan w:val="8"/>
            <w:shd w:val="clear" w:color="auto" w:fill="CCEEFF"/>
          </w:tcPr>
          <w:p>
            <w:pPr>
              <w:spacing w:after="0"/>
              <w:rPr>
                <w:rFonts w:ascii="Arial" w:cs="Arial" w:eastAsia="Arial" w:hAnsi="Arial"/>
                <w:sz w:val="19"/>
                <w:szCs w:val="19"/>
                <w:color w:val="0000EE"/>
              </w:rPr>
            </w:pPr>
            <w:hyperlink w:anchor="page38">
              <w:r>
                <w:rPr>
                  <w:rFonts w:ascii="Arial" w:cs="Arial" w:eastAsia="Arial" w:hAnsi="Arial"/>
                  <w:sz w:val="19"/>
                  <w:szCs w:val="19"/>
                  <w:color w:val="0000EE"/>
                </w:rPr>
                <w:t>Consolidated Statements of Earnings for the Years Ended December 31, 2020 and 2019</w:t>
              </w:r>
            </w:hyperlink>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38</w:t>
            </w:r>
          </w:p>
        </w:tc>
        <w:tc>
          <w:tcPr>
            <w:tcW w:w="220" w:type="dxa"/>
            <w:vAlign w:val="bottom"/>
            <w:shd w:val="clear" w:color="auto" w:fill="CCEEFF"/>
          </w:tcPr>
          <w:p>
            <w:pPr>
              <w:spacing w:after="0"/>
              <w:rPr>
                <w:sz w:val="19"/>
                <w:szCs w:val="19"/>
                <w:color w:val="auto"/>
              </w:rPr>
            </w:pPr>
          </w:p>
        </w:tc>
      </w:tr>
      <w:tr>
        <w:trPr>
          <w:trHeight w:val="26"/>
        </w:trPr>
        <w:tc>
          <w:tcPr>
            <w:tcW w:w="3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14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4"/>
        </w:trPr>
        <w:tc>
          <w:tcPr>
            <w:tcW w:w="380" w:type="dxa"/>
            <w:vAlign w:val="bottom"/>
          </w:tcPr>
          <w:p>
            <w:pPr>
              <w:spacing w:after="0"/>
              <w:rPr>
                <w:sz w:val="19"/>
                <w:szCs w:val="19"/>
                <w:color w:val="auto"/>
              </w:rPr>
            </w:pPr>
          </w:p>
        </w:tc>
        <w:tc>
          <w:tcPr>
            <w:tcW w:w="7480" w:type="dxa"/>
            <w:vAlign w:val="bottom"/>
            <w:tcBorders>
              <w:bottom w:val="single" w:sz="8" w:color="0000FF"/>
            </w:tcBorders>
            <w:gridSpan w:val="8"/>
          </w:tcPr>
          <w:p>
            <w:pPr>
              <w:spacing w:after="0"/>
              <w:rPr>
                <w:rFonts w:ascii="Arial" w:cs="Arial" w:eastAsia="Arial" w:hAnsi="Arial"/>
                <w:sz w:val="19"/>
                <w:szCs w:val="19"/>
                <w:color w:val="0000EE"/>
                <w:w w:val="90"/>
              </w:rPr>
            </w:pPr>
            <w:hyperlink w:anchor="page38">
              <w:r>
                <w:rPr>
                  <w:rFonts w:ascii="Arial" w:cs="Arial" w:eastAsia="Arial" w:hAnsi="Arial"/>
                  <w:sz w:val="19"/>
                  <w:szCs w:val="19"/>
                  <w:color w:val="0000EE"/>
                  <w:w w:val="90"/>
                </w:rPr>
                <w:t>Consolidated Statements of Comprehensive Income for the Years Ended December 31, 2020 and</w:t>
              </w:r>
            </w:hyperlink>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39</w:t>
            </w:r>
          </w:p>
        </w:tc>
        <w:tc>
          <w:tcPr>
            <w:tcW w:w="220" w:type="dxa"/>
            <w:vAlign w:val="bottom"/>
          </w:tcPr>
          <w:p>
            <w:pPr>
              <w:spacing w:after="0"/>
              <w:rPr>
                <w:sz w:val="19"/>
                <w:szCs w:val="19"/>
                <w:color w:val="auto"/>
              </w:rPr>
            </w:pPr>
          </w:p>
        </w:tc>
      </w:tr>
      <w:tr>
        <w:trPr>
          <w:trHeight w:val="204"/>
        </w:trPr>
        <w:tc>
          <w:tcPr>
            <w:tcW w:w="380" w:type="dxa"/>
            <w:vAlign w:val="bottom"/>
          </w:tcPr>
          <w:p>
            <w:pPr>
              <w:spacing w:after="0"/>
              <w:rPr>
                <w:sz w:val="17"/>
                <w:szCs w:val="17"/>
                <w:color w:val="auto"/>
              </w:rPr>
            </w:pPr>
          </w:p>
        </w:tc>
        <w:tc>
          <w:tcPr>
            <w:tcW w:w="3380" w:type="dxa"/>
            <w:vAlign w:val="bottom"/>
            <w:gridSpan w:val="2"/>
          </w:tcPr>
          <w:p>
            <w:pPr>
              <w:spacing w:after="0" w:line="204" w:lineRule="exact"/>
              <w:rPr>
                <w:rFonts w:ascii="Arial" w:cs="Arial" w:eastAsia="Arial" w:hAnsi="Arial"/>
                <w:sz w:val="19"/>
                <w:szCs w:val="19"/>
                <w:color w:val="0000EE"/>
              </w:rPr>
            </w:pPr>
            <w:hyperlink w:anchor="page38">
              <w:r>
                <w:rPr>
                  <w:rFonts w:ascii="Arial" w:cs="Arial" w:eastAsia="Arial" w:hAnsi="Arial"/>
                  <w:sz w:val="19"/>
                  <w:szCs w:val="19"/>
                  <w:color w:val="0000EE"/>
                </w:rPr>
                <w:t>2019</w:t>
              </w:r>
            </w:hyperlink>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
        </w:trPr>
        <w:tc>
          <w:tcPr>
            <w:tcW w:w="3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4"/>
        </w:trPr>
        <w:tc>
          <w:tcPr>
            <w:tcW w:w="380" w:type="dxa"/>
            <w:vAlign w:val="bottom"/>
            <w:shd w:val="clear" w:color="auto" w:fill="CCEEFF"/>
          </w:tcPr>
          <w:p>
            <w:pPr>
              <w:spacing w:after="0"/>
              <w:rPr>
                <w:sz w:val="19"/>
                <w:szCs w:val="19"/>
                <w:color w:val="auto"/>
              </w:rPr>
            </w:pPr>
          </w:p>
        </w:tc>
        <w:tc>
          <w:tcPr>
            <w:tcW w:w="7480" w:type="dxa"/>
            <w:vAlign w:val="bottom"/>
            <w:gridSpan w:val="8"/>
            <w:shd w:val="clear" w:color="auto" w:fill="CCEEFF"/>
          </w:tcPr>
          <w:p>
            <w:pPr>
              <w:spacing w:after="0"/>
              <w:rPr>
                <w:rFonts w:ascii="Arial" w:cs="Arial" w:eastAsia="Arial" w:hAnsi="Arial"/>
                <w:sz w:val="19"/>
                <w:szCs w:val="19"/>
                <w:color w:val="0000EE"/>
                <w:w w:val="93"/>
              </w:rPr>
            </w:pPr>
            <w:hyperlink w:anchor="page40">
              <w:r>
                <w:rPr>
                  <w:rFonts w:ascii="Arial" w:cs="Arial" w:eastAsia="Arial" w:hAnsi="Arial"/>
                  <w:sz w:val="19"/>
                  <w:szCs w:val="19"/>
                  <w:color w:val="0000EE"/>
                  <w:w w:val="93"/>
                </w:rPr>
                <w:t>Consolidated Statements of Stockholders’ Equity for the Years Ended December 31, 2020 and</w:t>
              </w:r>
            </w:hyperlink>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40</w:t>
            </w:r>
          </w:p>
        </w:tc>
        <w:tc>
          <w:tcPr>
            <w:tcW w:w="220" w:type="dxa"/>
            <w:vAlign w:val="bottom"/>
            <w:shd w:val="clear" w:color="auto" w:fill="CCEEFF"/>
          </w:tcPr>
          <w:p>
            <w:pPr>
              <w:spacing w:after="0"/>
              <w:rPr>
                <w:sz w:val="19"/>
                <w:szCs w:val="19"/>
                <w:color w:val="auto"/>
              </w:rPr>
            </w:pPr>
          </w:p>
        </w:tc>
      </w:tr>
      <w:tr>
        <w:trPr>
          <w:trHeight w:val="204"/>
        </w:trPr>
        <w:tc>
          <w:tcPr>
            <w:tcW w:w="38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0000FF"/>
            </w:tcBorders>
            <w:gridSpan w:val="2"/>
            <w:shd w:val="clear" w:color="auto" w:fill="CCEEFF"/>
          </w:tcPr>
          <w:p>
            <w:pPr>
              <w:spacing w:after="0" w:line="204" w:lineRule="exact"/>
              <w:rPr>
                <w:rFonts w:ascii="Arial" w:cs="Arial" w:eastAsia="Arial" w:hAnsi="Arial"/>
                <w:sz w:val="19"/>
                <w:szCs w:val="19"/>
                <w:color w:val="0000EE"/>
              </w:rPr>
            </w:pPr>
            <w:hyperlink w:anchor="page40">
              <w:r>
                <w:rPr>
                  <w:rFonts w:ascii="Arial" w:cs="Arial" w:eastAsia="Arial" w:hAnsi="Arial"/>
                  <w:sz w:val="19"/>
                  <w:szCs w:val="19"/>
                  <w:color w:val="0000EE"/>
                </w:rPr>
                <w:t>2019</w:t>
              </w:r>
            </w:hyperlink>
          </w:p>
        </w:tc>
        <w:tc>
          <w:tcPr>
            <w:tcW w:w="1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14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6"/>
        </w:trPr>
        <w:tc>
          <w:tcPr>
            <w:tcW w:w="3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1"/>
        </w:trPr>
        <w:tc>
          <w:tcPr>
            <w:tcW w:w="380" w:type="dxa"/>
            <w:vAlign w:val="bottom"/>
          </w:tcPr>
          <w:p>
            <w:pPr>
              <w:spacing w:after="0"/>
              <w:rPr>
                <w:sz w:val="20"/>
                <w:szCs w:val="20"/>
                <w:color w:val="auto"/>
              </w:rPr>
            </w:pPr>
          </w:p>
        </w:tc>
        <w:tc>
          <w:tcPr>
            <w:tcW w:w="7480" w:type="dxa"/>
            <w:vAlign w:val="bottom"/>
            <w:gridSpan w:val="8"/>
          </w:tcPr>
          <w:p>
            <w:pPr>
              <w:spacing w:after="0"/>
              <w:rPr>
                <w:rFonts w:ascii="Arial" w:cs="Arial" w:eastAsia="Arial" w:hAnsi="Arial"/>
                <w:sz w:val="19"/>
                <w:szCs w:val="19"/>
                <w:color w:val="0000EE"/>
                <w:w w:val="97"/>
              </w:rPr>
            </w:pPr>
            <w:hyperlink w:anchor="page40">
              <w:r>
                <w:rPr>
                  <w:rFonts w:ascii="Arial" w:cs="Arial" w:eastAsia="Arial" w:hAnsi="Arial"/>
                  <w:sz w:val="19"/>
                  <w:szCs w:val="19"/>
                  <w:color w:val="0000EE"/>
                  <w:w w:val="97"/>
                </w:rPr>
                <w:t>Consolidated Statements of Cash Flows for the Years Ended December 31, 2020 and 2019</w:t>
              </w:r>
            </w:hyperlink>
          </w:p>
        </w:tc>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41</w:t>
            </w:r>
          </w:p>
        </w:tc>
        <w:tc>
          <w:tcPr>
            <w:tcW w:w="220" w:type="dxa"/>
            <w:vAlign w:val="bottom"/>
          </w:tcPr>
          <w:p>
            <w:pPr>
              <w:spacing w:after="0"/>
              <w:rPr>
                <w:sz w:val="20"/>
                <w:szCs w:val="20"/>
                <w:color w:val="auto"/>
              </w:rPr>
            </w:pPr>
          </w:p>
        </w:tc>
      </w:tr>
      <w:tr>
        <w:trPr>
          <w:trHeight w:val="231"/>
        </w:trPr>
        <w:tc>
          <w:tcPr>
            <w:tcW w:w="38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top w:val="single" w:sz="8" w:color="0000FF"/>
              <w:bottom w:val="single" w:sz="8" w:color="0000FF"/>
            </w:tcBorders>
            <w:gridSpan w:val="2"/>
            <w:shd w:val="clear" w:color="auto" w:fill="CCEEFF"/>
          </w:tcPr>
          <w:p>
            <w:pPr>
              <w:spacing w:after="0"/>
              <w:rPr>
                <w:rFonts w:ascii="Arial" w:cs="Arial" w:eastAsia="Arial" w:hAnsi="Arial"/>
                <w:sz w:val="19"/>
                <w:szCs w:val="19"/>
                <w:color w:val="0000EE"/>
                <w:w w:val="90"/>
              </w:rPr>
            </w:pPr>
            <w:hyperlink w:anchor="page43">
              <w:r>
                <w:rPr>
                  <w:rFonts w:ascii="Arial" w:cs="Arial" w:eastAsia="Arial" w:hAnsi="Arial"/>
                  <w:sz w:val="19"/>
                  <w:szCs w:val="19"/>
                  <w:color w:val="0000EE"/>
                  <w:w w:val="90"/>
                </w:rPr>
                <w:t>Notes to Consolidated Financial Statements</w:t>
              </w:r>
            </w:hyperlink>
          </w:p>
        </w:tc>
        <w:tc>
          <w:tcPr>
            <w:tcW w:w="360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43</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461"/>
        </w:trPr>
        <w:tc>
          <w:tcPr>
            <w:tcW w:w="4920" w:type="dxa"/>
            <w:vAlign w:val="bottom"/>
            <w:gridSpan w:val="4"/>
          </w:tcPr>
          <w:p>
            <w:pPr>
              <w:jc w:val="right"/>
              <w:ind w:right="4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5"/>
        </w:trPr>
        <w:tc>
          <w:tcPr>
            <w:tcW w:w="380" w:type="dxa"/>
            <w:vAlign w:val="bottom"/>
            <w:tcBorders>
              <w:bottom w:val="single" w:sz="8" w:color="909090"/>
            </w:tcBorders>
          </w:tcPr>
          <w:p>
            <w:pPr>
              <w:spacing w:after="0"/>
              <w:rPr>
                <w:sz w:val="14"/>
                <w:szCs w:val="14"/>
                <w:color w:val="auto"/>
              </w:rPr>
            </w:pPr>
          </w:p>
        </w:tc>
        <w:tc>
          <w:tcPr>
            <w:tcW w:w="380" w:type="dxa"/>
            <w:vAlign w:val="bottom"/>
            <w:tcBorders>
              <w:bottom w:val="single" w:sz="8" w:color="909090"/>
            </w:tcBorders>
          </w:tcPr>
          <w:p>
            <w:pPr>
              <w:spacing w:after="0"/>
              <w:rPr>
                <w:sz w:val="14"/>
                <w:szCs w:val="14"/>
                <w:color w:val="auto"/>
              </w:rPr>
            </w:pPr>
          </w:p>
        </w:tc>
        <w:tc>
          <w:tcPr>
            <w:tcW w:w="3000" w:type="dxa"/>
            <w:vAlign w:val="bottom"/>
            <w:tcBorders>
              <w:bottom w:val="single" w:sz="8" w:color="909090"/>
            </w:tcBorders>
          </w:tcPr>
          <w:p>
            <w:pPr>
              <w:spacing w:after="0"/>
              <w:rPr>
                <w:sz w:val="14"/>
                <w:szCs w:val="14"/>
                <w:color w:val="auto"/>
              </w:rPr>
            </w:pPr>
          </w:p>
        </w:tc>
        <w:tc>
          <w:tcPr>
            <w:tcW w:w="1160" w:type="dxa"/>
            <w:vAlign w:val="bottom"/>
            <w:tcBorders>
              <w:bottom w:val="single" w:sz="8" w:color="909090"/>
            </w:tcBorders>
          </w:tcPr>
          <w:p>
            <w:pPr>
              <w:spacing w:after="0"/>
              <w:rPr>
                <w:sz w:val="14"/>
                <w:szCs w:val="14"/>
                <w:color w:val="auto"/>
              </w:rPr>
            </w:pPr>
          </w:p>
        </w:tc>
        <w:tc>
          <w:tcPr>
            <w:tcW w:w="80" w:type="dxa"/>
            <w:vAlign w:val="bottom"/>
            <w:tcBorders>
              <w:bottom w:val="single" w:sz="8" w:color="909090"/>
            </w:tcBorders>
          </w:tcPr>
          <w:p>
            <w:pPr>
              <w:spacing w:after="0"/>
              <w:rPr>
                <w:sz w:val="14"/>
                <w:szCs w:val="14"/>
                <w:color w:val="auto"/>
              </w:rPr>
            </w:pPr>
          </w:p>
        </w:tc>
        <w:tc>
          <w:tcPr>
            <w:tcW w:w="2140" w:type="dxa"/>
            <w:vAlign w:val="bottom"/>
            <w:tcBorders>
              <w:bottom w:val="single" w:sz="8" w:color="909090"/>
            </w:tcBorders>
          </w:tcPr>
          <w:p>
            <w:pPr>
              <w:spacing w:after="0"/>
              <w:rPr>
                <w:sz w:val="14"/>
                <w:szCs w:val="14"/>
                <w:color w:val="auto"/>
              </w:rPr>
            </w:pPr>
          </w:p>
        </w:tc>
        <w:tc>
          <w:tcPr>
            <w:tcW w:w="220" w:type="dxa"/>
            <w:vAlign w:val="bottom"/>
            <w:tcBorders>
              <w:bottom w:val="single" w:sz="8" w:color="909090"/>
            </w:tcBorders>
          </w:tcPr>
          <w:p>
            <w:pPr>
              <w:spacing w:after="0"/>
              <w:rPr>
                <w:sz w:val="14"/>
                <w:szCs w:val="14"/>
                <w:color w:val="auto"/>
              </w:rPr>
            </w:pPr>
          </w:p>
        </w:tc>
        <w:tc>
          <w:tcPr>
            <w:tcW w:w="300" w:type="dxa"/>
            <w:vAlign w:val="bottom"/>
            <w:tcBorders>
              <w:bottom w:val="single" w:sz="8" w:color="909090"/>
            </w:tcBorders>
          </w:tcPr>
          <w:p>
            <w:pPr>
              <w:spacing w:after="0"/>
              <w:rPr>
                <w:sz w:val="14"/>
                <w:szCs w:val="14"/>
                <w:color w:val="auto"/>
              </w:rPr>
            </w:pPr>
          </w:p>
        </w:tc>
        <w:tc>
          <w:tcPr>
            <w:tcW w:w="200" w:type="dxa"/>
            <w:vAlign w:val="bottom"/>
            <w:tcBorders>
              <w:bottom w:val="single" w:sz="8" w:color="909090"/>
            </w:tcBorders>
          </w:tcPr>
          <w:p>
            <w:pPr>
              <w:spacing w:after="0"/>
              <w:rPr>
                <w:sz w:val="14"/>
                <w:szCs w:val="14"/>
                <w:color w:val="auto"/>
              </w:rPr>
            </w:pPr>
          </w:p>
        </w:tc>
        <w:tc>
          <w:tcPr>
            <w:tcW w:w="60" w:type="dxa"/>
            <w:vAlign w:val="bottom"/>
            <w:tcBorders>
              <w:bottom w:val="single" w:sz="8" w:color="909090"/>
            </w:tcBorders>
          </w:tcPr>
          <w:p>
            <w:pPr>
              <w:spacing w:after="0"/>
              <w:rPr>
                <w:sz w:val="14"/>
                <w:szCs w:val="14"/>
                <w:color w:val="auto"/>
              </w:rPr>
            </w:pPr>
          </w:p>
        </w:tc>
        <w:tc>
          <w:tcPr>
            <w:tcW w:w="720" w:type="dxa"/>
            <w:vAlign w:val="bottom"/>
            <w:tcBorders>
              <w:bottom w:val="single" w:sz="8" w:color="909090"/>
            </w:tcBorders>
          </w:tcPr>
          <w:p>
            <w:pPr>
              <w:spacing w:after="0"/>
              <w:rPr>
                <w:sz w:val="14"/>
                <w:szCs w:val="14"/>
                <w:color w:val="auto"/>
              </w:rPr>
            </w:pPr>
          </w:p>
        </w:tc>
        <w:tc>
          <w:tcPr>
            <w:tcW w:w="220" w:type="dxa"/>
            <w:vAlign w:val="bottom"/>
            <w:tcBorders>
              <w:bottom w:val="single" w:sz="8" w:color="909090"/>
            </w:tcBorders>
          </w:tcPr>
          <w:p>
            <w:pPr>
              <w:spacing w:after="0"/>
              <w:rPr>
                <w:sz w:val="14"/>
                <w:szCs w:val="14"/>
                <w:color w:val="auto"/>
              </w:rPr>
            </w:pPr>
          </w:p>
        </w:tc>
      </w:tr>
    </w:tbl>
    <w:p>
      <w:pPr>
        <w:sectPr>
          <w:pgSz w:w="11900" w:h="16838" w:orient="portrait"/>
          <w:cols w:equalWidth="0" w:num="1">
            <w:col w:w="9179"/>
          </w:cols>
          <w:pgMar w:left="1280" w:top="360" w:right="1440" w:bottom="1440" w:gutter="0" w:footer="0" w:header="0"/>
        </w:sectPr>
      </w:pPr>
    </w:p>
    <w:bookmarkStart w:id="33" w:name="page34"/>
    <w:bookmarkEnd w:id="33"/>
    <w:p>
      <w:pPr>
        <w:ind w:left="17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Security National Financial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16" w:lineRule="exact"/>
        <w:rPr>
          <w:sz w:val="20"/>
          <w:szCs w:val="20"/>
          <w:color w:val="auto"/>
        </w:rPr>
      </w:pPr>
    </w:p>
    <w:p>
      <w:pPr>
        <w:ind w:right="479"/>
        <w:spacing w:after="0" w:line="306" w:lineRule="auto"/>
        <w:rPr>
          <w:sz w:val="20"/>
          <w:szCs w:val="20"/>
          <w:color w:val="auto"/>
        </w:rPr>
      </w:pPr>
      <w:r>
        <w:rPr>
          <w:rFonts w:ascii="Arial" w:cs="Arial" w:eastAsia="Arial" w:hAnsi="Arial"/>
          <w:sz w:val="14"/>
          <w:szCs w:val="14"/>
          <w:color w:val="auto"/>
        </w:rPr>
        <w:t>We have audited the accompanying consolidated balance sheets of Security National Financial Corporation and subsidiaries (the "Company") as of December 31, 2020 and 2019, the related consolidated statements of income, comprehensive income, stockholders’ equity, and cash flows for each of the years then ended, and the related notes and the schedules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years then ended, in conformity with accounting principles generally accepted in the United States of America.</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6" w:lineRule="exact"/>
        <w:rPr>
          <w:sz w:val="20"/>
          <w:szCs w:val="20"/>
          <w:color w:val="auto"/>
        </w:rPr>
      </w:pPr>
    </w:p>
    <w:p>
      <w:pPr>
        <w:ind w:right="579"/>
        <w:spacing w:after="0" w:line="314"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519"/>
        <w:spacing w:after="0" w:line="30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ind w:right="439"/>
        <w:spacing w:after="0" w:line="26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16" w:lineRule="exact"/>
        <w:rPr>
          <w:sz w:val="20"/>
          <w:szCs w:val="20"/>
          <w:color w:val="auto"/>
        </w:rPr>
      </w:pPr>
    </w:p>
    <w:p>
      <w:pPr>
        <w:ind w:right="379"/>
        <w:spacing w:after="0" w:line="309"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p>
      <w:pPr>
        <w:ind w:right="779"/>
        <w:spacing w:after="0" w:line="285" w:lineRule="auto"/>
        <w:rPr>
          <w:sz w:val="20"/>
          <w:szCs w:val="20"/>
          <w:color w:val="auto"/>
        </w:rPr>
      </w:pPr>
      <w:r>
        <w:rPr>
          <w:rFonts w:ascii="Arial" w:cs="Arial" w:eastAsia="Arial" w:hAnsi="Arial"/>
          <w:sz w:val="16"/>
          <w:szCs w:val="16"/>
          <w:b w:val="1"/>
          <w:bCs w:val="1"/>
          <w:color w:val="auto"/>
        </w:rPr>
        <w:t>Future Policy Benefits and Amortization of Deferred Policy Acquisition Costs for Insurance Contracts and Value of Business Acquired - Refer to Notes 1 and 22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 Description</w:t>
      </w:r>
    </w:p>
    <w:p>
      <w:pPr>
        <w:spacing w:after="0" w:line="216" w:lineRule="exact"/>
        <w:rPr>
          <w:sz w:val="20"/>
          <w:szCs w:val="20"/>
          <w:color w:val="auto"/>
        </w:rPr>
      </w:pPr>
    </w:p>
    <w:p>
      <w:pPr>
        <w:ind w:right="319"/>
        <w:spacing w:after="0" w:line="262" w:lineRule="auto"/>
        <w:rPr>
          <w:sz w:val="20"/>
          <w:szCs w:val="20"/>
          <w:color w:val="auto"/>
        </w:rPr>
      </w:pPr>
      <w:r>
        <w:rPr>
          <w:rFonts w:ascii="Arial" w:cs="Arial" w:eastAsia="Arial" w:hAnsi="Arial"/>
          <w:sz w:val="16"/>
          <w:szCs w:val="16"/>
          <w:color w:val="auto"/>
        </w:rPr>
        <w:t>The Company’s management sets assumptions in (1) recording a liability for policy benefit payments that will be made in the future (future policy benefits) and (2) determining amortization of deferred policy acquisition costs for insurance contracts and value of business acquired. The most significant assumptions include mortality, lapse, and projected investment yield. Assumptions are determined based upon published studies and analysis of Company specific experience, adjusted for changes in exposure and other relevant factors. Given the inherent uncertainty of these significant assumptions, auditing the development of such assumptions involved especially subjective judgment.</w:t>
      </w: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6" w:right="1440" w:bottom="1440" w:gutter="0" w:footer="0" w:header="0"/>
        </w:sectPr>
      </w:pPr>
    </w:p>
    <w:bookmarkStart w:id="34" w:name="page35"/>
    <w:bookmarkEnd w:id="34"/>
    <w:p>
      <w:pPr>
        <w:ind w:left="5"/>
        <w:spacing w:after="0"/>
        <w:rPr>
          <w:sz w:val="20"/>
          <w:szCs w:val="20"/>
          <w:color w:val="auto"/>
        </w:rPr>
      </w:pPr>
      <w:r>
        <w:rPr>
          <w:rFonts w:ascii="Arial" w:cs="Arial" w:eastAsia="Arial" w:hAnsi="Arial"/>
          <w:sz w:val="16"/>
          <w:szCs w:val="16"/>
          <w:b w:val="1"/>
          <w:bCs w:val="1"/>
          <w:color w:val="auto"/>
        </w:rPr>
        <w:t>How the Critical Audit Matter Was Addressed in the Audit</w:t>
      </w:r>
    </w:p>
    <w:p>
      <w:pPr>
        <w:spacing w:after="0" w:line="216" w:lineRule="exact"/>
        <w:rPr>
          <w:sz w:val="20"/>
          <w:szCs w:val="20"/>
          <w:color w:val="auto"/>
        </w:rPr>
      </w:pPr>
    </w:p>
    <w:p>
      <w:pPr>
        <w:jc w:val="both"/>
        <w:ind w:left="5" w:right="399"/>
        <w:spacing w:after="0" w:line="269" w:lineRule="auto"/>
        <w:rPr>
          <w:sz w:val="20"/>
          <w:szCs w:val="20"/>
          <w:color w:val="auto"/>
        </w:rPr>
      </w:pPr>
      <w:r>
        <w:rPr>
          <w:rFonts w:ascii="Arial" w:cs="Arial" w:eastAsia="Arial" w:hAnsi="Arial"/>
          <w:sz w:val="16"/>
          <w:szCs w:val="16"/>
          <w:color w:val="auto"/>
        </w:rPr>
        <w:t>Our audit procedures related to management’s judgments regarding the assumptions used in the development of future policy benefits and the amortization of deferred policy acquisition costs for insurance contracts and value of business acquired, included the following, among others:</w:t>
      </w:r>
    </w:p>
    <w:p>
      <w:pPr>
        <w:spacing w:after="0" w:line="173" w:lineRule="exact"/>
        <w:rPr>
          <w:sz w:val="20"/>
          <w:szCs w:val="20"/>
          <w:color w:val="auto"/>
        </w:rPr>
      </w:pPr>
    </w:p>
    <w:p>
      <w:pPr>
        <w:ind w:left="625" w:right="619" w:hanging="625"/>
        <w:spacing w:after="0" w:line="354" w:lineRule="auto"/>
        <w:tabs>
          <w:tab w:leader="none" w:pos="625"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tested the design and implementation of controls over the assumption development process, the valuation of future policy benefits, and the amortization of deferred policy acquisition costs for insurance contracts and value of business acquired.</w:t>
      </w:r>
    </w:p>
    <w:p>
      <w:pPr>
        <w:spacing w:after="0" w:line="65" w:lineRule="exact"/>
        <w:rPr>
          <w:rFonts w:ascii="Arial" w:cs="Arial" w:eastAsia="Arial" w:hAnsi="Arial"/>
          <w:sz w:val="14"/>
          <w:szCs w:val="14"/>
          <w:color w:val="auto"/>
        </w:rPr>
      </w:pPr>
    </w:p>
    <w:p>
      <w:pPr>
        <w:ind w:left="625" w:hanging="625"/>
        <w:spacing w:after="0"/>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the assistance of our actuarial specialists, we:</w:t>
      </w:r>
    </w:p>
    <w:p>
      <w:pPr>
        <w:spacing w:after="0" w:line="145" w:lineRule="exact"/>
        <w:rPr>
          <w:rFonts w:ascii="Arial" w:cs="Arial" w:eastAsia="Arial" w:hAnsi="Arial"/>
          <w:sz w:val="16"/>
          <w:szCs w:val="16"/>
          <w:color w:val="auto"/>
        </w:rPr>
      </w:pPr>
    </w:p>
    <w:p>
      <w:pPr>
        <w:ind w:left="625" w:right="779" w:hanging="625"/>
        <w:spacing w:after="0" w:line="280"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management’s selected actuarial assumptions, including testing the accuracy and completeness of the supporting experience studies,</w:t>
      </w:r>
    </w:p>
    <w:p>
      <w:pPr>
        <w:spacing w:after="0" w:line="111" w:lineRule="exact"/>
        <w:rPr>
          <w:rFonts w:ascii="Arial" w:cs="Arial" w:eastAsia="Arial" w:hAnsi="Arial"/>
          <w:sz w:val="16"/>
          <w:szCs w:val="16"/>
          <w:color w:val="auto"/>
        </w:rPr>
      </w:pPr>
    </w:p>
    <w:p>
      <w:pPr>
        <w:ind w:left="625" w:right="939" w:hanging="625"/>
        <w:spacing w:after="0" w:line="280"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management’s judgments regarding the assumptions used in the development of future policy benefits and the amortization of deferred policy acquisition costs and value of business acquired,</w:t>
      </w:r>
    </w:p>
    <w:p>
      <w:pPr>
        <w:spacing w:after="0" w:line="111" w:lineRule="exact"/>
        <w:rPr>
          <w:rFonts w:ascii="Arial" w:cs="Arial" w:eastAsia="Arial" w:hAnsi="Arial"/>
          <w:sz w:val="16"/>
          <w:szCs w:val="16"/>
          <w:color w:val="auto"/>
        </w:rPr>
      </w:pPr>
    </w:p>
    <w:p>
      <w:pPr>
        <w:ind w:left="625" w:hanging="625"/>
        <w:spacing w:after="0"/>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results of the Company’s annual premium deficiency tests.</w:t>
      </w:r>
    </w:p>
    <w:p>
      <w:pPr>
        <w:spacing w:after="0" w:line="344" w:lineRule="exact"/>
        <w:rPr>
          <w:sz w:val="20"/>
          <w:szCs w:val="20"/>
          <w:color w:val="auto"/>
        </w:rPr>
      </w:pPr>
    </w:p>
    <w:p>
      <w:pPr>
        <w:ind w:left="5"/>
        <w:spacing w:after="0"/>
        <w:rPr>
          <w:sz w:val="20"/>
          <w:szCs w:val="20"/>
          <w:color w:val="auto"/>
        </w:rPr>
      </w:pPr>
      <w:r>
        <w:rPr>
          <w:rFonts w:ascii="Arial" w:cs="Arial" w:eastAsia="Arial" w:hAnsi="Arial"/>
          <w:sz w:val="16"/>
          <w:szCs w:val="16"/>
          <w:color w:val="auto"/>
        </w:rPr>
        <w:t>/s/ Deloitte &amp; Touche LLP</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6"/>
          <w:szCs w:val="16"/>
          <w:color w:val="auto"/>
        </w:rPr>
        <w:t>Salt Lake City, UT</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March 31, 2021</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6"/>
          <w:szCs w:val="16"/>
          <w:color w:val="auto"/>
        </w:rPr>
        <w:t>We have served as the Company's auditor since 2017.</w:t>
      </w:r>
    </w:p>
    <w:p>
      <w:pPr>
        <w:spacing w:after="0" w:line="26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6" w:right="1440" w:bottom="1440" w:gutter="0" w:footer="0" w:header="0"/>
        </w:sectPr>
      </w:pPr>
    </w:p>
    <w:bookmarkStart w:id="35" w:name="page36"/>
    <w:bookmarkEnd w:id="35"/>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300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9"/>
                <w:szCs w:val="19"/>
                <w:b w:val="1"/>
                <w:bCs w:val="1"/>
                <w:color w:val="auto"/>
              </w:rPr>
              <w:t>December 31</w:t>
            </w:r>
          </w:p>
        </w:tc>
      </w:tr>
      <w:tr>
        <w:trPr>
          <w:trHeight w:val="251"/>
        </w:trPr>
        <w:tc>
          <w:tcPr>
            <w:tcW w:w="586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Assets</w:t>
            </w:r>
          </w:p>
        </w:tc>
        <w:tc>
          <w:tcPr>
            <w:tcW w:w="138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2020</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b w:val="1"/>
                <w:bCs w:val="1"/>
                <w:color w:val="auto"/>
              </w:rPr>
              <w:t>2019</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Investments:</w:t>
            </w: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8"/>
        </w:trPr>
        <w:tc>
          <w:tcPr>
            <w:tcW w:w="5860" w:type="dxa"/>
            <w:vAlign w:val="bottom"/>
          </w:tcPr>
          <w:p>
            <w:pPr>
              <w:spacing w:after="0"/>
              <w:rPr>
                <w:sz w:val="20"/>
                <w:szCs w:val="20"/>
                <w:color w:val="auto"/>
              </w:rPr>
            </w:pPr>
            <w:r>
              <w:rPr>
                <w:rFonts w:ascii="Arial" w:cs="Arial" w:eastAsia="Arial" w:hAnsi="Arial"/>
                <w:sz w:val="19"/>
                <w:szCs w:val="19"/>
                <w:color w:val="auto"/>
              </w:rPr>
              <w:t>Fixed maturity securities, available for sale, at estimated fair value</w:t>
            </w:r>
          </w:p>
        </w:tc>
        <w:tc>
          <w:tcPr>
            <w:tcW w:w="1380" w:type="dxa"/>
            <w:vAlign w:val="bottom"/>
          </w:tcPr>
          <w:p>
            <w:pPr>
              <w:jc w:val="right"/>
              <w:spacing w:after="0"/>
              <w:rPr>
                <w:sz w:val="20"/>
                <w:szCs w:val="20"/>
                <w:color w:val="auto"/>
              </w:rPr>
            </w:pPr>
            <w:r>
              <w:rPr>
                <w:rFonts w:ascii="Arial" w:cs="Arial" w:eastAsia="Arial" w:hAnsi="Arial"/>
                <w:sz w:val="19"/>
                <w:szCs w:val="19"/>
                <w:color w:val="auto"/>
              </w:rPr>
              <w:t>$ 294,656,679</w:t>
            </w:r>
          </w:p>
        </w:tc>
        <w:tc>
          <w:tcPr>
            <w:tcW w:w="1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355,977,820</w:t>
            </w:r>
          </w:p>
        </w:tc>
      </w:tr>
      <w:tr>
        <w:trPr>
          <w:trHeight w:val="253"/>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Equity securities at estimated fair value</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11,324,239</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7,271,165</w:t>
            </w:r>
          </w:p>
        </w:tc>
      </w:tr>
      <w:tr>
        <w:trPr>
          <w:trHeight w:val="221"/>
        </w:trPr>
        <w:tc>
          <w:tcPr>
            <w:tcW w:w="5860" w:type="dxa"/>
            <w:vAlign w:val="bottom"/>
          </w:tcPr>
          <w:p>
            <w:pPr>
              <w:spacing w:after="0"/>
              <w:rPr>
                <w:sz w:val="20"/>
                <w:szCs w:val="20"/>
                <w:color w:val="auto"/>
              </w:rPr>
            </w:pPr>
            <w:r>
              <w:rPr>
                <w:rFonts w:ascii="Arial" w:cs="Arial" w:eastAsia="Arial" w:hAnsi="Arial"/>
                <w:sz w:val="19"/>
                <w:szCs w:val="19"/>
                <w:color w:val="auto"/>
                <w:w w:val="96"/>
              </w:rPr>
              <w:t>Mortgage loans held for investment (net of allowances for loan losses of</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5860" w:type="dxa"/>
            <w:vAlign w:val="bottom"/>
          </w:tcPr>
          <w:p>
            <w:pPr>
              <w:ind w:left="160"/>
              <w:spacing w:after="0"/>
              <w:rPr>
                <w:sz w:val="20"/>
                <w:szCs w:val="20"/>
                <w:color w:val="auto"/>
              </w:rPr>
            </w:pPr>
            <w:r>
              <w:rPr>
                <w:rFonts w:ascii="Arial" w:cs="Arial" w:eastAsia="Arial" w:hAnsi="Arial"/>
                <w:sz w:val="19"/>
                <w:szCs w:val="19"/>
                <w:color w:val="auto"/>
              </w:rPr>
              <w:t>$2,005,127 and $1,453,037 for 2020 and 2019)</w:t>
            </w:r>
          </w:p>
        </w:tc>
        <w:tc>
          <w:tcPr>
            <w:tcW w:w="1380" w:type="dxa"/>
            <w:vAlign w:val="bottom"/>
          </w:tcPr>
          <w:p>
            <w:pPr>
              <w:jc w:val="right"/>
              <w:spacing w:after="0"/>
              <w:rPr>
                <w:sz w:val="20"/>
                <w:szCs w:val="20"/>
                <w:color w:val="auto"/>
              </w:rPr>
            </w:pPr>
            <w:r>
              <w:rPr>
                <w:rFonts w:ascii="Arial" w:cs="Arial" w:eastAsia="Arial" w:hAnsi="Arial"/>
                <w:sz w:val="19"/>
                <w:szCs w:val="19"/>
                <w:color w:val="auto"/>
              </w:rPr>
              <w:t>249,343,936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236,694,546</w:t>
            </w:r>
          </w:p>
        </w:tc>
      </w:tr>
      <w:tr>
        <w:trPr>
          <w:trHeight w:val="225"/>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Real estate held for investment (net of accumulated depreciation of</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4"/>
        </w:trPr>
        <w:tc>
          <w:tcPr>
            <w:tcW w:w="58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$13,800,973 and $12,788,739 for 2020 and 2019)</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131,684,453</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102,756,946</w:t>
            </w:r>
          </w:p>
        </w:tc>
      </w:tr>
      <w:tr>
        <w:trPr>
          <w:trHeight w:val="248"/>
        </w:trPr>
        <w:tc>
          <w:tcPr>
            <w:tcW w:w="5860" w:type="dxa"/>
            <w:vAlign w:val="bottom"/>
          </w:tcPr>
          <w:p>
            <w:pPr>
              <w:spacing w:after="0"/>
              <w:rPr>
                <w:sz w:val="20"/>
                <w:szCs w:val="20"/>
                <w:color w:val="auto"/>
              </w:rPr>
            </w:pPr>
            <w:r>
              <w:rPr>
                <w:rFonts w:ascii="Arial" w:cs="Arial" w:eastAsia="Arial" w:hAnsi="Arial"/>
                <w:sz w:val="19"/>
                <w:szCs w:val="19"/>
                <w:color w:val="auto"/>
              </w:rPr>
              <w:t>Real estate held for sale</w:t>
            </w:r>
          </w:p>
        </w:tc>
        <w:tc>
          <w:tcPr>
            <w:tcW w:w="1380" w:type="dxa"/>
            <w:vAlign w:val="bottom"/>
          </w:tcPr>
          <w:p>
            <w:pPr>
              <w:jc w:val="right"/>
              <w:spacing w:after="0"/>
              <w:rPr>
                <w:sz w:val="20"/>
                <w:szCs w:val="20"/>
                <w:color w:val="auto"/>
              </w:rPr>
            </w:pPr>
            <w:r>
              <w:rPr>
                <w:rFonts w:ascii="Arial" w:cs="Arial" w:eastAsia="Arial" w:hAnsi="Arial"/>
                <w:sz w:val="19"/>
                <w:szCs w:val="19"/>
                <w:color w:val="auto"/>
              </w:rPr>
              <w:t>7,878,807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14,097,627</w:t>
            </w:r>
          </w:p>
        </w:tc>
      </w:tr>
      <w:tr>
        <w:trPr>
          <w:trHeight w:val="223"/>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Other investments and policy loans (net of allowances for doubtful</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4"/>
        </w:trPr>
        <w:tc>
          <w:tcPr>
            <w:tcW w:w="58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accounts of $1,645,475 and $1,448,026 for 2020 and 2019)</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73,696,661</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60,245,269</w:t>
            </w:r>
          </w:p>
        </w:tc>
      </w:tr>
      <w:tr>
        <w:trPr>
          <w:trHeight w:val="248"/>
        </w:trPr>
        <w:tc>
          <w:tcPr>
            <w:tcW w:w="58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Accrued investment income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5,360,523</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4,833,232</w:t>
            </w:r>
          </w:p>
        </w:tc>
      </w:tr>
      <w:tr>
        <w:trPr>
          <w:trHeight w:val="246"/>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Total investments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773,945,298</w:t>
            </w:r>
          </w:p>
        </w:tc>
        <w:tc>
          <w:tcPr>
            <w:tcW w:w="1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781,876,605</w:t>
            </w:r>
          </w:p>
        </w:tc>
      </w:tr>
      <w:tr>
        <w:trPr>
          <w:trHeight w:val="242"/>
        </w:trPr>
        <w:tc>
          <w:tcPr>
            <w:tcW w:w="586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1380" w:type="dxa"/>
            <w:vAlign w:val="bottom"/>
          </w:tcPr>
          <w:p>
            <w:pPr>
              <w:jc w:val="right"/>
              <w:spacing w:after="0"/>
              <w:rPr>
                <w:sz w:val="20"/>
                <w:szCs w:val="20"/>
                <w:color w:val="auto"/>
              </w:rPr>
            </w:pPr>
            <w:r>
              <w:rPr>
                <w:rFonts w:ascii="Arial" w:cs="Arial" w:eastAsia="Arial" w:hAnsi="Arial"/>
                <w:sz w:val="19"/>
                <w:szCs w:val="19"/>
                <w:color w:val="auto"/>
              </w:rPr>
              <w:t>106,219,429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127,754,719</w:t>
            </w:r>
          </w:p>
        </w:tc>
      </w:tr>
      <w:tr>
        <w:trPr>
          <w:trHeight w:val="253"/>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Loans held for sale at estimated fair value</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422,772,418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213,457,632</w:t>
            </w:r>
          </w:p>
        </w:tc>
      </w:tr>
      <w:tr>
        <w:trPr>
          <w:trHeight w:val="221"/>
        </w:trPr>
        <w:tc>
          <w:tcPr>
            <w:tcW w:w="5860" w:type="dxa"/>
            <w:vAlign w:val="bottom"/>
          </w:tcPr>
          <w:p>
            <w:pPr>
              <w:spacing w:after="0"/>
              <w:rPr>
                <w:sz w:val="20"/>
                <w:szCs w:val="20"/>
                <w:color w:val="auto"/>
              </w:rPr>
            </w:pPr>
            <w:r>
              <w:rPr>
                <w:rFonts w:ascii="Arial" w:cs="Arial" w:eastAsia="Arial" w:hAnsi="Arial"/>
                <w:sz w:val="19"/>
                <w:szCs w:val="19"/>
                <w:color w:val="auto"/>
                <w:w w:val="97"/>
              </w:rPr>
              <w:t>Receivables (net of allowances for doubtful accounts of $1,685,382 and</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5860" w:type="dxa"/>
            <w:vAlign w:val="bottom"/>
          </w:tcPr>
          <w:p>
            <w:pPr>
              <w:ind w:left="160"/>
              <w:spacing w:after="0"/>
              <w:rPr>
                <w:sz w:val="20"/>
                <w:szCs w:val="20"/>
                <w:color w:val="auto"/>
              </w:rPr>
            </w:pPr>
            <w:r>
              <w:rPr>
                <w:rFonts w:ascii="Arial" w:cs="Arial" w:eastAsia="Arial" w:hAnsi="Arial"/>
                <w:sz w:val="19"/>
                <w:szCs w:val="19"/>
                <w:color w:val="auto"/>
              </w:rPr>
              <w:t>$1,724,156 for 2020 and 2019)</w:t>
            </w:r>
          </w:p>
        </w:tc>
        <w:tc>
          <w:tcPr>
            <w:tcW w:w="1380" w:type="dxa"/>
            <w:vAlign w:val="bottom"/>
          </w:tcPr>
          <w:p>
            <w:pPr>
              <w:jc w:val="right"/>
              <w:spacing w:after="0"/>
              <w:rPr>
                <w:sz w:val="20"/>
                <w:szCs w:val="20"/>
                <w:color w:val="auto"/>
              </w:rPr>
            </w:pPr>
            <w:r>
              <w:rPr>
                <w:rFonts w:ascii="Arial" w:cs="Arial" w:eastAsia="Arial" w:hAnsi="Arial"/>
                <w:sz w:val="19"/>
                <w:szCs w:val="19"/>
                <w:color w:val="auto"/>
              </w:rPr>
              <w:t>10,899,207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9,236,330</w:t>
            </w:r>
          </w:p>
        </w:tc>
      </w:tr>
      <w:tr>
        <w:trPr>
          <w:trHeight w:val="225"/>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Restricted assets (including $3,989,415 and $2,985,347 for 2020 and</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4"/>
        </w:trPr>
        <w:tc>
          <w:tcPr>
            <w:tcW w:w="58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2019 at estimated fair value)</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16,150,036</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13,935,317</w:t>
            </w:r>
          </w:p>
        </w:tc>
      </w:tr>
      <w:tr>
        <w:trPr>
          <w:trHeight w:val="221"/>
        </w:trPr>
        <w:tc>
          <w:tcPr>
            <w:tcW w:w="5860" w:type="dxa"/>
            <w:vAlign w:val="bottom"/>
          </w:tcPr>
          <w:p>
            <w:pPr>
              <w:spacing w:after="0"/>
              <w:rPr>
                <w:sz w:val="20"/>
                <w:szCs w:val="20"/>
                <w:color w:val="auto"/>
              </w:rPr>
            </w:pPr>
            <w:r>
              <w:rPr>
                <w:rFonts w:ascii="Arial" w:cs="Arial" w:eastAsia="Arial" w:hAnsi="Arial"/>
                <w:sz w:val="19"/>
                <w:szCs w:val="19"/>
                <w:color w:val="auto"/>
              </w:rPr>
              <w:t>Cemetery perpetual care trust investments (including $2,810,070 and</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0"/>
        </w:trPr>
        <w:tc>
          <w:tcPr>
            <w:tcW w:w="5860" w:type="dxa"/>
            <w:vAlign w:val="bottom"/>
          </w:tcPr>
          <w:p>
            <w:pPr>
              <w:ind w:left="160"/>
              <w:spacing w:after="0"/>
              <w:rPr>
                <w:sz w:val="20"/>
                <w:szCs w:val="20"/>
                <w:color w:val="auto"/>
              </w:rPr>
            </w:pPr>
            <w:r>
              <w:rPr>
                <w:rFonts w:ascii="Arial" w:cs="Arial" w:eastAsia="Arial" w:hAnsi="Arial"/>
                <w:sz w:val="19"/>
                <w:szCs w:val="19"/>
                <w:color w:val="auto"/>
              </w:rPr>
              <w:t>$2,581,124 for 2020 and 2019 at estimated fair value)</w:t>
            </w:r>
          </w:p>
        </w:tc>
        <w:tc>
          <w:tcPr>
            <w:tcW w:w="1380" w:type="dxa"/>
            <w:vAlign w:val="bottom"/>
          </w:tcPr>
          <w:p>
            <w:pPr>
              <w:jc w:val="right"/>
              <w:spacing w:after="0"/>
              <w:rPr>
                <w:sz w:val="20"/>
                <w:szCs w:val="20"/>
                <w:color w:val="auto"/>
              </w:rPr>
            </w:pPr>
            <w:r>
              <w:rPr>
                <w:rFonts w:ascii="Arial" w:cs="Arial" w:eastAsia="Arial" w:hAnsi="Arial"/>
                <w:sz w:val="19"/>
                <w:szCs w:val="19"/>
                <w:color w:val="auto"/>
              </w:rPr>
              <w:t>6,413,167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4,411,864</w:t>
            </w: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Receivable from reinsurers</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15,569,156</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15,747,768</w:t>
            </w:r>
          </w:p>
        </w:tc>
      </w:tr>
      <w:tr>
        <w:trPr>
          <w:trHeight w:val="248"/>
        </w:trPr>
        <w:tc>
          <w:tcPr>
            <w:tcW w:w="5860" w:type="dxa"/>
            <w:vAlign w:val="bottom"/>
          </w:tcPr>
          <w:p>
            <w:pPr>
              <w:spacing w:after="0"/>
              <w:rPr>
                <w:sz w:val="20"/>
                <w:szCs w:val="20"/>
                <w:color w:val="auto"/>
              </w:rPr>
            </w:pPr>
            <w:r>
              <w:rPr>
                <w:rFonts w:ascii="Arial" w:cs="Arial" w:eastAsia="Arial" w:hAnsi="Arial"/>
                <w:sz w:val="19"/>
                <w:szCs w:val="19"/>
                <w:color w:val="auto"/>
              </w:rPr>
              <w:t>Cemetery land and improvements</w:t>
            </w:r>
          </w:p>
        </w:tc>
        <w:tc>
          <w:tcPr>
            <w:tcW w:w="1380" w:type="dxa"/>
            <w:vAlign w:val="bottom"/>
          </w:tcPr>
          <w:p>
            <w:pPr>
              <w:jc w:val="right"/>
              <w:spacing w:after="0"/>
              <w:rPr>
                <w:sz w:val="20"/>
                <w:szCs w:val="20"/>
                <w:color w:val="auto"/>
              </w:rPr>
            </w:pPr>
            <w:r>
              <w:rPr>
                <w:rFonts w:ascii="Arial" w:cs="Arial" w:eastAsia="Arial" w:hAnsi="Arial"/>
                <w:sz w:val="19"/>
                <w:szCs w:val="19"/>
                <w:color w:val="auto"/>
              </w:rPr>
              <w:t>8,761,436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9,519,950</w:t>
            </w:r>
          </w:p>
        </w:tc>
      </w:tr>
      <w:tr>
        <w:trPr>
          <w:trHeight w:val="253"/>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Deferred policy and pre-need contract acquisition costs</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100,075,276</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94,701,920</w:t>
            </w:r>
          </w:p>
        </w:tc>
      </w:tr>
      <w:tr>
        <w:trPr>
          <w:trHeight w:val="248"/>
        </w:trPr>
        <w:tc>
          <w:tcPr>
            <w:tcW w:w="5860" w:type="dxa"/>
            <w:vAlign w:val="bottom"/>
          </w:tcPr>
          <w:p>
            <w:pPr>
              <w:spacing w:after="0"/>
              <w:rPr>
                <w:sz w:val="20"/>
                <w:szCs w:val="20"/>
                <w:color w:val="auto"/>
              </w:rPr>
            </w:pPr>
            <w:r>
              <w:rPr>
                <w:rFonts w:ascii="Arial" w:cs="Arial" w:eastAsia="Arial" w:hAnsi="Arial"/>
                <w:sz w:val="19"/>
                <w:szCs w:val="19"/>
                <w:color w:val="auto"/>
              </w:rPr>
              <w:t>Mortgage servicing rights, net</w:t>
            </w:r>
          </w:p>
        </w:tc>
        <w:tc>
          <w:tcPr>
            <w:tcW w:w="1380" w:type="dxa"/>
            <w:vAlign w:val="bottom"/>
          </w:tcPr>
          <w:p>
            <w:pPr>
              <w:jc w:val="right"/>
              <w:spacing w:after="0"/>
              <w:rPr>
                <w:sz w:val="20"/>
                <w:szCs w:val="20"/>
                <w:color w:val="auto"/>
              </w:rPr>
            </w:pPr>
            <w:r>
              <w:rPr>
                <w:rFonts w:ascii="Arial" w:cs="Arial" w:eastAsia="Arial" w:hAnsi="Arial"/>
                <w:sz w:val="19"/>
                <w:szCs w:val="19"/>
                <w:color w:val="auto"/>
              </w:rPr>
              <w:t>35,210,516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17,155,529</w:t>
            </w:r>
          </w:p>
        </w:tc>
      </w:tr>
      <w:tr>
        <w:trPr>
          <w:trHeight w:val="253"/>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Property and equipment, net</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12,473,345</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14,600,394</w:t>
            </w:r>
          </w:p>
        </w:tc>
      </w:tr>
      <w:tr>
        <w:trPr>
          <w:trHeight w:val="248"/>
        </w:trPr>
        <w:tc>
          <w:tcPr>
            <w:tcW w:w="5860" w:type="dxa"/>
            <w:vAlign w:val="bottom"/>
          </w:tcPr>
          <w:p>
            <w:pPr>
              <w:spacing w:after="0"/>
              <w:rPr>
                <w:sz w:val="20"/>
                <w:szCs w:val="20"/>
                <w:color w:val="auto"/>
              </w:rPr>
            </w:pPr>
            <w:r>
              <w:rPr>
                <w:rFonts w:ascii="Arial" w:cs="Arial" w:eastAsia="Arial" w:hAnsi="Arial"/>
                <w:sz w:val="19"/>
                <w:szCs w:val="19"/>
                <w:color w:val="auto"/>
              </w:rPr>
              <w:t>Value of business acquired</w:t>
            </w:r>
          </w:p>
        </w:tc>
        <w:tc>
          <w:tcPr>
            <w:tcW w:w="1380" w:type="dxa"/>
            <w:vAlign w:val="bottom"/>
          </w:tcPr>
          <w:p>
            <w:pPr>
              <w:jc w:val="right"/>
              <w:spacing w:after="0"/>
              <w:rPr>
                <w:sz w:val="20"/>
                <w:szCs w:val="20"/>
                <w:color w:val="auto"/>
              </w:rPr>
            </w:pPr>
            <w:r>
              <w:rPr>
                <w:rFonts w:ascii="Arial" w:cs="Arial" w:eastAsia="Arial" w:hAnsi="Arial"/>
                <w:sz w:val="19"/>
                <w:szCs w:val="19"/>
                <w:color w:val="auto"/>
              </w:rPr>
              <w:t>8,955,249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9,876,647</w:t>
            </w:r>
          </w:p>
        </w:tc>
      </w:tr>
      <w:tr>
        <w:trPr>
          <w:trHeight w:val="253"/>
        </w:trPr>
        <w:tc>
          <w:tcPr>
            <w:tcW w:w="5860" w:type="dxa"/>
            <w:vAlign w:val="bottom"/>
            <w:shd w:val="clear" w:color="auto" w:fill="CCEEFF"/>
          </w:tcPr>
          <w:p>
            <w:pPr>
              <w:spacing w:after="0"/>
              <w:rPr>
                <w:sz w:val="20"/>
                <w:szCs w:val="20"/>
                <w:color w:val="auto"/>
              </w:rPr>
            </w:pPr>
            <w:r>
              <w:rPr>
                <w:rFonts w:ascii="Arial" w:cs="Arial" w:eastAsia="Arial" w:hAnsi="Arial"/>
                <w:sz w:val="19"/>
                <w:szCs w:val="19"/>
                <w:color w:val="auto"/>
              </w:rPr>
              <w:t>Goodwill</w:t>
            </w:r>
          </w:p>
        </w:tc>
        <w:tc>
          <w:tcPr>
            <w:tcW w:w="13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3,519,588</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3,519,588</w:t>
            </w:r>
          </w:p>
        </w:tc>
      </w:tr>
      <w:tr>
        <w:trPr>
          <w:trHeight w:val="248"/>
        </w:trPr>
        <w:tc>
          <w:tcPr>
            <w:tcW w:w="58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27,976,357</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18,649,812</w:t>
            </w:r>
          </w:p>
        </w:tc>
      </w:tr>
      <w:tr>
        <w:trPr>
          <w:trHeight w:val="24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1,548,940,478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2"/>
              </w:rPr>
              <w:t>1,334,444,075</w:t>
            </w:r>
          </w:p>
        </w:tc>
      </w:tr>
      <w:tr>
        <w:trPr>
          <w:trHeight w:val="20"/>
        </w:trPr>
        <w:tc>
          <w:tcPr>
            <w:tcW w:w="5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36" w:name="page37"/>
    <w:bookmarkEnd w:id="36"/>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CONSOLIDATED BALANCE SHEETS (Continued)</w:t>
      </w:r>
    </w:p>
    <w:p>
      <w:pPr>
        <w:spacing w:after="0" w:line="200" w:lineRule="exact"/>
        <w:rPr>
          <w:sz w:val="20"/>
          <w:szCs w:val="20"/>
          <w:color w:val="auto"/>
        </w:rPr>
      </w:pPr>
    </w:p>
    <w:p>
      <w:pPr>
        <w:spacing w:after="0" w:line="254" w:lineRule="exact"/>
        <w:rPr>
          <w:sz w:val="20"/>
          <w:szCs w:val="20"/>
          <w:color w:val="auto"/>
        </w:rPr>
      </w:pPr>
    </w:p>
    <w:p>
      <w:pPr>
        <w:ind w:left="6880"/>
        <w:spacing w:after="0"/>
        <w:rPr>
          <w:sz w:val="20"/>
          <w:szCs w:val="20"/>
          <w:color w:val="auto"/>
        </w:rPr>
      </w:pPr>
      <w:r>
        <w:rPr>
          <w:rFonts w:ascii="Arial" w:cs="Arial" w:eastAsia="Arial" w:hAnsi="Arial"/>
          <w:sz w:val="21"/>
          <w:szCs w:val="21"/>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8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Liabilities and Stockholders' Equity</w:t>
            </w:r>
          </w:p>
        </w:tc>
        <w:tc>
          <w:tcPr>
            <w:tcW w:w="13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9"/>
                <w:szCs w:val="19"/>
                <w:b w:val="1"/>
                <w:bCs w:val="1"/>
                <w:color w:val="auto"/>
              </w:rPr>
              <w:t>2020</w:t>
            </w:r>
          </w:p>
        </w:tc>
        <w:tc>
          <w:tcPr>
            <w:tcW w:w="180" w:type="dxa"/>
            <w:vAlign w:val="bottom"/>
            <w:tcBorders>
              <w:top w:val="single" w:sz="8" w:color="auto"/>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9"/>
                <w:szCs w:val="19"/>
                <w:b w:val="1"/>
                <w:bCs w:val="1"/>
                <w:color w:val="auto"/>
              </w:rPr>
              <w:t>2019</w:t>
            </w: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Liabilities</w:t>
            </w: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8"/>
        </w:trPr>
        <w:tc>
          <w:tcPr>
            <w:tcW w:w="6080" w:type="dxa"/>
            <w:vAlign w:val="bottom"/>
          </w:tcPr>
          <w:p>
            <w:pPr>
              <w:spacing w:after="0"/>
              <w:rPr>
                <w:sz w:val="20"/>
                <w:szCs w:val="20"/>
                <w:color w:val="auto"/>
              </w:rPr>
            </w:pPr>
            <w:r>
              <w:rPr>
                <w:rFonts w:ascii="Arial" w:cs="Arial" w:eastAsia="Arial" w:hAnsi="Arial"/>
                <w:sz w:val="19"/>
                <w:szCs w:val="19"/>
                <w:color w:val="auto"/>
              </w:rPr>
              <w:t>Future policy benefits and unpaid claims</w:t>
            </w:r>
          </w:p>
        </w:tc>
        <w:tc>
          <w:tcPr>
            <w:tcW w:w="1300" w:type="dxa"/>
            <w:vAlign w:val="bottom"/>
          </w:tcPr>
          <w:p>
            <w:pPr>
              <w:jc w:val="right"/>
              <w:spacing w:after="0"/>
              <w:rPr>
                <w:sz w:val="20"/>
                <w:szCs w:val="20"/>
                <w:color w:val="auto"/>
              </w:rPr>
            </w:pPr>
            <w:r>
              <w:rPr>
                <w:rFonts w:ascii="Arial" w:cs="Arial" w:eastAsia="Arial" w:hAnsi="Arial"/>
                <w:sz w:val="19"/>
                <w:szCs w:val="19"/>
                <w:color w:val="auto"/>
                <w:w w:val="99"/>
              </w:rPr>
              <w:t>$  844,790,087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w w:val="99"/>
              </w:rPr>
              <w:t>$  825,600,918</w:t>
            </w:r>
          </w:p>
        </w:tc>
      </w:tr>
      <w:tr>
        <w:trPr>
          <w:trHeight w:val="253"/>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rPr>
              <w:t>Unearned premium reserve</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3,328,623</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3,621,697</w:t>
            </w:r>
          </w:p>
        </w:tc>
      </w:tr>
      <w:tr>
        <w:trPr>
          <w:trHeight w:val="248"/>
        </w:trPr>
        <w:tc>
          <w:tcPr>
            <w:tcW w:w="6080" w:type="dxa"/>
            <w:vAlign w:val="bottom"/>
          </w:tcPr>
          <w:p>
            <w:pPr>
              <w:spacing w:after="0"/>
              <w:rPr>
                <w:sz w:val="20"/>
                <w:szCs w:val="20"/>
                <w:color w:val="auto"/>
              </w:rPr>
            </w:pPr>
            <w:r>
              <w:rPr>
                <w:rFonts w:ascii="Arial" w:cs="Arial" w:eastAsia="Arial" w:hAnsi="Arial"/>
                <w:sz w:val="19"/>
                <w:szCs w:val="19"/>
                <w:color w:val="auto"/>
              </w:rPr>
              <w:t>Bank and other loans payable</w:t>
            </w:r>
          </w:p>
        </w:tc>
        <w:tc>
          <w:tcPr>
            <w:tcW w:w="1300" w:type="dxa"/>
            <w:vAlign w:val="bottom"/>
          </w:tcPr>
          <w:p>
            <w:pPr>
              <w:jc w:val="right"/>
              <w:spacing w:after="0"/>
              <w:rPr>
                <w:sz w:val="20"/>
                <w:szCs w:val="20"/>
                <w:color w:val="auto"/>
              </w:rPr>
            </w:pPr>
            <w:r>
              <w:rPr>
                <w:rFonts w:ascii="Arial" w:cs="Arial" w:eastAsia="Arial" w:hAnsi="Arial"/>
                <w:sz w:val="19"/>
                <w:szCs w:val="19"/>
                <w:color w:val="auto"/>
              </w:rPr>
              <w:t>297,824,368</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217,572,612</w:t>
            </w:r>
          </w:p>
        </w:tc>
      </w:tr>
      <w:tr>
        <w:trPr>
          <w:trHeight w:val="253"/>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rPr>
              <w:t>Deferred pre-need cemetery and mortuary contract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13,080,179</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12,607,978</w:t>
            </w:r>
          </w:p>
        </w:tc>
      </w:tr>
      <w:tr>
        <w:trPr>
          <w:trHeight w:val="248"/>
        </w:trPr>
        <w:tc>
          <w:tcPr>
            <w:tcW w:w="6080" w:type="dxa"/>
            <w:vAlign w:val="bottom"/>
          </w:tcPr>
          <w:p>
            <w:pPr>
              <w:spacing w:after="0"/>
              <w:rPr>
                <w:sz w:val="20"/>
                <w:szCs w:val="20"/>
                <w:color w:val="auto"/>
              </w:rPr>
            </w:pPr>
            <w:r>
              <w:rPr>
                <w:rFonts w:ascii="Arial" w:cs="Arial" w:eastAsia="Arial" w:hAnsi="Arial"/>
                <w:sz w:val="19"/>
                <w:szCs w:val="19"/>
                <w:color w:val="auto"/>
              </w:rPr>
              <w:t>Cemetery perpetual care obligation</w:t>
            </w:r>
          </w:p>
        </w:tc>
        <w:tc>
          <w:tcPr>
            <w:tcW w:w="1300" w:type="dxa"/>
            <w:vAlign w:val="bottom"/>
          </w:tcPr>
          <w:p>
            <w:pPr>
              <w:jc w:val="right"/>
              <w:spacing w:after="0"/>
              <w:rPr>
                <w:sz w:val="20"/>
                <w:szCs w:val="20"/>
                <w:color w:val="auto"/>
              </w:rPr>
            </w:pPr>
            <w:r>
              <w:rPr>
                <w:rFonts w:ascii="Arial" w:cs="Arial" w:eastAsia="Arial" w:hAnsi="Arial"/>
                <w:sz w:val="19"/>
                <w:szCs w:val="19"/>
                <w:color w:val="auto"/>
              </w:rPr>
              <w:t>4,087,704</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3,933,719</w:t>
            </w:r>
          </w:p>
        </w:tc>
      </w:tr>
      <w:tr>
        <w:trPr>
          <w:trHeight w:val="253"/>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rPr>
              <w:t>Accounts payable</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8,932,683</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5,056,983</w:t>
            </w:r>
          </w:p>
        </w:tc>
      </w:tr>
      <w:tr>
        <w:trPr>
          <w:trHeight w:val="248"/>
        </w:trPr>
        <w:tc>
          <w:tcPr>
            <w:tcW w:w="6080" w:type="dxa"/>
            <w:vAlign w:val="bottom"/>
          </w:tcPr>
          <w:p>
            <w:pPr>
              <w:spacing w:after="0"/>
              <w:rPr>
                <w:sz w:val="20"/>
                <w:szCs w:val="20"/>
                <w:color w:val="auto"/>
              </w:rPr>
            </w:pPr>
            <w:r>
              <w:rPr>
                <w:rFonts w:ascii="Arial" w:cs="Arial" w:eastAsia="Arial" w:hAnsi="Arial"/>
                <w:sz w:val="19"/>
                <w:szCs w:val="19"/>
                <w:color w:val="auto"/>
              </w:rPr>
              <w:t>Other liabilities and accrued expenses</w:t>
            </w:r>
          </w:p>
        </w:tc>
        <w:tc>
          <w:tcPr>
            <w:tcW w:w="1300" w:type="dxa"/>
            <w:vAlign w:val="bottom"/>
          </w:tcPr>
          <w:p>
            <w:pPr>
              <w:jc w:val="right"/>
              <w:spacing w:after="0"/>
              <w:rPr>
                <w:sz w:val="20"/>
                <w:szCs w:val="20"/>
                <w:color w:val="auto"/>
              </w:rPr>
            </w:pPr>
            <w:r>
              <w:rPr>
                <w:rFonts w:ascii="Arial" w:cs="Arial" w:eastAsia="Arial" w:hAnsi="Arial"/>
                <w:sz w:val="19"/>
                <w:szCs w:val="19"/>
                <w:color w:val="auto"/>
              </w:rPr>
              <w:t>87,650,981</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50,652,591</w:t>
            </w:r>
          </w:p>
        </w:tc>
      </w:tr>
      <w:tr>
        <w:trPr>
          <w:trHeight w:val="253"/>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rPr>
              <w:t>Income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25,258,800</w:t>
            </w:r>
          </w:p>
        </w:tc>
        <w:tc>
          <w:tcPr>
            <w:tcW w:w="1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18,686,972</w:t>
            </w:r>
          </w:p>
        </w:tc>
      </w:tr>
      <w:tr>
        <w:trPr>
          <w:trHeight w:val="242"/>
        </w:trPr>
        <w:tc>
          <w:tcPr>
            <w:tcW w:w="60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Total liabilities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1,284,953,425</w:t>
            </w: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1,137,733,470</w:t>
            </w:r>
          </w:p>
        </w:tc>
      </w:tr>
      <w:tr>
        <w:trPr>
          <w:trHeight w:val="259"/>
        </w:trPr>
        <w:tc>
          <w:tcPr>
            <w:tcW w:w="60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Stockholders’ Equity</w:t>
            </w: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0"/>
        </w:trPr>
        <w:tc>
          <w:tcPr>
            <w:tcW w:w="6080" w:type="dxa"/>
            <w:vAlign w:val="bottom"/>
          </w:tcPr>
          <w:p>
            <w:pPr>
              <w:spacing w:after="0"/>
              <w:rPr>
                <w:sz w:val="20"/>
                <w:szCs w:val="20"/>
                <w:color w:val="auto"/>
              </w:rPr>
            </w:pPr>
            <w:r>
              <w:rPr>
                <w:rFonts w:ascii="Arial" w:cs="Arial" w:eastAsia="Arial" w:hAnsi="Arial"/>
                <w:sz w:val="19"/>
                <w:szCs w:val="19"/>
                <w:color w:val="auto"/>
              </w:rPr>
              <w:t>Preferred Stock:</w:t>
            </w: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5"/>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w w:val="96"/>
              </w:rPr>
              <w:t>Preferred stock - non-voting-$1.00 par value; 5,000,000 shares authorized;</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4"/>
        </w:trPr>
        <w:tc>
          <w:tcPr>
            <w:tcW w:w="6080" w:type="dxa"/>
            <w:vAlign w:val="bottom"/>
            <w:shd w:val="clear" w:color="auto" w:fill="CCEEFF"/>
          </w:tcPr>
          <w:p>
            <w:pPr>
              <w:ind w:left="160"/>
              <w:spacing w:after="0"/>
              <w:rPr>
                <w:sz w:val="20"/>
                <w:szCs w:val="20"/>
                <w:color w:val="auto"/>
              </w:rPr>
            </w:pPr>
            <w:r>
              <w:rPr>
                <w:rFonts w:ascii="Arial" w:cs="Arial" w:eastAsia="Arial" w:hAnsi="Arial"/>
                <w:sz w:val="19"/>
                <w:szCs w:val="19"/>
                <w:color w:val="auto"/>
              </w:rPr>
              <w:t>none issued or outstanding</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60"/>
        </w:trPr>
        <w:tc>
          <w:tcPr>
            <w:tcW w:w="6080" w:type="dxa"/>
            <w:vAlign w:val="bottom"/>
          </w:tcPr>
          <w:p>
            <w:pPr>
              <w:spacing w:after="0"/>
              <w:rPr>
                <w:sz w:val="20"/>
                <w:szCs w:val="20"/>
                <w:color w:val="auto"/>
              </w:rPr>
            </w:pPr>
            <w:r>
              <w:rPr>
                <w:rFonts w:ascii="Arial" w:cs="Arial" w:eastAsia="Arial" w:hAnsi="Arial"/>
                <w:sz w:val="19"/>
                <w:szCs w:val="19"/>
                <w:color w:val="auto"/>
              </w:rPr>
              <w:t>Common Stock:</w:t>
            </w: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5"/>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w w:val="98"/>
              </w:rPr>
              <w:t>Class A: common stock - $2.00 par value; 20,000,000 shares authorized;</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4"/>
        </w:trPr>
        <w:tc>
          <w:tcPr>
            <w:tcW w:w="6080" w:type="dxa"/>
            <w:vAlign w:val="bottom"/>
            <w:shd w:val="clear" w:color="auto" w:fill="CCEEFF"/>
          </w:tcPr>
          <w:p>
            <w:pPr>
              <w:ind w:left="160"/>
              <w:spacing w:after="0"/>
              <w:rPr>
                <w:sz w:val="20"/>
                <w:szCs w:val="20"/>
                <w:color w:val="auto"/>
              </w:rPr>
            </w:pPr>
            <w:r>
              <w:rPr>
                <w:rFonts w:ascii="Arial" w:cs="Arial" w:eastAsia="Arial" w:hAnsi="Arial"/>
                <w:sz w:val="19"/>
                <w:szCs w:val="19"/>
                <w:color w:val="auto"/>
              </w:rPr>
              <w:t>issued 16,595,783 shares in 2020 and 16,107,779 shares in 2019</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33,191,566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32,215,558</w:t>
            </w:r>
          </w:p>
        </w:tc>
      </w:tr>
      <w:tr>
        <w:trPr>
          <w:trHeight w:val="221"/>
        </w:trPr>
        <w:tc>
          <w:tcPr>
            <w:tcW w:w="6080" w:type="dxa"/>
            <w:vAlign w:val="bottom"/>
          </w:tcPr>
          <w:p>
            <w:pPr>
              <w:spacing w:after="0"/>
              <w:rPr>
                <w:sz w:val="20"/>
                <w:szCs w:val="20"/>
                <w:color w:val="auto"/>
              </w:rPr>
            </w:pPr>
            <w:r>
              <w:rPr>
                <w:rFonts w:ascii="Arial" w:cs="Arial" w:eastAsia="Arial" w:hAnsi="Arial"/>
                <w:sz w:val="19"/>
                <w:szCs w:val="19"/>
                <w:color w:val="auto"/>
              </w:rPr>
              <w:t>Class B: non-voting common stock - $1.00 par value; 5,000,000 shares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6080" w:type="dxa"/>
            <w:vAlign w:val="bottom"/>
          </w:tcPr>
          <w:p>
            <w:pPr>
              <w:ind w:left="160"/>
              <w:spacing w:after="0"/>
              <w:rPr>
                <w:sz w:val="20"/>
                <w:szCs w:val="20"/>
                <w:color w:val="auto"/>
              </w:rPr>
            </w:pPr>
            <w:r>
              <w:rPr>
                <w:rFonts w:ascii="Arial" w:cs="Arial" w:eastAsia="Arial" w:hAnsi="Arial"/>
                <w:sz w:val="19"/>
                <w:szCs w:val="19"/>
                <w:color w:val="auto"/>
              </w:rPr>
              <w:t>authorized; none issued or outstanding</w:t>
            </w:r>
          </w:p>
        </w:tc>
        <w:tc>
          <w:tcPr>
            <w:tcW w:w="130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25"/>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rPr>
              <w:t>Class C: convertible common stock - $2.00 par value; 3,000,000 shares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4"/>
        </w:trPr>
        <w:tc>
          <w:tcPr>
            <w:tcW w:w="6080" w:type="dxa"/>
            <w:vAlign w:val="bottom"/>
            <w:shd w:val="clear" w:color="auto" w:fill="CCEEFF"/>
          </w:tcPr>
          <w:p>
            <w:pPr>
              <w:ind w:left="160"/>
              <w:spacing w:after="0"/>
              <w:rPr>
                <w:sz w:val="20"/>
                <w:szCs w:val="20"/>
                <w:color w:val="auto"/>
              </w:rPr>
            </w:pPr>
            <w:r>
              <w:rPr>
                <w:rFonts w:ascii="Arial" w:cs="Arial" w:eastAsia="Arial" w:hAnsi="Arial"/>
                <w:sz w:val="19"/>
                <w:szCs w:val="19"/>
                <w:color w:val="auto"/>
                <w:w w:val="93"/>
              </w:rPr>
              <w:t>authorized; issued 2,679,603 shares in 2020 and 2,500,887 shares in 2019</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5,359,206</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5,001,774</w:t>
            </w:r>
          </w:p>
        </w:tc>
      </w:tr>
      <w:tr>
        <w:trPr>
          <w:trHeight w:val="248"/>
        </w:trPr>
        <w:tc>
          <w:tcPr>
            <w:tcW w:w="6080" w:type="dxa"/>
            <w:vAlign w:val="bottom"/>
          </w:tcPr>
          <w:p>
            <w:pPr>
              <w:spacing w:after="0"/>
              <w:rPr>
                <w:sz w:val="20"/>
                <w:szCs w:val="20"/>
                <w:color w:val="auto"/>
              </w:rPr>
            </w:pPr>
            <w:r>
              <w:rPr>
                <w:rFonts w:ascii="Arial" w:cs="Arial" w:eastAsia="Arial" w:hAnsi="Arial"/>
                <w:sz w:val="19"/>
                <w:szCs w:val="19"/>
                <w:color w:val="auto"/>
              </w:rPr>
              <w:t>Additional paid-in capital</w:t>
            </w:r>
          </w:p>
        </w:tc>
        <w:tc>
          <w:tcPr>
            <w:tcW w:w="1300" w:type="dxa"/>
            <w:vAlign w:val="bottom"/>
          </w:tcPr>
          <w:p>
            <w:pPr>
              <w:jc w:val="right"/>
              <w:spacing w:after="0"/>
              <w:rPr>
                <w:sz w:val="20"/>
                <w:szCs w:val="20"/>
                <w:color w:val="auto"/>
              </w:rPr>
            </w:pPr>
            <w:r>
              <w:rPr>
                <w:rFonts w:ascii="Arial" w:cs="Arial" w:eastAsia="Arial" w:hAnsi="Arial"/>
                <w:sz w:val="19"/>
                <w:szCs w:val="19"/>
                <w:color w:val="auto"/>
              </w:rPr>
              <w:t>50,287,253</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46,091,112</w:t>
            </w:r>
          </w:p>
        </w:tc>
      </w:tr>
      <w:tr>
        <w:trPr>
          <w:trHeight w:val="253"/>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rPr>
              <w:t>Accumulated other comprehensive income, net of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23,243,133</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13,726,514</w:t>
            </w:r>
          </w:p>
        </w:tc>
      </w:tr>
      <w:tr>
        <w:trPr>
          <w:trHeight w:val="248"/>
        </w:trPr>
        <w:tc>
          <w:tcPr>
            <w:tcW w:w="6080" w:type="dxa"/>
            <w:vAlign w:val="bottom"/>
          </w:tcPr>
          <w:p>
            <w:pPr>
              <w:spacing w:after="0"/>
              <w:rPr>
                <w:sz w:val="20"/>
                <w:szCs w:val="20"/>
                <w:color w:val="auto"/>
              </w:rPr>
            </w:pPr>
            <w:r>
              <w:rPr>
                <w:rFonts w:ascii="Arial" w:cs="Arial" w:eastAsia="Arial" w:hAnsi="Arial"/>
                <w:sz w:val="19"/>
                <w:szCs w:val="19"/>
                <w:color w:val="auto"/>
              </w:rPr>
              <w:t>Retained earnings</w:t>
            </w:r>
          </w:p>
        </w:tc>
        <w:tc>
          <w:tcPr>
            <w:tcW w:w="1300" w:type="dxa"/>
            <w:vAlign w:val="bottom"/>
          </w:tcPr>
          <w:p>
            <w:pPr>
              <w:jc w:val="right"/>
              <w:spacing w:after="0"/>
              <w:rPr>
                <w:sz w:val="20"/>
                <w:szCs w:val="20"/>
                <w:color w:val="auto"/>
              </w:rPr>
            </w:pPr>
            <w:r>
              <w:rPr>
                <w:rFonts w:ascii="Arial" w:cs="Arial" w:eastAsia="Arial" w:hAnsi="Arial"/>
                <w:sz w:val="19"/>
                <w:szCs w:val="19"/>
                <w:color w:val="auto"/>
              </w:rPr>
              <w:t>153,739,167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9"/>
                <w:szCs w:val="19"/>
                <w:color w:val="auto"/>
              </w:rPr>
              <w:t>101,256,229</w:t>
            </w:r>
          </w:p>
        </w:tc>
      </w:tr>
      <w:tr>
        <w:trPr>
          <w:trHeight w:val="223"/>
        </w:trPr>
        <w:tc>
          <w:tcPr>
            <w:tcW w:w="6080" w:type="dxa"/>
            <w:vAlign w:val="bottom"/>
            <w:shd w:val="clear" w:color="auto" w:fill="CCEEFF"/>
          </w:tcPr>
          <w:p>
            <w:pPr>
              <w:spacing w:after="0"/>
              <w:rPr>
                <w:sz w:val="20"/>
                <w:szCs w:val="20"/>
                <w:color w:val="auto"/>
              </w:rPr>
            </w:pPr>
            <w:r>
              <w:rPr>
                <w:rFonts w:ascii="Arial" w:cs="Arial" w:eastAsia="Arial" w:hAnsi="Arial"/>
                <w:sz w:val="19"/>
                <w:szCs w:val="19"/>
                <w:color w:val="auto"/>
                <w:w w:val="94"/>
              </w:rPr>
              <w:t>Treasury stock, at cost - 227,852 Class A shares and 10,985 Class C shares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4"/>
        </w:trPr>
        <w:tc>
          <w:tcPr>
            <w:tcW w:w="6080" w:type="dxa"/>
            <w:vAlign w:val="bottom"/>
            <w:shd w:val="clear" w:color="auto" w:fill="CCEEFF"/>
          </w:tcPr>
          <w:p>
            <w:pPr>
              <w:ind w:left="160"/>
              <w:spacing w:after="0"/>
              <w:rPr>
                <w:sz w:val="20"/>
                <w:szCs w:val="20"/>
                <w:color w:val="auto"/>
              </w:rPr>
            </w:pPr>
            <w:r>
              <w:rPr>
                <w:rFonts w:ascii="Arial" w:cs="Arial" w:eastAsia="Arial" w:hAnsi="Arial"/>
                <w:sz w:val="19"/>
                <w:szCs w:val="19"/>
                <w:color w:val="auto"/>
              </w:rPr>
              <w:t>in 2020; 490,823 Class A shares and -0- Class C shares in 2019</w:t>
            </w: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(1,833,272)</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(1,580,582)</w:t>
            </w:r>
          </w:p>
        </w:tc>
      </w:tr>
      <w:tr>
        <w:trPr>
          <w:trHeight w:val="248"/>
        </w:trPr>
        <w:tc>
          <w:tcPr>
            <w:tcW w:w="608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Total stockholders’ equity</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263,987,053</w:t>
            </w: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196,710,605</w:t>
            </w:r>
          </w:p>
        </w:tc>
      </w:tr>
      <w:tr>
        <w:trPr>
          <w:trHeight w:val="24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Liabilities and Stockholders’ Equity</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1"/>
              </w:rPr>
              <w:t>$ 1,548,940,478</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1"/>
              </w:rPr>
              <w:t>$ 1,334,444,075</w:t>
            </w:r>
          </w:p>
        </w:tc>
      </w:tr>
      <w:tr>
        <w:trPr>
          <w:trHeight w:val="20"/>
        </w:trPr>
        <w:tc>
          <w:tcPr>
            <w:tcW w:w="6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37" w:name="page38"/>
    <w:bookmarkEnd w:id="3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CONSOLIDATED STATEMENTS OF EARNINGS</w:t>
      </w:r>
    </w:p>
    <w:p>
      <w:pPr>
        <w:spacing w:after="0" w:line="116" w:lineRule="exact"/>
        <w:rPr>
          <w:sz w:val="20"/>
          <w:szCs w:val="20"/>
          <w:color w:val="auto"/>
        </w:rPr>
      </w:pPr>
    </w:p>
    <w:tbl>
      <w:tblPr>
        <w:tblLayout w:type="fixed"/>
        <w:tblInd w:w="5" w:type="dxa"/>
        <w:tblCellMar>
          <w:top w:w="0" w:type="dxa"/>
          <w:left w:w="0" w:type="dxa"/>
          <w:bottom w:w="0" w:type="dxa"/>
          <w:right w:w="0" w:type="dxa"/>
        </w:tblCellMar>
      </w:tblPr>
      <w:tr>
        <w:trPr>
          <w:trHeight w:val="256"/>
        </w:trPr>
        <w:tc>
          <w:tcPr>
            <w:tcW w:w="51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9"/>
                <w:szCs w:val="19"/>
                <w:b w:val="1"/>
                <w:bCs w:val="1"/>
                <w:color w:val="auto"/>
                <w:w w:val="99"/>
              </w:rPr>
              <w:t>Years Ended December 31</w:t>
            </w:r>
          </w:p>
        </w:tc>
        <w:tc>
          <w:tcPr>
            <w:tcW w:w="0" w:type="dxa"/>
            <w:vAlign w:val="bottom"/>
          </w:tcPr>
          <w:p>
            <w:pPr>
              <w:spacing w:after="0"/>
              <w:rPr>
                <w:sz w:val="1"/>
                <w:szCs w:val="1"/>
                <w:color w:val="auto"/>
              </w:rPr>
            </w:pPr>
          </w:p>
        </w:tc>
      </w:tr>
      <w:tr>
        <w:trPr>
          <w:trHeight w:val="248"/>
        </w:trPr>
        <w:tc>
          <w:tcPr>
            <w:tcW w:w="5160" w:type="dxa"/>
            <w:vAlign w:val="bottom"/>
            <w:vMerge w:val="restart"/>
          </w:tcPr>
          <w:p>
            <w:pPr>
              <w:spacing w:after="0"/>
              <w:rPr>
                <w:sz w:val="20"/>
                <w:szCs w:val="20"/>
                <w:color w:val="auto"/>
              </w:rPr>
            </w:pPr>
            <w:r>
              <w:rPr>
                <w:rFonts w:ascii="Arial" w:cs="Arial" w:eastAsia="Arial" w:hAnsi="Arial"/>
                <w:sz w:val="19"/>
                <w:szCs w:val="19"/>
                <w:b w:val="1"/>
                <w:bCs w:val="1"/>
                <w:color w:val="auto"/>
              </w:rPr>
              <w:t>Revenues</w:t>
            </w:r>
            <w:r>
              <w:rPr>
                <w:rFonts w:ascii="Arial" w:cs="Arial" w:eastAsia="Arial" w:hAnsi="Arial"/>
                <w:sz w:val="19"/>
                <w:szCs w:val="19"/>
                <w:color w:val="auto"/>
              </w:rPr>
              <w:t>:</w:t>
            </w: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9"/>
                <w:szCs w:val="19"/>
                <w:b w:val="1"/>
                <w:bCs w:val="1"/>
                <w:color w:val="auto"/>
              </w:rPr>
              <w:t>2020</w:t>
            </w:r>
          </w:p>
        </w:tc>
        <w:tc>
          <w:tcPr>
            <w:tcW w:w="1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9"/>
                <w:szCs w:val="19"/>
                <w:b w:val="1"/>
                <w:bCs w:val="1"/>
                <w:color w:val="auto"/>
              </w:rPr>
              <w:t>2019</w:t>
            </w: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Mortgage fee income</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298,933,110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131,976,082</w:t>
            </w:r>
          </w:p>
        </w:tc>
        <w:tc>
          <w:tcPr>
            <w:tcW w:w="0" w:type="dxa"/>
            <w:vAlign w:val="bottom"/>
          </w:tcPr>
          <w:p>
            <w:pPr>
              <w:spacing w:after="0"/>
              <w:rPr>
                <w:sz w:val="1"/>
                <w:szCs w:val="1"/>
                <w:color w:val="auto"/>
              </w:rPr>
            </w:pPr>
          </w:p>
        </w:tc>
      </w:tr>
      <w:tr>
        <w:trPr>
          <w:trHeight w:val="248"/>
        </w:trPr>
        <w:tc>
          <w:tcPr>
            <w:tcW w:w="5160" w:type="dxa"/>
            <w:vAlign w:val="bottom"/>
          </w:tcPr>
          <w:p>
            <w:pPr>
              <w:spacing w:after="0"/>
              <w:rPr>
                <w:sz w:val="20"/>
                <w:szCs w:val="20"/>
                <w:color w:val="auto"/>
              </w:rPr>
            </w:pPr>
            <w:r>
              <w:rPr>
                <w:rFonts w:ascii="Arial" w:cs="Arial" w:eastAsia="Arial" w:hAnsi="Arial"/>
                <w:sz w:val="19"/>
                <w:szCs w:val="19"/>
                <w:color w:val="auto"/>
              </w:rPr>
              <w:t>Insurance premiums and other considerations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93,020,617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81,860,610</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Net investment income</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56,329,803</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43,019,473</w:t>
            </w:r>
          </w:p>
        </w:tc>
        <w:tc>
          <w:tcPr>
            <w:tcW w:w="0" w:type="dxa"/>
            <w:vAlign w:val="bottom"/>
          </w:tcPr>
          <w:p>
            <w:pPr>
              <w:spacing w:after="0"/>
              <w:rPr>
                <w:sz w:val="1"/>
                <w:szCs w:val="1"/>
                <w:color w:val="auto"/>
              </w:rPr>
            </w:pPr>
          </w:p>
        </w:tc>
      </w:tr>
      <w:tr>
        <w:trPr>
          <w:trHeight w:val="248"/>
        </w:trPr>
        <w:tc>
          <w:tcPr>
            <w:tcW w:w="5160" w:type="dxa"/>
            <w:vAlign w:val="bottom"/>
          </w:tcPr>
          <w:p>
            <w:pPr>
              <w:spacing w:after="0"/>
              <w:rPr>
                <w:sz w:val="20"/>
                <w:szCs w:val="20"/>
                <w:color w:val="auto"/>
              </w:rPr>
            </w:pPr>
            <w:r>
              <w:rPr>
                <w:rFonts w:ascii="Arial" w:cs="Arial" w:eastAsia="Arial" w:hAnsi="Arial"/>
                <w:sz w:val="19"/>
                <w:szCs w:val="19"/>
                <w:color w:val="auto"/>
              </w:rPr>
              <w:t>Net mortuary and cemetery sales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20,307,435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15,296,235</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Gains on investments and other assets</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1,925,850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728,367</w:t>
            </w:r>
          </w:p>
        </w:tc>
        <w:tc>
          <w:tcPr>
            <w:tcW w:w="0" w:type="dxa"/>
            <w:vAlign w:val="bottom"/>
          </w:tcPr>
          <w:p>
            <w:pPr>
              <w:spacing w:after="0"/>
              <w:rPr>
                <w:sz w:val="1"/>
                <w:szCs w:val="1"/>
                <w:color w:val="auto"/>
              </w:rPr>
            </w:pPr>
          </w:p>
        </w:tc>
      </w:tr>
      <w:tr>
        <w:trPr>
          <w:trHeight w:val="248"/>
        </w:trPr>
        <w:tc>
          <w:tcPr>
            <w:tcW w:w="5160" w:type="dxa"/>
            <w:vAlign w:val="bottom"/>
          </w:tcPr>
          <w:p>
            <w:pPr>
              <w:spacing w:after="0"/>
              <w:rPr>
                <w:sz w:val="20"/>
                <w:szCs w:val="20"/>
                <w:color w:val="auto"/>
              </w:rPr>
            </w:pPr>
            <w:r>
              <w:rPr>
                <w:rFonts w:ascii="Arial" w:cs="Arial" w:eastAsia="Arial" w:hAnsi="Arial"/>
                <w:sz w:val="19"/>
                <w:szCs w:val="19"/>
                <w:color w:val="auto"/>
              </w:rPr>
              <w:t>Other than temporary impairments on investments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(370,975)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11,317,482</w:t>
            </w:r>
          </w:p>
        </w:tc>
        <w:tc>
          <w:tcPr>
            <w:tcW w:w="1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10,180,163</w:t>
            </w: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Total revenues</w:t>
            </w: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481,463,322</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283,060,930</w:t>
            </w:r>
          </w:p>
        </w:tc>
        <w:tc>
          <w:tcPr>
            <w:tcW w:w="0" w:type="dxa"/>
            <w:vAlign w:val="bottom"/>
          </w:tcPr>
          <w:p>
            <w:pPr>
              <w:spacing w:after="0"/>
              <w:rPr>
                <w:sz w:val="1"/>
                <w:szCs w:val="1"/>
                <w:color w:val="auto"/>
              </w:rPr>
            </w:pPr>
          </w:p>
        </w:tc>
      </w:tr>
      <w:tr>
        <w:trPr>
          <w:trHeight w:val="246"/>
        </w:trPr>
        <w:tc>
          <w:tcPr>
            <w:tcW w:w="5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160" w:type="dxa"/>
            <w:vAlign w:val="bottom"/>
          </w:tcPr>
          <w:p>
            <w:pPr>
              <w:spacing w:after="0"/>
              <w:rPr>
                <w:sz w:val="20"/>
                <w:szCs w:val="20"/>
                <w:color w:val="auto"/>
              </w:rPr>
            </w:pPr>
            <w:r>
              <w:rPr>
                <w:rFonts w:ascii="Arial" w:cs="Arial" w:eastAsia="Arial" w:hAnsi="Arial"/>
                <w:sz w:val="19"/>
                <w:szCs w:val="19"/>
                <w:b w:val="1"/>
                <w:bCs w:val="1"/>
                <w:color w:val="auto"/>
              </w:rPr>
              <w:t>Benefits and expenses:</w:t>
            </w: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Death benefits</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59,040,130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41,591,057</w:t>
            </w:r>
          </w:p>
        </w:tc>
        <w:tc>
          <w:tcPr>
            <w:tcW w:w="0" w:type="dxa"/>
            <w:vAlign w:val="bottom"/>
          </w:tcPr>
          <w:p>
            <w:pPr>
              <w:spacing w:after="0"/>
              <w:rPr>
                <w:sz w:val="1"/>
                <w:szCs w:val="1"/>
                <w:color w:val="auto"/>
              </w:rPr>
            </w:pPr>
          </w:p>
        </w:tc>
      </w:tr>
      <w:tr>
        <w:trPr>
          <w:trHeight w:val="248"/>
        </w:trPr>
        <w:tc>
          <w:tcPr>
            <w:tcW w:w="5160" w:type="dxa"/>
            <w:vAlign w:val="bottom"/>
          </w:tcPr>
          <w:p>
            <w:pPr>
              <w:spacing w:after="0"/>
              <w:rPr>
                <w:sz w:val="20"/>
                <w:szCs w:val="20"/>
                <w:color w:val="auto"/>
              </w:rPr>
            </w:pPr>
            <w:r>
              <w:rPr>
                <w:rFonts w:ascii="Arial" w:cs="Arial" w:eastAsia="Arial" w:hAnsi="Arial"/>
                <w:sz w:val="19"/>
                <w:szCs w:val="19"/>
                <w:color w:val="auto"/>
              </w:rPr>
              <w:t>Surrenders and other policy benefits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3,801,230</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3,320,748</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Increase in future policy benefits</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23,568,650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23,568,497</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Arial" w:cs="Arial" w:eastAsia="Arial" w:hAnsi="Arial"/>
                <w:sz w:val="19"/>
                <w:szCs w:val="19"/>
                <w:color w:val="auto"/>
                <w:w w:val="98"/>
              </w:rPr>
              <w:t>Amortization of deferred policy and pre-need acquisition costs</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320"/>
              <w:spacing w:after="0"/>
              <w:rPr>
                <w:sz w:val="20"/>
                <w:szCs w:val="20"/>
                <w:color w:val="auto"/>
              </w:rPr>
            </w:pPr>
            <w:r>
              <w:rPr>
                <w:rFonts w:ascii="Arial" w:cs="Arial" w:eastAsia="Arial" w:hAnsi="Arial"/>
                <w:sz w:val="19"/>
                <w:szCs w:val="19"/>
                <w:color w:val="auto"/>
              </w:rPr>
              <w:t>and value of business acquired</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14,307,425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14,634,577</w:t>
            </w:r>
          </w:p>
        </w:tc>
        <w:tc>
          <w:tcPr>
            <w:tcW w:w="0" w:type="dxa"/>
            <w:vAlign w:val="bottom"/>
          </w:tcPr>
          <w:p>
            <w:pPr>
              <w:spacing w:after="0"/>
              <w:rPr>
                <w:sz w:val="1"/>
                <w:szCs w:val="1"/>
                <w:color w:val="auto"/>
              </w:rPr>
            </w:pPr>
          </w:p>
        </w:tc>
      </w:tr>
      <w:tr>
        <w:trPr>
          <w:trHeight w:val="255"/>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Selling, general and administrative expenses:</w:t>
            </w: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60" w:type="dxa"/>
            <w:vAlign w:val="bottom"/>
          </w:tcPr>
          <w:p>
            <w:pPr>
              <w:ind w:left="160"/>
              <w:spacing w:after="0"/>
              <w:rPr>
                <w:sz w:val="20"/>
                <w:szCs w:val="20"/>
                <w:color w:val="auto"/>
              </w:rPr>
            </w:pPr>
            <w:r>
              <w:rPr>
                <w:rFonts w:ascii="Arial" w:cs="Arial" w:eastAsia="Arial" w:hAnsi="Arial"/>
                <w:sz w:val="19"/>
                <w:szCs w:val="19"/>
                <w:color w:val="auto"/>
              </w:rPr>
              <w:t>Commissions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124,426,297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56,762,891</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Personnel</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84,989,971</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64,221,270</w:t>
            </w:r>
          </w:p>
        </w:tc>
        <w:tc>
          <w:tcPr>
            <w:tcW w:w="0" w:type="dxa"/>
            <w:vAlign w:val="bottom"/>
          </w:tcPr>
          <w:p>
            <w:pPr>
              <w:spacing w:after="0"/>
              <w:rPr>
                <w:sz w:val="1"/>
                <w:szCs w:val="1"/>
                <w:color w:val="auto"/>
              </w:rPr>
            </w:pPr>
          </w:p>
        </w:tc>
      </w:tr>
      <w:tr>
        <w:trPr>
          <w:trHeight w:val="248"/>
        </w:trPr>
        <w:tc>
          <w:tcPr>
            <w:tcW w:w="5160" w:type="dxa"/>
            <w:vAlign w:val="bottom"/>
          </w:tcPr>
          <w:p>
            <w:pPr>
              <w:ind w:left="140"/>
              <w:spacing w:after="0"/>
              <w:rPr>
                <w:sz w:val="20"/>
                <w:szCs w:val="20"/>
                <w:color w:val="auto"/>
              </w:rPr>
            </w:pPr>
            <w:r>
              <w:rPr>
                <w:rFonts w:ascii="Arial" w:cs="Arial" w:eastAsia="Arial" w:hAnsi="Arial"/>
                <w:sz w:val="19"/>
                <w:szCs w:val="19"/>
                <w:color w:val="auto"/>
              </w:rPr>
              <w:t>Advertising</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5,380,896</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4,784,558</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Rent and rent related</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6,873,561</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7,055,456</w:t>
            </w:r>
          </w:p>
        </w:tc>
        <w:tc>
          <w:tcPr>
            <w:tcW w:w="0" w:type="dxa"/>
            <w:vAlign w:val="bottom"/>
          </w:tcPr>
          <w:p>
            <w:pPr>
              <w:spacing w:after="0"/>
              <w:rPr>
                <w:sz w:val="1"/>
                <w:szCs w:val="1"/>
                <w:color w:val="auto"/>
              </w:rPr>
            </w:pPr>
          </w:p>
        </w:tc>
      </w:tr>
      <w:tr>
        <w:trPr>
          <w:trHeight w:val="248"/>
        </w:trPr>
        <w:tc>
          <w:tcPr>
            <w:tcW w:w="5160" w:type="dxa"/>
            <w:vAlign w:val="bottom"/>
          </w:tcPr>
          <w:p>
            <w:pPr>
              <w:ind w:left="160"/>
              <w:spacing w:after="0"/>
              <w:rPr>
                <w:sz w:val="20"/>
                <w:szCs w:val="20"/>
                <w:color w:val="auto"/>
              </w:rPr>
            </w:pPr>
            <w:r>
              <w:rPr>
                <w:rFonts w:ascii="Arial" w:cs="Arial" w:eastAsia="Arial" w:hAnsi="Arial"/>
                <w:sz w:val="19"/>
                <w:szCs w:val="19"/>
                <w:color w:val="auto"/>
              </w:rPr>
              <w:t>Depreciation on property and equipment</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2,078,738</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1,711,369</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Provision for loan loss reserve</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16,506,030</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8"/>
        </w:trPr>
        <w:tc>
          <w:tcPr>
            <w:tcW w:w="5160" w:type="dxa"/>
            <w:vAlign w:val="bottom"/>
          </w:tcPr>
          <w:p>
            <w:pPr>
              <w:ind w:left="160"/>
              <w:spacing w:after="0"/>
              <w:rPr>
                <w:sz w:val="20"/>
                <w:szCs w:val="20"/>
                <w:color w:val="auto"/>
              </w:rPr>
            </w:pPr>
            <w:r>
              <w:rPr>
                <w:rFonts w:ascii="Arial" w:cs="Arial" w:eastAsia="Arial" w:hAnsi="Arial"/>
                <w:sz w:val="19"/>
                <w:szCs w:val="19"/>
                <w:color w:val="auto"/>
              </w:rPr>
              <w:t>Costs related to funding mortgage loans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9,877,700</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6,278,954</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ind w:left="160"/>
              <w:spacing w:after="0"/>
              <w:rPr>
                <w:sz w:val="20"/>
                <w:szCs w:val="20"/>
                <w:color w:val="auto"/>
              </w:rPr>
            </w:pPr>
            <w:r>
              <w:rPr>
                <w:rFonts w:ascii="Arial" w:cs="Arial" w:eastAsia="Arial" w:hAnsi="Arial"/>
                <w:sz w:val="19"/>
                <w:szCs w:val="19"/>
                <w:color w:val="auto"/>
              </w:rPr>
              <w:t>Other</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47,331,102</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34,922,761</w:t>
            </w:r>
          </w:p>
        </w:tc>
        <w:tc>
          <w:tcPr>
            <w:tcW w:w="0" w:type="dxa"/>
            <w:vAlign w:val="bottom"/>
          </w:tcPr>
          <w:p>
            <w:pPr>
              <w:spacing w:after="0"/>
              <w:rPr>
                <w:sz w:val="1"/>
                <w:szCs w:val="1"/>
                <w:color w:val="auto"/>
              </w:rPr>
            </w:pPr>
          </w:p>
        </w:tc>
      </w:tr>
      <w:tr>
        <w:trPr>
          <w:trHeight w:val="248"/>
        </w:trPr>
        <w:tc>
          <w:tcPr>
            <w:tcW w:w="5160" w:type="dxa"/>
            <w:vAlign w:val="bottom"/>
          </w:tcPr>
          <w:p>
            <w:pPr>
              <w:spacing w:after="0"/>
              <w:rPr>
                <w:sz w:val="20"/>
                <w:szCs w:val="20"/>
                <w:color w:val="auto"/>
              </w:rPr>
            </w:pPr>
            <w:r>
              <w:rPr>
                <w:rFonts w:ascii="Arial" w:cs="Arial" w:eastAsia="Arial" w:hAnsi="Arial"/>
                <w:sz w:val="19"/>
                <w:szCs w:val="19"/>
                <w:color w:val="auto"/>
              </w:rPr>
              <w:t>Interest expense</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8,578,810</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7,386,688</w:t>
            </w:r>
          </w:p>
        </w:tc>
        <w:tc>
          <w:tcPr>
            <w:tcW w:w="0" w:type="dxa"/>
            <w:vAlign w:val="bottom"/>
          </w:tcPr>
          <w:p>
            <w:pPr>
              <w:spacing w:after="0"/>
              <w:rPr>
                <w:sz w:val="1"/>
                <w:szCs w:val="1"/>
                <w:color w:val="auto"/>
              </w:rPr>
            </w:pPr>
          </w:p>
        </w:tc>
      </w:tr>
      <w:tr>
        <w:trPr>
          <w:trHeight w:val="253"/>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w w:val="99"/>
              </w:rPr>
              <w:t>Cost of goods and services sold – cemeteries and mortuaries</w:t>
            </w: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3,252,655</w:t>
            </w:r>
          </w:p>
        </w:tc>
        <w:tc>
          <w:tcPr>
            <w:tcW w:w="1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2,878,169</w:t>
            </w:r>
          </w:p>
        </w:tc>
        <w:tc>
          <w:tcPr>
            <w:tcW w:w="0" w:type="dxa"/>
            <w:vAlign w:val="bottom"/>
          </w:tcPr>
          <w:p>
            <w:pPr>
              <w:spacing w:after="0"/>
              <w:rPr>
                <w:sz w:val="1"/>
                <w:szCs w:val="1"/>
                <w:color w:val="auto"/>
              </w:rPr>
            </w:pPr>
          </w:p>
        </w:tc>
      </w:tr>
      <w:tr>
        <w:trPr>
          <w:trHeight w:val="242"/>
        </w:trPr>
        <w:tc>
          <w:tcPr>
            <w:tcW w:w="51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Total benefits and expenses</w:t>
            </w: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410,013,195</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269,116,995</w:t>
            </w:r>
          </w:p>
        </w:tc>
        <w:tc>
          <w:tcPr>
            <w:tcW w:w="0" w:type="dxa"/>
            <w:vAlign w:val="bottom"/>
          </w:tcPr>
          <w:p>
            <w:pPr>
              <w:spacing w:after="0"/>
              <w:rPr>
                <w:sz w:val="1"/>
                <w:szCs w:val="1"/>
                <w:color w:val="auto"/>
              </w:rPr>
            </w:pPr>
          </w:p>
        </w:tc>
      </w:tr>
      <w:tr>
        <w:trPr>
          <w:trHeight w:val="246"/>
        </w:trPr>
        <w:tc>
          <w:tcPr>
            <w:tcW w:w="5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160" w:type="dxa"/>
            <w:vAlign w:val="bottom"/>
          </w:tcPr>
          <w:p>
            <w:pPr>
              <w:spacing w:after="0"/>
              <w:rPr>
                <w:sz w:val="20"/>
                <w:szCs w:val="20"/>
                <w:color w:val="auto"/>
              </w:rPr>
            </w:pPr>
            <w:r>
              <w:rPr>
                <w:rFonts w:ascii="Arial" w:cs="Arial" w:eastAsia="Arial" w:hAnsi="Arial"/>
                <w:sz w:val="19"/>
                <w:szCs w:val="19"/>
                <w:b w:val="1"/>
                <w:bCs w:val="1"/>
                <w:color w:val="auto"/>
              </w:rPr>
              <w:t>Earnings before income taxes</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71,450,127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13,943,935</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spacing w:after="0"/>
              <w:rPr>
                <w:sz w:val="20"/>
                <w:szCs w:val="20"/>
                <w:color w:val="auto"/>
              </w:rPr>
            </w:pPr>
            <w:r>
              <w:rPr>
                <w:rFonts w:ascii="Arial" w:cs="Arial" w:eastAsia="Arial" w:hAnsi="Arial"/>
                <w:sz w:val="19"/>
                <w:szCs w:val="19"/>
                <w:color w:val="auto"/>
              </w:rPr>
              <w:t>Income tax expense</w:t>
            </w: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(15,853,514)</w:t>
            </w:r>
          </w:p>
        </w:tc>
        <w:tc>
          <w:tcPr>
            <w:tcW w:w="1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(3,050,416)</w:t>
            </w:r>
          </w:p>
        </w:tc>
        <w:tc>
          <w:tcPr>
            <w:tcW w:w="0" w:type="dxa"/>
            <w:vAlign w:val="bottom"/>
          </w:tcPr>
          <w:p>
            <w:pPr>
              <w:spacing w:after="0"/>
              <w:rPr>
                <w:sz w:val="1"/>
                <w:szCs w:val="1"/>
                <w:color w:val="auto"/>
              </w:rPr>
            </w:pPr>
          </w:p>
        </w:tc>
      </w:tr>
      <w:tr>
        <w:trPr>
          <w:trHeight w:val="282"/>
        </w:trPr>
        <w:tc>
          <w:tcPr>
            <w:tcW w:w="516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Net earnings</w:t>
            </w:r>
          </w:p>
        </w:tc>
        <w:tc>
          <w:tcPr>
            <w:tcW w:w="54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55,596,613</w:t>
            </w: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10,893,519</w:t>
            </w: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160" w:type="dxa"/>
            <w:vAlign w:val="bottom"/>
            <w:tcBorders>
              <w:bottom w:val="single" w:sz="8" w:color="CCEEFF"/>
            </w:tcBorders>
          </w:tcPr>
          <w:p>
            <w:pPr>
              <w:spacing w:after="0"/>
              <w:rPr>
                <w:sz w:val="20"/>
                <w:szCs w:val="20"/>
                <w:color w:val="auto"/>
              </w:rPr>
            </w:pPr>
            <w:r>
              <w:rPr>
                <w:rFonts w:ascii="Arial" w:cs="Arial" w:eastAsia="Arial" w:hAnsi="Arial"/>
                <w:sz w:val="19"/>
                <w:szCs w:val="19"/>
                <w:b w:val="1"/>
                <w:bCs w:val="1"/>
                <w:color w:val="auto"/>
              </w:rPr>
              <w:t>Net earnings per Class A equivalent common share (1)</w:t>
            </w:r>
          </w:p>
        </w:tc>
        <w:tc>
          <w:tcPr>
            <w:tcW w:w="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$2.95</w:t>
            </w: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$0.59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line="214" w:lineRule="exact"/>
              <w:rPr>
                <w:sz w:val="20"/>
                <w:szCs w:val="20"/>
                <w:color w:val="auto"/>
              </w:rPr>
            </w:pPr>
            <w:r>
              <w:rPr>
                <w:rFonts w:ascii="Arial" w:cs="Arial" w:eastAsia="Arial" w:hAnsi="Arial"/>
                <w:sz w:val="19"/>
                <w:szCs w:val="19"/>
                <w:b w:val="1"/>
                <w:bCs w:val="1"/>
                <w:color w:val="auto"/>
              </w:rPr>
              <w:t>Net earnings per Class A equivalent common share -</w:t>
            </w:r>
          </w:p>
        </w:tc>
        <w:tc>
          <w:tcPr>
            <w:tcW w:w="5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9"/>
                <w:szCs w:val="19"/>
                <w:color w:val="auto"/>
              </w:rPr>
              <w:t>$2.88</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9"/>
                <w:szCs w:val="19"/>
                <w:color w:val="auto"/>
              </w:rPr>
              <w:t>$0.58</w:t>
            </w:r>
          </w:p>
        </w:tc>
        <w:tc>
          <w:tcPr>
            <w:tcW w:w="0" w:type="dxa"/>
            <w:vAlign w:val="bottom"/>
          </w:tcPr>
          <w:p>
            <w:pPr>
              <w:spacing w:after="0"/>
              <w:rPr>
                <w:sz w:val="1"/>
                <w:szCs w:val="1"/>
                <w:color w:val="auto"/>
              </w:rPr>
            </w:pPr>
          </w:p>
        </w:tc>
      </w:tr>
      <w:tr>
        <w:trPr>
          <w:trHeight w:val="287"/>
        </w:trPr>
        <w:tc>
          <w:tcPr>
            <w:tcW w:w="5160" w:type="dxa"/>
            <w:vAlign w:val="bottom"/>
            <w:tcBorders>
              <w:bottom w:val="single" w:sz="8" w:color="CCEEFF"/>
            </w:tcBorders>
          </w:tcPr>
          <w:p>
            <w:pPr>
              <w:ind w:left="100"/>
              <w:spacing w:after="0"/>
              <w:rPr>
                <w:sz w:val="20"/>
                <w:szCs w:val="20"/>
                <w:color w:val="auto"/>
              </w:rPr>
            </w:pPr>
            <w:r>
              <w:rPr>
                <w:rFonts w:ascii="Arial" w:cs="Arial" w:eastAsia="Arial" w:hAnsi="Arial"/>
                <w:sz w:val="19"/>
                <w:szCs w:val="19"/>
                <w:b w:val="1"/>
                <w:bCs w:val="1"/>
                <w:color w:val="auto"/>
              </w:rPr>
              <w:t>assuming dilution (1)</w:t>
            </w:r>
          </w:p>
        </w:tc>
        <w:tc>
          <w:tcPr>
            <w:tcW w:w="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Arial" w:cs="Arial" w:eastAsia="Arial" w:hAnsi="Arial"/>
                <w:sz w:val="19"/>
                <w:szCs w:val="19"/>
                <w:color w:val="auto"/>
              </w:rPr>
              <w:t>Weighted average Class A equivalent common shares</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Pr>
          <w:p>
            <w:pPr>
              <w:ind w:left="100"/>
              <w:spacing w:after="0"/>
              <w:rPr>
                <w:sz w:val="20"/>
                <w:szCs w:val="20"/>
                <w:color w:val="auto"/>
              </w:rPr>
            </w:pPr>
            <w:r>
              <w:rPr>
                <w:rFonts w:ascii="Arial" w:cs="Arial" w:eastAsia="Arial" w:hAnsi="Arial"/>
                <w:sz w:val="19"/>
                <w:szCs w:val="19"/>
                <w:color w:val="auto"/>
              </w:rPr>
              <w:t>outstanding (1)</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18,831,991</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18,562,056</w:t>
            </w:r>
          </w:p>
        </w:tc>
        <w:tc>
          <w:tcPr>
            <w:tcW w:w="0" w:type="dxa"/>
            <w:vAlign w:val="bottom"/>
          </w:tcPr>
          <w:p>
            <w:pPr>
              <w:spacing w:after="0"/>
              <w:rPr>
                <w:sz w:val="1"/>
                <w:szCs w:val="1"/>
                <w:color w:val="auto"/>
              </w:rPr>
            </w:pPr>
          </w:p>
        </w:tc>
      </w:tr>
      <w:tr>
        <w:trPr>
          <w:trHeight w:val="255"/>
        </w:trPr>
        <w:tc>
          <w:tcPr>
            <w:tcW w:w="5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Arial" w:cs="Arial" w:eastAsia="Arial" w:hAnsi="Arial"/>
                <w:sz w:val="19"/>
                <w:szCs w:val="19"/>
                <w:color w:val="auto"/>
              </w:rPr>
              <w:t>Weighted average Class A equivalent common shares</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60" w:type="dxa"/>
            <w:vAlign w:val="bottom"/>
          </w:tcPr>
          <w:p>
            <w:pPr>
              <w:ind w:left="100"/>
              <w:spacing w:after="0"/>
              <w:rPr>
                <w:sz w:val="20"/>
                <w:szCs w:val="20"/>
                <w:color w:val="auto"/>
              </w:rPr>
            </w:pPr>
            <w:r>
              <w:rPr>
                <w:rFonts w:ascii="Arial" w:cs="Arial" w:eastAsia="Arial" w:hAnsi="Arial"/>
                <w:sz w:val="19"/>
                <w:szCs w:val="19"/>
                <w:color w:val="auto"/>
              </w:rPr>
              <w:t>outstanding-assuming dilution (1)</w:t>
            </w: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19,275,251</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18,689,602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 w:right="319" w:hanging="5"/>
        <w:spacing w:after="0" w:line="250"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6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562800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5"/>
        <w:spacing w:after="0"/>
        <w:rPr>
          <w:sz w:val="20"/>
          <w:szCs w:val="20"/>
          <w:color w:val="auto"/>
        </w:rPr>
      </w:pPr>
      <w:r>
        <w:rPr>
          <w:rFonts w:ascii="Arial" w:cs="Arial" w:eastAsia="Arial" w:hAnsi="Arial"/>
          <w:sz w:val="18"/>
          <w:szCs w:val="18"/>
          <w:color w:val="auto"/>
        </w:rPr>
        <w:t>SECURITY NATIONAL FINANCIAL CORPORATION</w:t>
      </w:r>
    </w:p>
    <w:p>
      <w:pPr>
        <w:sectPr>
          <w:pgSz w:w="11900" w:h="16838" w:orient="portrait"/>
          <w:cols w:equalWidth="0" w:num="1">
            <w:col w:w="9184"/>
          </w:cols>
          <w:pgMar w:left="1275" w:top="122" w:right="1440" w:bottom="0" w:gutter="0" w:footer="0" w:header="0"/>
          <w:type w:val="continuous"/>
        </w:sectPr>
      </w:pPr>
    </w:p>
    <w:bookmarkStart w:id="38" w:name="page39"/>
    <w:bookmarkEnd w:id="38"/>
    <w:p>
      <w:pPr>
        <w:jc w:val="center"/>
        <w:ind w:right="319"/>
        <w:spacing w:after="0"/>
        <w:rPr>
          <w:sz w:val="20"/>
          <w:szCs w:val="20"/>
          <w:color w:val="auto"/>
        </w:rPr>
      </w:pPr>
      <w:r>
        <w:rPr>
          <w:rFonts w:ascii="Arial" w:cs="Arial" w:eastAsia="Arial" w:hAnsi="Arial"/>
          <w:sz w:val="19"/>
          <w:szCs w:val="19"/>
          <w:color w:val="auto"/>
        </w:rPr>
        <w:t>AND SUBSIDIARIES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CONSOLIDATED STATEMENTS OF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9"/>
                <w:szCs w:val="19"/>
                <w:b w:val="1"/>
                <w:bCs w:val="1"/>
                <w:color w:val="auto"/>
                <w:w w:val="90"/>
              </w:rPr>
              <w:t>Years Ended December 31</w:t>
            </w:r>
          </w:p>
        </w:tc>
      </w:tr>
      <w:tr>
        <w:trPr>
          <w:trHeight w:val="248"/>
        </w:trPr>
        <w:tc>
          <w:tcPr>
            <w:tcW w:w="6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b w:val="1"/>
                <w:bCs w:val="1"/>
                <w:color w:val="auto"/>
              </w:rPr>
              <w:t>2020</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2019</w:t>
            </w:r>
          </w:p>
        </w:tc>
      </w:tr>
      <w:tr>
        <w:trPr>
          <w:trHeight w:val="244"/>
        </w:trPr>
        <w:tc>
          <w:tcPr>
            <w:tcW w:w="60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Net earnings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55,596,613</w:t>
            </w: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8"/>
              </w:rPr>
              <w:t>10,893,519</w:t>
            </w:r>
          </w:p>
        </w:tc>
      </w:tr>
      <w:tr>
        <w:trPr>
          <w:trHeight w:val="253"/>
        </w:trPr>
        <w:tc>
          <w:tcPr>
            <w:tcW w:w="6000" w:type="dxa"/>
            <w:vAlign w:val="bottom"/>
          </w:tcPr>
          <w:p>
            <w:pPr>
              <w:spacing w:after="0"/>
              <w:rPr>
                <w:sz w:val="20"/>
                <w:szCs w:val="20"/>
                <w:color w:val="auto"/>
              </w:rPr>
            </w:pPr>
            <w:r>
              <w:rPr>
                <w:rFonts w:ascii="Arial" w:cs="Arial" w:eastAsia="Arial" w:hAnsi="Arial"/>
                <w:sz w:val="19"/>
                <w:szCs w:val="19"/>
                <w:b w:val="1"/>
                <w:bCs w:val="1"/>
                <w:color w:val="auto"/>
              </w:rPr>
              <w:t>Other comprehensive income:</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5"/>
        </w:trPr>
        <w:tc>
          <w:tcPr>
            <w:tcW w:w="6000" w:type="dxa"/>
            <w:vAlign w:val="bottom"/>
            <w:shd w:val="clear" w:color="auto" w:fill="CCEEFF"/>
          </w:tcPr>
          <w:p>
            <w:pPr>
              <w:ind w:left="60"/>
              <w:spacing w:after="0"/>
              <w:rPr>
                <w:sz w:val="20"/>
                <w:szCs w:val="20"/>
                <w:color w:val="auto"/>
              </w:rPr>
            </w:pPr>
            <w:r>
              <w:rPr>
                <w:rFonts w:ascii="Arial" w:cs="Arial" w:eastAsia="Arial" w:hAnsi="Arial"/>
                <w:sz w:val="19"/>
                <w:szCs w:val="19"/>
                <w:color w:val="auto"/>
              </w:rPr>
              <w:t>Unrealized gains on fixed maturity securities available for sale</w:t>
            </w: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12,013,692</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8"/>
              </w:rPr>
              <w:t>17,315,770</w:t>
            </w:r>
          </w:p>
        </w:tc>
      </w:tr>
      <w:tr>
        <w:trPr>
          <w:trHeight w:val="248"/>
        </w:trPr>
        <w:tc>
          <w:tcPr>
            <w:tcW w:w="6000" w:type="dxa"/>
            <w:vAlign w:val="bottom"/>
          </w:tcPr>
          <w:p>
            <w:pPr>
              <w:ind w:left="60"/>
              <w:spacing w:after="0"/>
              <w:rPr>
                <w:sz w:val="20"/>
                <w:szCs w:val="20"/>
                <w:color w:val="auto"/>
              </w:rPr>
            </w:pPr>
            <w:r>
              <w:rPr>
                <w:rFonts w:ascii="Arial" w:cs="Arial" w:eastAsia="Arial" w:hAnsi="Arial"/>
                <w:sz w:val="19"/>
                <w:szCs w:val="19"/>
                <w:color w:val="auto"/>
              </w:rPr>
              <w:t>Unrealized gains on restricted assets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41,225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35,550</w:t>
            </w:r>
          </w:p>
        </w:tc>
      </w:tr>
      <w:tr>
        <w:trPr>
          <w:trHeight w:val="253"/>
        </w:trPr>
        <w:tc>
          <w:tcPr>
            <w:tcW w:w="6000" w:type="dxa"/>
            <w:vAlign w:val="bottom"/>
            <w:shd w:val="clear" w:color="auto" w:fill="CCEEFF"/>
          </w:tcPr>
          <w:p>
            <w:pPr>
              <w:ind w:left="60"/>
              <w:spacing w:after="0"/>
              <w:rPr>
                <w:sz w:val="20"/>
                <w:szCs w:val="20"/>
                <w:color w:val="auto"/>
              </w:rPr>
            </w:pPr>
            <w:r>
              <w:rPr>
                <w:rFonts w:ascii="Arial" w:cs="Arial" w:eastAsia="Arial" w:hAnsi="Arial"/>
                <w:sz w:val="19"/>
                <w:szCs w:val="19"/>
                <w:color w:val="auto"/>
                <w:w w:val="98"/>
              </w:rPr>
              <w:t>Unrealized gains (losses) on cemetery perpetual care trust investments</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(6,817)</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29,904</w:t>
            </w:r>
          </w:p>
        </w:tc>
      </w:tr>
      <w:tr>
        <w:trPr>
          <w:trHeight w:val="248"/>
        </w:trPr>
        <w:tc>
          <w:tcPr>
            <w:tcW w:w="6000" w:type="dxa"/>
            <w:vAlign w:val="bottom"/>
            <w:tcBorders>
              <w:bottom w:val="single" w:sz="8" w:color="CCEEFF"/>
            </w:tcBorders>
          </w:tcPr>
          <w:p>
            <w:pPr>
              <w:ind w:left="60"/>
              <w:spacing w:after="0"/>
              <w:rPr>
                <w:sz w:val="20"/>
                <w:szCs w:val="20"/>
                <w:color w:val="auto"/>
              </w:rPr>
            </w:pPr>
            <w:r>
              <w:rPr>
                <w:rFonts w:ascii="Arial" w:cs="Arial" w:eastAsia="Arial" w:hAnsi="Arial"/>
                <w:sz w:val="19"/>
                <w:szCs w:val="19"/>
                <w:color w:val="auto"/>
              </w:rPr>
              <w:t>Foreign currency translation adjustments</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972</w:t>
            </w:r>
          </w:p>
        </w:tc>
      </w:tr>
      <w:tr>
        <w:trPr>
          <w:trHeight w:val="246"/>
        </w:trPr>
        <w:tc>
          <w:tcPr>
            <w:tcW w:w="6000" w:type="dxa"/>
            <w:vAlign w:val="bottom"/>
            <w:shd w:val="clear" w:color="auto" w:fill="CCEEFF"/>
          </w:tcPr>
          <w:p>
            <w:pPr>
              <w:ind w:left="60"/>
              <w:spacing w:after="0"/>
              <w:rPr>
                <w:sz w:val="20"/>
                <w:szCs w:val="20"/>
                <w:color w:val="auto"/>
              </w:rPr>
            </w:pPr>
            <w:r>
              <w:rPr>
                <w:rFonts w:ascii="Arial" w:cs="Arial" w:eastAsia="Arial" w:hAnsi="Arial"/>
                <w:sz w:val="19"/>
                <w:szCs w:val="19"/>
                <w:color w:val="auto"/>
              </w:rPr>
              <w:t>Other comprehensive income, before income tax</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6"/>
              </w:rPr>
              <w:t>12,048,054</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8"/>
              </w:rPr>
              <w:t>17,382,196</w:t>
            </w:r>
          </w:p>
        </w:tc>
      </w:tr>
      <w:tr>
        <w:trPr>
          <w:trHeight w:val="248"/>
        </w:trPr>
        <w:tc>
          <w:tcPr>
            <w:tcW w:w="6000" w:type="dxa"/>
            <w:vAlign w:val="bottom"/>
            <w:tcBorders>
              <w:bottom w:val="single" w:sz="8" w:color="CCEEFF"/>
            </w:tcBorders>
          </w:tcPr>
          <w:p>
            <w:pPr>
              <w:ind w:left="60"/>
              <w:spacing w:after="0"/>
              <w:rPr>
                <w:sz w:val="20"/>
                <w:szCs w:val="20"/>
                <w:color w:val="auto"/>
              </w:rPr>
            </w:pPr>
            <w:r>
              <w:rPr>
                <w:rFonts w:ascii="Arial" w:cs="Arial" w:eastAsia="Arial" w:hAnsi="Arial"/>
                <w:sz w:val="19"/>
                <w:szCs w:val="19"/>
                <w:color w:val="auto"/>
              </w:rPr>
              <w:t>Income tax expense</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(2,531,435)</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(3,652,859)</w:t>
            </w:r>
          </w:p>
        </w:tc>
      </w:tr>
      <w:tr>
        <w:trPr>
          <w:trHeight w:val="246"/>
        </w:trPr>
        <w:tc>
          <w:tcPr>
            <w:tcW w:w="6000" w:type="dxa"/>
            <w:vAlign w:val="bottom"/>
            <w:shd w:val="clear" w:color="auto" w:fill="CCEEFF"/>
          </w:tcPr>
          <w:p>
            <w:pPr>
              <w:ind w:left="60"/>
              <w:spacing w:after="0"/>
              <w:rPr>
                <w:sz w:val="20"/>
                <w:szCs w:val="20"/>
                <w:color w:val="auto"/>
              </w:rPr>
            </w:pPr>
            <w:r>
              <w:rPr>
                <w:rFonts w:ascii="Arial" w:cs="Arial" w:eastAsia="Arial" w:hAnsi="Arial"/>
                <w:sz w:val="19"/>
                <w:szCs w:val="19"/>
                <w:color w:val="auto"/>
              </w:rPr>
              <w:t>Other comprehensive income, net of income tax</w:t>
            </w:r>
          </w:p>
        </w:tc>
        <w:tc>
          <w:tcPr>
            <w:tcW w:w="3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9,516,619</w:t>
            </w: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8"/>
              </w:rPr>
              <w:t>13,729,337</w:t>
            </w:r>
          </w:p>
        </w:tc>
      </w:tr>
      <w:tr>
        <w:trPr>
          <w:trHeight w:val="244"/>
        </w:trPr>
        <w:tc>
          <w:tcPr>
            <w:tcW w:w="6000" w:type="dxa"/>
            <w:vAlign w:val="bottom"/>
          </w:tcPr>
          <w:p>
            <w:pPr>
              <w:spacing w:after="0"/>
              <w:rPr>
                <w:sz w:val="20"/>
                <w:szCs w:val="20"/>
                <w:color w:val="auto"/>
              </w:rPr>
            </w:pPr>
            <w:r>
              <w:rPr>
                <w:rFonts w:ascii="Arial" w:cs="Arial" w:eastAsia="Arial" w:hAnsi="Arial"/>
                <w:sz w:val="19"/>
                <w:szCs w:val="19"/>
                <w:b w:val="1"/>
                <w:bCs w:val="1"/>
                <w:color w:val="auto"/>
              </w:rPr>
              <w:t>Comprehensive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65,113,232</w:t>
            </w:r>
          </w:p>
        </w:tc>
        <w:tc>
          <w:tcPr>
            <w:tcW w:w="20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24,622,856</w:t>
            </w:r>
          </w:p>
        </w:tc>
      </w:tr>
      <w:tr>
        <w:trPr>
          <w:trHeight w:val="20"/>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39" w:name="page40"/>
    <w:bookmarkEnd w:id="39"/>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CONSOLIDATED STATEMENTS OF STOCKHOLDERS’ EQUITY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ind w:right="94"/>
              <w:spacing w:after="0"/>
              <w:rPr>
                <w:sz w:val="20"/>
                <w:szCs w:val="20"/>
                <w:color w:val="auto"/>
              </w:rPr>
            </w:pPr>
            <w:r>
              <w:rPr>
                <w:rFonts w:ascii="Arial" w:cs="Arial" w:eastAsia="Arial" w:hAnsi="Arial"/>
                <w:sz w:val="13"/>
                <w:szCs w:val="13"/>
                <w:b w:val="1"/>
                <w:bCs w:val="1"/>
                <w:color w:val="auto"/>
                <w:w w:val="93"/>
              </w:rPr>
              <w:t>Accumulated</w:t>
            </w: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5"/>
        </w:trPr>
        <w:tc>
          <w:tcPr>
            <w:tcW w:w="2180" w:type="dxa"/>
            <w:vAlign w:val="bottom"/>
          </w:tcPr>
          <w:p>
            <w:pPr>
              <w:spacing w:after="0"/>
              <w:rPr>
                <w:sz w:val="12"/>
                <w:szCs w:val="12"/>
                <w:color w:val="auto"/>
              </w:rPr>
            </w:pPr>
          </w:p>
        </w:tc>
        <w:tc>
          <w:tcPr>
            <w:tcW w:w="980" w:type="dxa"/>
            <w:vAlign w:val="bottom"/>
          </w:tcPr>
          <w:p>
            <w:pPr>
              <w:jc w:val="center"/>
              <w:ind w:right="14"/>
              <w:spacing w:after="0" w:line="145" w:lineRule="exact"/>
              <w:rPr>
                <w:sz w:val="20"/>
                <w:szCs w:val="20"/>
                <w:color w:val="auto"/>
              </w:rPr>
            </w:pPr>
            <w:r>
              <w:rPr>
                <w:rFonts w:ascii="Arial" w:cs="Arial" w:eastAsia="Arial" w:hAnsi="Arial"/>
                <w:sz w:val="13"/>
                <w:szCs w:val="13"/>
                <w:b w:val="1"/>
                <w:bCs w:val="1"/>
                <w:color w:val="auto"/>
                <w:w w:val="87"/>
              </w:rPr>
              <w:t>Class A</w:t>
            </w:r>
          </w:p>
        </w:tc>
        <w:tc>
          <w:tcPr>
            <w:tcW w:w="800" w:type="dxa"/>
            <w:vAlign w:val="bottom"/>
          </w:tcPr>
          <w:p>
            <w:pPr>
              <w:jc w:val="center"/>
              <w:ind w:right="34"/>
              <w:spacing w:after="0" w:line="145" w:lineRule="exact"/>
              <w:rPr>
                <w:sz w:val="20"/>
                <w:szCs w:val="20"/>
                <w:color w:val="auto"/>
              </w:rPr>
            </w:pPr>
            <w:r>
              <w:rPr>
                <w:rFonts w:ascii="Arial" w:cs="Arial" w:eastAsia="Arial" w:hAnsi="Arial"/>
                <w:sz w:val="13"/>
                <w:szCs w:val="13"/>
                <w:b w:val="1"/>
                <w:bCs w:val="1"/>
                <w:color w:val="auto"/>
                <w:w w:val="87"/>
              </w:rPr>
              <w:t>Class C</w:t>
            </w:r>
          </w:p>
        </w:tc>
        <w:tc>
          <w:tcPr>
            <w:tcW w:w="1000" w:type="dxa"/>
            <w:vAlign w:val="bottom"/>
          </w:tcPr>
          <w:p>
            <w:pPr>
              <w:spacing w:after="0"/>
              <w:rPr>
                <w:sz w:val="12"/>
                <w:szCs w:val="12"/>
                <w:color w:val="auto"/>
              </w:rPr>
            </w:pPr>
          </w:p>
        </w:tc>
        <w:tc>
          <w:tcPr>
            <w:tcW w:w="1120" w:type="dxa"/>
            <w:vAlign w:val="bottom"/>
          </w:tcPr>
          <w:p>
            <w:pPr>
              <w:jc w:val="center"/>
              <w:ind w:right="74"/>
              <w:spacing w:after="0" w:line="145"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5"/>
        </w:trPr>
        <w:tc>
          <w:tcPr>
            <w:tcW w:w="2180" w:type="dxa"/>
            <w:vAlign w:val="bottom"/>
          </w:tcPr>
          <w:p>
            <w:pPr>
              <w:spacing w:after="0"/>
              <w:rPr>
                <w:sz w:val="12"/>
                <w:szCs w:val="12"/>
                <w:color w:val="auto"/>
              </w:rPr>
            </w:pPr>
          </w:p>
        </w:tc>
        <w:tc>
          <w:tcPr>
            <w:tcW w:w="980" w:type="dxa"/>
            <w:vAlign w:val="bottom"/>
          </w:tcPr>
          <w:p>
            <w:pPr>
              <w:jc w:val="center"/>
              <w:ind w:right="34"/>
              <w:spacing w:after="0" w:line="145" w:lineRule="exact"/>
              <w:rPr>
                <w:sz w:val="20"/>
                <w:szCs w:val="20"/>
                <w:color w:val="auto"/>
              </w:rPr>
            </w:pPr>
            <w:r>
              <w:rPr>
                <w:rFonts w:ascii="Arial" w:cs="Arial" w:eastAsia="Arial" w:hAnsi="Arial"/>
                <w:sz w:val="13"/>
                <w:szCs w:val="13"/>
                <w:b w:val="1"/>
                <w:bCs w:val="1"/>
                <w:color w:val="auto"/>
                <w:w w:val="92"/>
              </w:rPr>
              <w:t>Common</w:t>
            </w:r>
          </w:p>
        </w:tc>
        <w:tc>
          <w:tcPr>
            <w:tcW w:w="800" w:type="dxa"/>
            <w:vAlign w:val="bottom"/>
          </w:tcPr>
          <w:p>
            <w:pPr>
              <w:jc w:val="center"/>
              <w:ind w:right="34"/>
              <w:spacing w:after="0" w:line="145" w:lineRule="exact"/>
              <w:rPr>
                <w:sz w:val="20"/>
                <w:szCs w:val="20"/>
                <w:color w:val="auto"/>
              </w:rPr>
            </w:pPr>
            <w:r>
              <w:rPr>
                <w:rFonts w:ascii="Arial" w:cs="Arial" w:eastAsia="Arial" w:hAnsi="Arial"/>
                <w:sz w:val="13"/>
                <w:szCs w:val="13"/>
                <w:b w:val="1"/>
                <w:bCs w:val="1"/>
                <w:color w:val="auto"/>
                <w:w w:val="95"/>
              </w:rPr>
              <w:t>Common</w:t>
            </w:r>
          </w:p>
        </w:tc>
        <w:tc>
          <w:tcPr>
            <w:tcW w:w="100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92"/>
              </w:rPr>
              <w:t>Additional Paid-</w:t>
            </w:r>
          </w:p>
        </w:tc>
        <w:tc>
          <w:tcPr>
            <w:tcW w:w="1120" w:type="dxa"/>
            <w:vAlign w:val="bottom"/>
          </w:tcPr>
          <w:p>
            <w:pPr>
              <w:jc w:val="center"/>
              <w:ind w:right="94"/>
              <w:spacing w:after="0" w:line="145" w:lineRule="exact"/>
              <w:rPr>
                <w:sz w:val="20"/>
                <w:szCs w:val="20"/>
                <w:color w:val="auto"/>
              </w:rPr>
            </w:pPr>
            <w:r>
              <w:rPr>
                <w:rFonts w:ascii="Arial" w:cs="Arial" w:eastAsia="Arial" w:hAnsi="Arial"/>
                <w:sz w:val="13"/>
                <w:szCs w:val="13"/>
                <w:b w:val="1"/>
                <w:bCs w:val="1"/>
                <w:color w:val="auto"/>
                <w:w w:val="90"/>
              </w:rPr>
              <w:t>Comprehensive</w:t>
            </w:r>
          </w:p>
        </w:tc>
        <w:tc>
          <w:tcPr>
            <w:tcW w:w="880" w:type="dxa"/>
            <w:vAlign w:val="bottom"/>
          </w:tcPr>
          <w:p>
            <w:pPr>
              <w:jc w:val="right"/>
              <w:ind w:right="194"/>
              <w:spacing w:after="0" w:line="145" w:lineRule="exact"/>
              <w:rPr>
                <w:sz w:val="20"/>
                <w:szCs w:val="20"/>
                <w:color w:val="auto"/>
              </w:rPr>
            </w:pPr>
            <w:r>
              <w:rPr>
                <w:rFonts w:ascii="Arial" w:cs="Arial" w:eastAsia="Arial" w:hAnsi="Arial"/>
                <w:sz w:val="13"/>
                <w:szCs w:val="13"/>
                <w:b w:val="1"/>
                <w:bCs w:val="1"/>
                <w:color w:val="auto"/>
              </w:rPr>
              <w:t>Retained</w:t>
            </w: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0"/>
        </w:trPr>
        <w:tc>
          <w:tcPr>
            <w:tcW w:w="21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Stock</w:t>
            </w: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4"/>
              </w:rPr>
              <w:t>Stock</w:t>
            </w: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in Capital</w:t>
            </w:r>
          </w:p>
        </w:tc>
        <w:tc>
          <w:tcPr>
            <w:tcW w:w="11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0"/>
              </w:rPr>
              <w:t>Income (Loss)</w:t>
            </w: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Earnings</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1"/>
              </w:rPr>
              <w:t>Treasury Stock</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Total</w:t>
            </w:r>
          </w:p>
        </w:tc>
      </w:tr>
      <w:tr>
        <w:trPr>
          <w:trHeight w:val="165"/>
        </w:trPr>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2018</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30,609,596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4,387,286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41,821,778</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(2,823)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95,201,732</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(206,396)</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171,811,173</w:t>
            </w:r>
          </w:p>
        </w:tc>
      </w:tr>
      <w:tr>
        <w:trPr>
          <w:trHeight w:val="264"/>
        </w:trPr>
        <w:tc>
          <w:tcPr>
            <w:tcW w:w="2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71"/>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10,893,519</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10,893,519</w:t>
            </w: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13,729,337</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13,729,337</w:t>
            </w:r>
          </w:p>
        </w:tc>
      </w:tr>
      <w:tr>
        <w:trPr>
          <w:trHeight w:val="17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Stock based compensation expense</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256,996</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256,996</w:t>
            </w: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65,034</w:t>
            </w:r>
          </w:p>
        </w:tc>
        <w:tc>
          <w:tcPr>
            <w:tcW w:w="800" w:type="dxa"/>
            <w:vAlign w:val="bottom"/>
          </w:tcPr>
          <w:p>
            <w:pPr>
              <w:jc w:val="right"/>
              <w:spacing w:after="0"/>
              <w:rPr>
                <w:sz w:val="20"/>
                <w:szCs w:val="20"/>
                <w:color w:val="auto"/>
              </w:rPr>
            </w:pPr>
            <w:r>
              <w:rPr>
                <w:rFonts w:ascii="Arial" w:cs="Arial" w:eastAsia="Arial" w:hAnsi="Arial"/>
                <w:sz w:val="13"/>
                <w:szCs w:val="13"/>
                <w:color w:val="auto"/>
              </w:rPr>
              <w:t>382,886</w:t>
            </w:r>
          </w:p>
        </w:tc>
        <w:tc>
          <w:tcPr>
            <w:tcW w:w="1000" w:type="dxa"/>
            <w:vAlign w:val="bottom"/>
          </w:tcPr>
          <w:p>
            <w:pPr>
              <w:jc w:val="right"/>
              <w:spacing w:after="0"/>
              <w:rPr>
                <w:sz w:val="20"/>
                <w:szCs w:val="20"/>
                <w:color w:val="auto"/>
              </w:rPr>
            </w:pPr>
            <w:r>
              <w:rPr>
                <w:rFonts w:ascii="Arial" w:cs="Arial" w:eastAsia="Arial" w:hAnsi="Arial"/>
                <w:sz w:val="13"/>
                <w:szCs w:val="13"/>
                <w:color w:val="auto"/>
              </w:rPr>
              <w:t>415,990</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863,910</w:t>
            </w:r>
          </w:p>
        </w:tc>
      </w:tr>
      <w:tr>
        <w:trPr>
          <w:trHeight w:val="17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Sale of treasury stock</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529,858</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165,702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695,560</w:t>
            </w: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Purchase of treasury stock</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(1,539,888)</w:t>
            </w:r>
          </w:p>
        </w:tc>
        <w:tc>
          <w:tcPr>
            <w:tcW w:w="860" w:type="dxa"/>
            <w:vAlign w:val="bottom"/>
          </w:tcPr>
          <w:p>
            <w:pPr>
              <w:jc w:val="right"/>
              <w:spacing w:after="0"/>
              <w:rPr>
                <w:sz w:val="20"/>
                <w:szCs w:val="20"/>
                <w:color w:val="auto"/>
              </w:rPr>
            </w:pPr>
            <w:r>
              <w:rPr>
                <w:rFonts w:ascii="Arial" w:cs="Arial" w:eastAsia="Arial" w:hAnsi="Arial"/>
                <w:sz w:val="13"/>
                <w:szCs w:val="13"/>
                <w:color w:val="auto"/>
              </w:rPr>
              <w:t>(1,539,888)</w:t>
            </w:r>
          </w:p>
        </w:tc>
      </w:tr>
      <w:tr>
        <w:trPr>
          <w:trHeight w:val="17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Stock dividends</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1,534,356</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238,174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3,066,490</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(4,839,022)</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21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Conversion Class C to Class A</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6,572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2019</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32,215,558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5,001,774</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46,091,112</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13,726,514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101,256,229</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(1,580,582)</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196,710,605</w:t>
            </w:r>
          </w:p>
        </w:tc>
      </w:tr>
      <w:tr>
        <w:trPr>
          <w:trHeight w:val="264"/>
        </w:trPr>
        <w:tc>
          <w:tcPr>
            <w:tcW w:w="2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71"/>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55,596,613</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55,596,613</w:t>
            </w: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9,516,619</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9,516,619</w:t>
            </w:r>
          </w:p>
        </w:tc>
      </w:tr>
      <w:tr>
        <w:trPr>
          <w:trHeight w:val="17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Stock based compensation expense</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358,878</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358,878</w:t>
            </w: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137,940</w:t>
            </w:r>
          </w:p>
        </w:tc>
        <w:tc>
          <w:tcPr>
            <w:tcW w:w="800" w:type="dxa"/>
            <w:vAlign w:val="bottom"/>
          </w:tcPr>
          <w:p>
            <w:pPr>
              <w:jc w:val="right"/>
              <w:spacing w:after="0"/>
              <w:rPr>
                <w:sz w:val="20"/>
                <w:szCs w:val="20"/>
                <w:color w:val="auto"/>
              </w:rPr>
            </w:pPr>
            <w:r>
              <w:rPr>
                <w:rFonts w:ascii="Arial" w:cs="Arial" w:eastAsia="Arial" w:hAnsi="Arial"/>
                <w:sz w:val="13"/>
                <w:szCs w:val="13"/>
                <w:color w:val="auto"/>
              </w:rPr>
              <w:t>261,640</w:t>
            </w:r>
          </w:p>
        </w:tc>
        <w:tc>
          <w:tcPr>
            <w:tcW w:w="1000" w:type="dxa"/>
            <w:vAlign w:val="bottom"/>
          </w:tcPr>
          <w:p>
            <w:pPr>
              <w:jc w:val="right"/>
              <w:spacing w:after="0"/>
              <w:rPr>
                <w:sz w:val="20"/>
                <w:szCs w:val="20"/>
                <w:color w:val="auto"/>
              </w:rPr>
            </w:pPr>
            <w:r>
              <w:rPr>
                <w:rFonts w:ascii="Arial" w:cs="Arial" w:eastAsia="Arial" w:hAnsi="Arial"/>
                <w:sz w:val="13"/>
                <w:szCs w:val="13"/>
                <w:color w:val="auto"/>
              </w:rPr>
              <w:t>432,572</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832,152</w:t>
            </w:r>
          </w:p>
        </w:tc>
      </w:tr>
      <w:tr>
        <w:trPr>
          <w:trHeight w:val="17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Sale of treasury stock</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1,224,877</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2,715,071</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3,939,948</w:t>
            </w:r>
          </w:p>
        </w:tc>
      </w:t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Purchase of treasury stock</w:t>
            </w: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4"/>
              <w:spacing w:after="0"/>
              <w:rPr>
                <w:sz w:val="20"/>
                <w:szCs w:val="20"/>
                <w:color w:val="auto"/>
              </w:rPr>
            </w:pPr>
            <w:r>
              <w:rPr>
                <w:rFonts w:ascii="Arial" w:cs="Arial" w:eastAsia="Arial" w:hAnsi="Arial"/>
                <w:sz w:val="13"/>
                <w:szCs w:val="13"/>
                <w:color w:val="auto"/>
              </w:rPr>
              <w:t>(2,967,761)</w:t>
            </w:r>
          </w:p>
        </w:tc>
        <w:tc>
          <w:tcPr>
            <w:tcW w:w="860" w:type="dxa"/>
            <w:vAlign w:val="bottom"/>
          </w:tcPr>
          <w:p>
            <w:pPr>
              <w:jc w:val="right"/>
              <w:spacing w:after="0"/>
              <w:rPr>
                <w:sz w:val="20"/>
                <w:szCs w:val="20"/>
                <w:color w:val="auto"/>
              </w:rPr>
            </w:pPr>
            <w:r>
              <w:rPr>
                <w:rFonts w:ascii="Arial" w:cs="Arial" w:eastAsia="Arial" w:hAnsi="Arial"/>
                <w:sz w:val="13"/>
                <w:szCs w:val="13"/>
                <w:color w:val="auto"/>
              </w:rPr>
              <w:t>(2,967,761)</w:t>
            </w:r>
          </w:p>
        </w:tc>
      </w:tr>
      <w:tr>
        <w:trPr>
          <w:trHeight w:val="172"/>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Stock dividends</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810,420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123,440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2,179,814</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(3,113,675)</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21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Conversion Class C to Class A</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27,648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(27,648)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2020</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$33,191,566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$ 5,359,206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$50,287,253</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  23,243,133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$153,739,167</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$(1,833,272)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$263,987,053</w:t>
            </w:r>
          </w:p>
        </w:tc>
      </w:tr>
      <w:tr>
        <w:trPr>
          <w:trHeight w:val="20"/>
        </w:trPr>
        <w:tc>
          <w:tcPr>
            <w:tcW w:w="2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SECURITY NATIONAL FINANCIAL CORPORATION</w:t>
      </w:r>
    </w:p>
    <w:p>
      <w:pPr>
        <w:sectPr>
          <w:pgSz w:w="11900" w:h="16838" w:orient="portrait"/>
          <w:cols w:equalWidth="0" w:num="1">
            <w:col w:w="9179"/>
          </w:cols>
          <w:pgMar w:left="1280" w:top="122" w:right="1440" w:bottom="0" w:gutter="0" w:footer="0" w:header="0"/>
          <w:type w:val="continuous"/>
        </w:sectPr>
      </w:pPr>
    </w:p>
    <w:bookmarkStart w:id="40" w:name="page41"/>
    <w:bookmarkEnd w:id="40"/>
    <w:p>
      <w:pPr>
        <w:jc w:val="center"/>
        <w:ind w:right="319"/>
        <w:spacing w:after="0"/>
        <w:rPr>
          <w:sz w:val="20"/>
          <w:szCs w:val="20"/>
          <w:color w:val="auto"/>
        </w:rPr>
      </w:pPr>
      <w:r>
        <w:rPr>
          <w:rFonts w:ascii="Arial" w:cs="Arial" w:eastAsia="Arial" w:hAnsi="Arial"/>
          <w:sz w:val="19"/>
          <w:szCs w:val="19"/>
          <w:color w:val="auto"/>
        </w:rPr>
        <w:t>AND SUBSIDIARIES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Pr>
          <w:p>
            <w:pPr>
              <w:spacing w:after="0"/>
              <w:rPr>
                <w:sz w:val="22"/>
                <w:szCs w:val="22"/>
                <w:color w:val="auto"/>
              </w:rPr>
            </w:pPr>
          </w:p>
        </w:tc>
        <w:tc>
          <w:tcPr>
            <w:tcW w:w="3540" w:type="dxa"/>
            <w:vAlign w:val="bottom"/>
            <w:tcBorders>
              <w:bottom w:val="single" w:sz="8" w:color="auto"/>
            </w:tcBorders>
            <w:gridSpan w:val="5"/>
          </w:tcPr>
          <w:p>
            <w:pPr>
              <w:ind w:left="680"/>
              <w:spacing w:after="0"/>
              <w:rPr>
                <w:sz w:val="20"/>
                <w:szCs w:val="20"/>
                <w:color w:val="auto"/>
              </w:rPr>
            </w:pPr>
            <w:r>
              <w:rPr>
                <w:rFonts w:ascii="Arial" w:cs="Arial" w:eastAsia="Arial" w:hAnsi="Arial"/>
                <w:sz w:val="19"/>
                <w:szCs w:val="19"/>
                <w:b w:val="1"/>
                <w:bCs w:val="1"/>
                <w:color w:val="auto"/>
              </w:rPr>
              <w:t>Years Ended December 31</w:t>
            </w:r>
          </w:p>
        </w:tc>
      </w:tr>
      <w:tr>
        <w:trPr>
          <w:trHeight w:val="248"/>
        </w:trPr>
        <w:tc>
          <w:tcPr>
            <w:tcW w:w="5380" w:type="dxa"/>
            <w:vAlign w:val="bottom"/>
          </w:tcPr>
          <w:p>
            <w:pPr>
              <w:spacing w:after="0"/>
              <w:rPr>
                <w:sz w:val="21"/>
                <w:szCs w:val="21"/>
                <w:color w:val="auto"/>
              </w:rPr>
            </w:pPr>
          </w:p>
        </w:tc>
        <w:tc>
          <w:tcPr>
            <w:tcW w:w="1520" w:type="dxa"/>
            <w:vAlign w:val="bottom"/>
            <w:tcBorders>
              <w:bottom w:val="single" w:sz="8" w:color="auto"/>
            </w:tcBorders>
          </w:tcPr>
          <w:p>
            <w:pPr>
              <w:jc w:val="right"/>
              <w:ind w:right="463"/>
              <w:spacing w:after="0"/>
              <w:rPr>
                <w:sz w:val="20"/>
                <w:szCs w:val="20"/>
                <w:color w:val="auto"/>
              </w:rPr>
            </w:pPr>
            <w:r>
              <w:rPr>
                <w:rFonts w:ascii="Arial" w:cs="Arial" w:eastAsia="Arial" w:hAnsi="Arial"/>
                <w:sz w:val="19"/>
                <w:szCs w:val="19"/>
                <w:b w:val="1"/>
                <w:bCs w:val="1"/>
                <w:color w:val="auto"/>
              </w:rPr>
              <w:t>2020</w:t>
            </w:r>
          </w:p>
        </w:tc>
        <w:tc>
          <w:tcPr>
            <w:tcW w:w="260" w:type="dxa"/>
            <w:vAlign w:val="bottom"/>
          </w:tcPr>
          <w:p>
            <w:pPr>
              <w:spacing w:after="0"/>
              <w:rPr>
                <w:sz w:val="21"/>
                <w:szCs w:val="21"/>
                <w:color w:val="auto"/>
              </w:rPr>
            </w:pPr>
          </w:p>
        </w:tc>
        <w:tc>
          <w:tcPr>
            <w:tcW w:w="1520" w:type="dxa"/>
            <w:vAlign w:val="bottom"/>
            <w:tcBorders>
              <w:bottom w:val="single" w:sz="8" w:color="auto"/>
            </w:tcBorders>
          </w:tcPr>
          <w:p>
            <w:pPr>
              <w:jc w:val="right"/>
              <w:ind w:right="463"/>
              <w:spacing w:after="0"/>
              <w:rPr>
                <w:sz w:val="20"/>
                <w:szCs w:val="20"/>
                <w:color w:val="auto"/>
              </w:rPr>
            </w:pPr>
            <w:r>
              <w:rPr>
                <w:rFonts w:ascii="Arial" w:cs="Arial" w:eastAsia="Arial" w:hAnsi="Arial"/>
                <w:sz w:val="19"/>
                <w:szCs w:val="19"/>
                <w:b w:val="1"/>
                <w:bCs w:val="1"/>
                <w:color w:val="auto"/>
              </w:rPr>
              <w:t>2019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3"/>
        </w:trPr>
        <w:tc>
          <w:tcPr>
            <w:tcW w:w="5380" w:type="dxa"/>
            <w:vAlign w:val="bottom"/>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200"/>
              <w:spacing w:after="0"/>
              <w:rPr>
                <w:sz w:val="20"/>
                <w:szCs w:val="20"/>
                <w:color w:val="auto"/>
              </w:rPr>
            </w:pPr>
            <w:r>
              <w:rPr>
                <w:rFonts w:ascii="Arial" w:cs="Arial" w:eastAsia="Arial" w:hAnsi="Arial"/>
                <w:sz w:val="19"/>
                <w:szCs w:val="19"/>
                <w:color w:val="auto"/>
              </w:rPr>
              <w:t>Net earnings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  55,596,613</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  10,893,519</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21"/>
        </w:trPr>
        <w:tc>
          <w:tcPr>
            <w:tcW w:w="5380" w:type="dxa"/>
            <w:vAlign w:val="bottom"/>
          </w:tcPr>
          <w:p>
            <w:pPr>
              <w:ind w:left="420"/>
              <w:spacing w:after="0"/>
              <w:rPr>
                <w:sz w:val="20"/>
                <w:szCs w:val="20"/>
                <w:color w:val="auto"/>
              </w:rPr>
            </w:pPr>
            <w:r>
              <w:rPr>
                <w:rFonts w:ascii="Arial" w:cs="Arial" w:eastAsia="Arial" w:hAnsi="Arial"/>
                <w:sz w:val="19"/>
                <w:szCs w:val="19"/>
                <w:color w:val="auto"/>
              </w:rPr>
              <w:t>Adjustments to reconcile net earnings to net cash used in</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380" w:type="dxa"/>
            <w:vAlign w:val="bottom"/>
          </w:tcPr>
          <w:p>
            <w:pPr>
              <w:ind w:left="540"/>
              <w:spacing w:after="0"/>
              <w:rPr>
                <w:sz w:val="20"/>
                <w:szCs w:val="20"/>
                <w:color w:val="auto"/>
              </w:rPr>
            </w:pPr>
            <w:r>
              <w:rPr>
                <w:rFonts w:ascii="Arial" w:cs="Arial" w:eastAsia="Arial" w:hAnsi="Arial"/>
                <w:sz w:val="19"/>
                <w:szCs w:val="19"/>
                <w:color w:val="auto"/>
              </w:rPr>
              <w:t>operating activities: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Gains on investments and other assets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(1,925,850)</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(728,367)</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Other than temporary impairments on investments</w:t>
            </w:r>
          </w:p>
        </w:tc>
        <w:tc>
          <w:tcPr>
            <w:tcW w:w="1520" w:type="dxa"/>
            <w:vAlign w:val="bottom"/>
          </w:tcPr>
          <w:p>
            <w:pPr>
              <w:jc w:val="right"/>
              <w:spacing w:after="0"/>
              <w:rPr>
                <w:sz w:val="20"/>
                <w:szCs w:val="20"/>
                <w:color w:val="auto"/>
              </w:rPr>
            </w:pPr>
            <w:r>
              <w:rPr>
                <w:rFonts w:ascii="Arial" w:cs="Arial" w:eastAsia="Arial" w:hAnsi="Arial"/>
                <w:sz w:val="19"/>
                <w:szCs w:val="19"/>
                <w:color w:val="auto"/>
              </w:rPr>
              <w:t>370,975</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Depreciation</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5,447,363</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5,183,658</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Provision for loan losses and doubtful accounts</w:t>
            </w:r>
          </w:p>
        </w:tc>
        <w:tc>
          <w:tcPr>
            <w:tcW w:w="1520" w:type="dxa"/>
            <w:vAlign w:val="bottom"/>
          </w:tcPr>
          <w:p>
            <w:pPr>
              <w:jc w:val="right"/>
              <w:spacing w:after="0"/>
              <w:rPr>
                <w:sz w:val="20"/>
                <w:szCs w:val="20"/>
                <w:color w:val="auto"/>
              </w:rPr>
            </w:pPr>
            <w:r>
              <w:rPr>
                <w:rFonts w:ascii="Arial" w:cs="Arial" w:eastAsia="Arial" w:hAnsi="Arial"/>
                <w:sz w:val="19"/>
                <w:szCs w:val="19"/>
                <w:color w:val="auto"/>
              </w:rPr>
              <w:t>1,577,370</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1,202,688</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5"/>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Net amortization of deferred fees and costs, premiums</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54"/>
        </w:trPr>
        <w:tc>
          <w:tcPr>
            <w:tcW w:w="5380" w:type="dxa"/>
            <w:vAlign w:val="bottom"/>
            <w:shd w:val="clear" w:color="auto" w:fill="CCEEFF"/>
          </w:tcPr>
          <w:p>
            <w:pPr>
              <w:ind w:left="540"/>
              <w:spacing w:after="0"/>
              <w:rPr>
                <w:sz w:val="20"/>
                <w:szCs w:val="20"/>
                <w:color w:val="auto"/>
              </w:rPr>
            </w:pPr>
            <w:r>
              <w:rPr>
                <w:rFonts w:ascii="Arial" w:cs="Arial" w:eastAsia="Arial" w:hAnsi="Arial"/>
                <w:sz w:val="19"/>
                <w:szCs w:val="19"/>
                <w:color w:val="auto"/>
              </w:rPr>
              <w:t>and discounts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(1,227,773)</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(887,605)</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Provision for deferred income taxes</w:t>
            </w:r>
          </w:p>
        </w:tc>
        <w:tc>
          <w:tcPr>
            <w:tcW w:w="1520" w:type="dxa"/>
            <w:vAlign w:val="bottom"/>
          </w:tcPr>
          <w:p>
            <w:pPr>
              <w:jc w:val="right"/>
              <w:spacing w:after="0"/>
              <w:rPr>
                <w:sz w:val="20"/>
                <w:szCs w:val="20"/>
                <w:color w:val="auto"/>
              </w:rPr>
            </w:pPr>
            <w:r>
              <w:rPr>
                <w:rFonts w:ascii="Arial" w:cs="Arial" w:eastAsia="Arial" w:hAnsi="Arial"/>
                <w:sz w:val="19"/>
                <w:szCs w:val="19"/>
                <w:color w:val="auto"/>
              </w:rPr>
              <w:t>2,854,669</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(1,857,897)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Policy and pre-need acquisition costs deferred</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(18,909,921)</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(19,176,531)</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Policy and pre-need acquisition costs amortized</w:t>
            </w:r>
          </w:p>
        </w:tc>
        <w:tc>
          <w:tcPr>
            <w:tcW w:w="1520" w:type="dxa"/>
            <w:vAlign w:val="bottom"/>
          </w:tcPr>
          <w:p>
            <w:pPr>
              <w:jc w:val="right"/>
              <w:spacing w:after="0"/>
              <w:rPr>
                <w:sz w:val="20"/>
                <w:szCs w:val="20"/>
                <w:color w:val="auto"/>
              </w:rPr>
            </w:pPr>
            <w:r>
              <w:rPr>
                <w:rFonts w:ascii="Arial" w:cs="Arial" w:eastAsia="Arial" w:hAnsi="Arial"/>
                <w:sz w:val="19"/>
                <w:szCs w:val="19"/>
                <w:color w:val="auto"/>
              </w:rPr>
              <w:t>13,520,600</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13,787,037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Value of business acquired amortized</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786,825</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847,540</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Mortgage servicing rights, additions</w:t>
            </w:r>
          </w:p>
        </w:tc>
        <w:tc>
          <w:tcPr>
            <w:tcW w:w="1520" w:type="dxa"/>
            <w:vAlign w:val="bottom"/>
          </w:tcPr>
          <w:p>
            <w:pPr>
              <w:jc w:val="right"/>
              <w:spacing w:after="0"/>
              <w:rPr>
                <w:sz w:val="20"/>
                <w:szCs w:val="20"/>
                <w:color w:val="auto"/>
              </w:rPr>
            </w:pPr>
            <w:r>
              <w:rPr>
                <w:rFonts w:ascii="Arial" w:cs="Arial" w:eastAsia="Arial" w:hAnsi="Arial"/>
                <w:sz w:val="19"/>
                <w:szCs w:val="19"/>
                <w:color w:val="auto"/>
              </w:rPr>
              <w:t>(29,896,465)</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(4,194,502)</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Amortization of mortgage servicing rights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11,841,478</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7,055,795</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Stock based compensation expense</w:t>
            </w:r>
          </w:p>
        </w:tc>
        <w:tc>
          <w:tcPr>
            <w:tcW w:w="1520" w:type="dxa"/>
            <w:vAlign w:val="bottom"/>
          </w:tcPr>
          <w:p>
            <w:pPr>
              <w:jc w:val="right"/>
              <w:spacing w:after="0"/>
              <w:rPr>
                <w:sz w:val="20"/>
                <w:szCs w:val="20"/>
                <w:color w:val="auto"/>
              </w:rPr>
            </w:pPr>
            <w:r>
              <w:rPr>
                <w:rFonts w:ascii="Arial" w:cs="Arial" w:eastAsia="Arial" w:hAnsi="Arial"/>
                <w:sz w:val="19"/>
                <w:szCs w:val="19"/>
                <w:color w:val="auto"/>
              </w:rPr>
              <w:t>358,878</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256,996</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Benefit plans funded with treasury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3,939,948</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695,560</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Net change in fair value of loans held for sale</w:t>
            </w:r>
          </w:p>
        </w:tc>
        <w:tc>
          <w:tcPr>
            <w:tcW w:w="1520" w:type="dxa"/>
            <w:vAlign w:val="bottom"/>
          </w:tcPr>
          <w:p>
            <w:pPr>
              <w:jc w:val="right"/>
              <w:spacing w:after="0"/>
              <w:rPr>
                <w:sz w:val="20"/>
                <w:szCs w:val="20"/>
                <w:color w:val="auto"/>
              </w:rPr>
            </w:pPr>
            <w:r>
              <w:rPr>
                <w:rFonts w:ascii="Arial" w:cs="Arial" w:eastAsia="Arial" w:hAnsi="Arial"/>
                <w:sz w:val="19"/>
                <w:szCs w:val="19"/>
                <w:color w:val="auto"/>
              </w:rPr>
              <w:t>(10,413,492)</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(2,498,097)</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Originations of loans held for sale</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(5,627,013,749)</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(2,606,839,175)</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Proceeds from sales of loans held for sale</w:t>
            </w:r>
          </w:p>
        </w:tc>
        <w:tc>
          <w:tcPr>
            <w:tcW w:w="1520" w:type="dxa"/>
            <w:vAlign w:val="bottom"/>
          </w:tcPr>
          <w:p>
            <w:pPr>
              <w:jc w:val="right"/>
              <w:spacing w:after="0"/>
              <w:rPr>
                <w:sz w:val="20"/>
                <w:szCs w:val="20"/>
                <w:color w:val="auto"/>
              </w:rPr>
            </w:pPr>
            <w:r>
              <w:rPr>
                <w:rFonts w:ascii="Arial" w:cs="Arial" w:eastAsia="Arial" w:hAnsi="Arial"/>
                <w:sz w:val="19"/>
                <w:szCs w:val="19"/>
                <w:color w:val="auto"/>
              </w:rPr>
              <w:t>5,600,045,285</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2,580,875,055</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Net gains on sales of loans held for sale</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(188,893,379)</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(80,666,413)</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19"/>
                <w:szCs w:val="19"/>
                <w:color w:val="auto"/>
              </w:rPr>
              <w:t>Change in assets and liabilities:</w:t>
            </w: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Land and improvements held for sale</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758,514</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358,477</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Future policy benefits and unpaid claims</w:t>
            </w:r>
          </w:p>
        </w:tc>
        <w:tc>
          <w:tcPr>
            <w:tcW w:w="1520" w:type="dxa"/>
            <w:vAlign w:val="bottom"/>
          </w:tcPr>
          <w:p>
            <w:pPr>
              <w:jc w:val="right"/>
              <w:spacing w:after="0"/>
              <w:rPr>
                <w:sz w:val="20"/>
                <w:szCs w:val="20"/>
                <w:color w:val="auto"/>
              </w:rPr>
            </w:pPr>
            <w:r>
              <w:rPr>
                <w:rFonts w:ascii="Arial" w:cs="Arial" w:eastAsia="Arial" w:hAnsi="Arial"/>
                <w:sz w:val="19"/>
                <w:szCs w:val="19"/>
                <w:color w:val="auto"/>
              </w:rPr>
              <w:t>25,804,740</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18,394,928</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Other operating assets and liabilities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25,750,164</w:t>
            </w:r>
          </w:p>
        </w:tc>
        <w:tc>
          <w:tcPr>
            <w:tcW w:w="26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1,695,259</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42"/>
        </w:trPr>
        <w:tc>
          <w:tcPr>
            <w:tcW w:w="5380" w:type="dxa"/>
            <w:vAlign w:val="bottom"/>
          </w:tcPr>
          <w:p>
            <w:pPr>
              <w:ind w:left="620"/>
              <w:spacing w:after="0"/>
              <w:rPr>
                <w:sz w:val="20"/>
                <w:szCs w:val="20"/>
                <w:color w:val="auto"/>
              </w:rPr>
            </w:pPr>
            <w:r>
              <w:rPr>
                <w:rFonts w:ascii="Arial" w:cs="Arial" w:eastAsia="Arial" w:hAnsi="Arial"/>
                <w:sz w:val="19"/>
                <w:szCs w:val="19"/>
                <w:color w:val="auto"/>
              </w:rPr>
              <w:t>Net cash used in operating activities</w:t>
            </w:r>
          </w:p>
        </w:tc>
        <w:tc>
          <w:tcPr>
            <w:tcW w:w="1520" w:type="dxa"/>
            <w:vAlign w:val="bottom"/>
          </w:tcPr>
          <w:p>
            <w:pPr>
              <w:jc w:val="right"/>
              <w:spacing w:after="0"/>
              <w:rPr>
                <w:sz w:val="20"/>
                <w:szCs w:val="20"/>
                <w:color w:val="auto"/>
              </w:rPr>
            </w:pPr>
            <w:r>
              <w:rPr>
                <w:rFonts w:ascii="Arial" w:cs="Arial" w:eastAsia="Arial" w:hAnsi="Arial"/>
                <w:sz w:val="19"/>
                <w:szCs w:val="19"/>
                <w:color w:val="auto"/>
              </w:rPr>
              <w:t>(129,627,207)</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(75,602,075)</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6"/>
        </w:trPr>
        <w:tc>
          <w:tcPr>
            <w:tcW w:w="53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Purchases of fixed maturity securities</w:t>
            </w:r>
          </w:p>
        </w:tc>
        <w:tc>
          <w:tcPr>
            <w:tcW w:w="1520" w:type="dxa"/>
            <w:vAlign w:val="bottom"/>
          </w:tcPr>
          <w:p>
            <w:pPr>
              <w:jc w:val="right"/>
              <w:spacing w:after="0"/>
              <w:rPr>
                <w:sz w:val="20"/>
                <w:szCs w:val="20"/>
                <w:color w:val="auto"/>
              </w:rPr>
            </w:pPr>
            <w:r>
              <w:rPr>
                <w:rFonts w:ascii="Arial" w:cs="Arial" w:eastAsia="Arial" w:hAnsi="Arial"/>
                <w:sz w:val="19"/>
                <w:szCs w:val="19"/>
                <w:color w:val="auto"/>
              </w:rPr>
              <w:t>(58,493,147)</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(110,601,438)</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Sales, calls and maturities of fixed maturity securities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131,269,730</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26,624,182</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420"/>
              <w:spacing w:after="0"/>
              <w:rPr>
                <w:sz w:val="20"/>
                <w:szCs w:val="20"/>
                <w:color w:val="auto"/>
              </w:rPr>
            </w:pPr>
            <w:r>
              <w:rPr>
                <w:rFonts w:ascii="Arial" w:cs="Arial" w:eastAsia="Arial" w:hAnsi="Arial"/>
                <w:sz w:val="19"/>
                <w:szCs w:val="19"/>
                <w:color w:val="auto"/>
              </w:rPr>
              <w:t>Purchase of equity securities</w:t>
            </w:r>
          </w:p>
        </w:tc>
        <w:tc>
          <w:tcPr>
            <w:tcW w:w="1520" w:type="dxa"/>
            <w:vAlign w:val="bottom"/>
          </w:tcPr>
          <w:p>
            <w:pPr>
              <w:jc w:val="right"/>
              <w:spacing w:after="0"/>
              <w:rPr>
                <w:sz w:val="20"/>
                <w:szCs w:val="20"/>
                <w:color w:val="auto"/>
              </w:rPr>
            </w:pPr>
            <w:r>
              <w:rPr>
                <w:rFonts w:ascii="Arial" w:cs="Arial" w:eastAsia="Arial" w:hAnsi="Arial"/>
                <w:sz w:val="19"/>
                <w:szCs w:val="19"/>
                <w:color w:val="auto"/>
              </w:rPr>
              <w:t>(6,991,832)</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(3,264,028)</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420"/>
              <w:spacing w:after="0"/>
              <w:rPr>
                <w:sz w:val="20"/>
                <w:szCs w:val="20"/>
                <w:color w:val="auto"/>
              </w:rPr>
            </w:pPr>
            <w:r>
              <w:rPr>
                <w:rFonts w:ascii="Arial" w:cs="Arial" w:eastAsia="Arial" w:hAnsi="Arial"/>
                <w:sz w:val="19"/>
                <w:szCs w:val="19"/>
                <w:color w:val="auto"/>
              </w:rPr>
              <w:t>Sales of equity securities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3,902,835</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2,639,729</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19"/>
                <w:szCs w:val="19"/>
                <w:color w:val="auto"/>
              </w:rPr>
              <w:t>Net changes in restricted assets</w:t>
            </w:r>
          </w:p>
        </w:tc>
        <w:tc>
          <w:tcPr>
            <w:tcW w:w="1520" w:type="dxa"/>
            <w:vAlign w:val="bottom"/>
          </w:tcPr>
          <w:p>
            <w:pPr>
              <w:jc w:val="right"/>
              <w:spacing w:after="0"/>
              <w:rPr>
                <w:sz w:val="20"/>
                <w:szCs w:val="20"/>
                <w:color w:val="auto"/>
              </w:rPr>
            </w:pPr>
            <w:r>
              <w:rPr>
                <w:rFonts w:ascii="Arial" w:cs="Arial" w:eastAsia="Arial" w:hAnsi="Arial"/>
                <w:sz w:val="19"/>
                <w:szCs w:val="19"/>
                <w:color w:val="auto"/>
              </w:rPr>
              <w:t>(1,954,437)</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(1,254,991)</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200"/>
              <w:spacing w:after="0"/>
              <w:rPr>
                <w:sz w:val="20"/>
                <w:szCs w:val="20"/>
                <w:color w:val="auto"/>
              </w:rPr>
            </w:pPr>
            <w:r>
              <w:rPr>
                <w:rFonts w:ascii="Arial" w:cs="Arial" w:eastAsia="Arial" w:hAnsi="Arial"/>
                <w:sz w:val="19"/>
                <w:szCs w:val="19"/>
                <w:color w:val="auto"/>
              </w:rPr>
              <w:t>Net changes in cemetery perpetual care trust investments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(2,755,856)</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299,897</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21"/>
        </w:trPr>
        <w:tc>
          <w:tcPr>
            <w:tcW w:w="5380" w:type="dxa"/>
            <w:vAlign w:val="bottom"/>
          </w:tcPr>
          <w:p>
            <w:pPr>
              <w:ind w:left="200"/>
              <w:spacing w:after="0"/>
              <w:rPr>
                <w:sz w:val="20"/>
                <w:szCs w:val="20"/>
                <w:color w:val="auto"/>
              </w:rPr>
            </w:pPr>
            <w:r>
              <w:rPr>
                <w:rFonts w:ascii="Arial" w:cs="Arial" w:eastAsia="Arial" w:hAnsi="Arial"/>
                <w:sz w:val="19"/>
                <w:szCs w:val="19"/>
                <w:color w:val="auto"/>
              </w:rPr>
              <w:t>Mortgage loans held for investment, other investments and</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380" w:type="dxa"/>
            <w:vAlign w:val="bottom"/>
          </w:tcPr>
          <w:p>
            <w:pPr>
              <w:ind w:left="200"/>
              <w:spacing w:after="0"/>
              <w:rPr>
                <w:sz w:val="20"/>
                <w:szCs w:val="20"/>
                <w:color w:val="auto"/>
              </w:rPr>
            </w:pPr>
            <w:r>
              <w:rPr>
                <w:rFonts w:ascii="Arial" w:cs="Arial" w:eastAsia="Arial" w:hAnsi="Arial"/>
                <w:sz w:val="19"/>
                <w:szCs w:val="19"/>
                <w:color w:val="auto"/>
              </w:rPr>
              <w:t>policy loans made</w:t>
            </w:r>
          </w:p>
        </w:tc>
        <w:tc>
          <w:tcPr>
            <w:tcW w:w="1520" w:type="dxa"/>
            <w:vAlign w:val="bottom"/>
          </w:tcPr>
          <w:p>
            <w:pPr>
              <w:jc w:val="right"/>
              <w:spacing w:after="0"/>
              <w:rPr>
                <w:sz w:val="20"/>
                <w:szCs w:val="20"/>
                <w:color w:val="auto"/>
              </w:rPr>
            </w:pPr>
            <w:r>
              <w:rPr>
                <w:rFonts w:ascii="Arial" w:cs="Arial" w:eastAsia="Arial" w:hAnsi="Arial"/>
                <w:sz w:val="19"/>
                <w:szCs w:val="19"/>
                <w:color w:val="auto"/>
              </w:rPr>
              <w:t>(682,170,126)</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(572,171,590)</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5"/>
        </w:trPr>
        <w:tc>
          <w:tcPr>
            <w:tcW w:w="5380" w:type="dxa"/>
            <w:vAlign w:val="bottom"/>
            <w:shd w:val="clear" w:color="auto" w:fill="CCEEFF"/>
          </w:tcPr>
          <w:p>
            <w:pPr>
              <w:ind w:left="200"/>
              <w:spacing w:after="0"/>
              <w:rPr>
                <w:sz w:val="20"/>
                <w:szCs w:val="20"/>
                <w:color w:val="auto"/>
              </w:rPr>
            </w:pPr>
            <w:r>
              <w:rPr>
                <w:rFonts w:ascii="Arial" w:cs="Arial" w:eastAsia="Arial" w:hAnsi="Arial"/>
                <w:sz w:val="19"/>
                <w:szCs w:val="19"/>
                <w:color w:val="auto"/>
              </w:rPr>
              <w:t>Payments received for mortgage loans held for investment,</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54"/>
        </w:trPr>
        <w:tc>
          <w:tcPr>
            <w:tcW w:w="5380" w:type="dxa"/>
            <w:vAlign w:val="bottom"/>
            <w:shd w:val="clear" w:color="auto" w:fill="CCEEFF"/>
          </w:tcPr>
          <w:p>
            <w:pPr>
              <w:ind w:left="300"/>
              <w:spacing w:after="0"/>
              <w:rPr>
                <w:sz w:val="20"/>
                <w:szCs w:val="20"/>
                <w:color w:val="auto"/>
              </w:rPr>
            </w:pPr>
            <w:r>
              <w:rPr>
                <w:rFonts w:ascii="Arial" w:cs="Arial" w:eastAsia="Arial" w:hAnsi="Arial"/>
                <w:sz w:val="19"/>
                <w:szCs w:val="19"/>
                <w:color w:val="auto"/>
              </w:rPr>
              <w:t>other investments and policy loans</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672,544,708</w:t>
            </w: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556,352,676</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19"/>
                <w:szCs w:val="19"/>
                <w:color w:val="auto"/>
              </w:rPr>
              <w:t>Purchases of property and equipment</w:t>
            </w:r>
          </w:p>
        </w:tc>
        <w:tc>
          <w:tcPr>
            <w:tcW w:w="1520" w:type="dxa"/>
            <w:vAlign w:val="bottom"/>
          </w:tcPr>
          <w:p>
            <w:pPr>
              <w:jc w:val="right"/>
              <w:spacing w:after="0"/>
              <w:rPr>
                <w:sz w:val="20"/>
                <w:szCs w:val="20"/>
                <w:color w:val="auto"/>
              </w:rPr>
            </w:pPr>
            <w:r>
              <w:rPr>
                <w:rFonts w:ascii="Arial" w:cs="Arial" w:eastAsia="Arial" w:hAnsi="Arial"/>
                <w:sz w:val="19"/>
                <w:szCs w:val="19"/>
                <w:color w:val="auto"/>
              </w:rPr>
              <w:t>(1,630,734)</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(1,839,293)</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200"/>
              <w:spacing w:after="0"/>
              <w:rPr>
                <w:sz w:val="20"/>
                <w:szCs w:val="20"/>
                <w:color w:val="auto"/>
              </w:rPr>
            </w:pPr>
            <w:r>
              <w:rPr>
                <w:rFonts w:ascii="Arial" w:cs="Arial" w:eastAsia="Arial" w:hAnsi="Arial"/>
                <w:sz w:val="19"/>
                <w:szCs w:val="19"/>
                <w:color w:val="auto"/>
              </w:rPr>
              <w:t>Sales of property and equipment</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194,955</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54,496</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19"/>
                <w:szCs w:val="19"/>
                <w:color w:val="auto"/>
              </w:rPr>
              <w:t>Purchases of real estate</w:t>
            </w:r>
          </w:p>
        </w:tc>
        <w:tc>
          <w:tcPr>
            <w:tcW w:w="1520" w:type="dxa"/>
            <w:vAlign w:val="bottom"/>
          </w:tcPr>
          <w:p>
            <w:pPr>
              <w:jc w:val="right"/>
              <w:spacing w:after="0"/>
              <w:rPr>
                <w:sz w:val="20"/>
                <w:szCs w:val="20"/>
                <w:color w:val="auto"/>
              </w:rPr>
            </w:pPr>
            <w:r>
              <w:rPr>
                <w:rFonts w:ascii="Arial" w:cs="Arial" w:eastAsia="Arial" w:hAnsi="Arial"/>
                <w:sz w:val="19"/>
                <w:szCs w:val="19"/>
                <w:color w:val="auto"/>
              </w:rPr>
              <w:t>(40,190,471)</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(8,572,556)</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200"/>
              <w:spacing w:after="0"/>
              <w:rPr>
                <w:sz w:val="20"/>
                <w:szCs w:val="20"/>
                <w:color w:val="auto"/>
              </w:rPr>
            </w:pPr>
            <w:r>
              <w:rPr>
                <w:rFonts w:ascii="Arial" w:cs="Arial" w:eastAsia="Arial" w:hAnsi="Arial"/>
                <w:sz w:val="19"/>
                <w:szCs w:val="19"/>
                <w:color w:val="auto"/>
              </w:rPr>
              <w:t>Sales of real estate</w:t>
            </w: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22,418,816</w:t>
            </w: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11,614,927</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0"/>
        </w:trPr>
        <w:tc>
          <w:tcPr>
            <w:tcW w:w="5380" w:type="dxa"/>
            <w:vAlign w:val="bottom"/>
          </w:tcPr>
          <w:p>
            <w:pPr>
              <w:ind w:left="200"/>
              <w:spacing w:after="0"/>
              <w:rPr>
                <w:sz w:val="20"/>
                <w:szCs w:val="20"/>
                <w:color w:val="auto"/>
              </w:rPr>
            </w:pPr>
            <w:r>
              <w:rPr>
                <w:rFonts w:ascii="Arial" w:cs="Arial" w:eastAsia="Arial" w:hAnsi="Arial"/>
                <w:sz w:val="19"/>
                <w:szCs w:val="19"/>
                <w:color w:val="auto"/>
              </w:rPr>
              <w:t>Cash received for reinsurance assumed</w:t>
            </w:r>
          </w:p>
        </w:tc>
        <w:tc>
          <w:tcPr>
            <w:tcW w:w="152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158,358,594</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8"/>
        </w:trPr>
        <w:tc>
          <w:tcPr>
            <w:tcW w:w="5380" w:type="dxa"/>
            <w:vAlign w:val="bottom"/>
            <w:shd w:val="clear" w:color="auto" w:fill="CCEEFF"/>
          </w:tcPr>
          <w:p>
            <w:pPr>
              <w:ind w:left="200"/>
              <w:spacing w:after="0"/>
              <w:rPr>
                <w:sz w:val="20"/>
                <w:szCs w:val="20"/>
                <w:color w:val="auto"/>
              </w:rPr>
            </w:pPr>
            <w:r>
              <w:rPr>
                <w:rFonts w:ascii="Arial" w:cs="Arial" w:eastAsia="Arial" w:hAnsi="Arial"/>
                <w:sz w:val="19"/>
                <w:szCs w:val="19"/>
                <w:color w:val="auto"/>
              </w:rPr>
              <w:t>Cash paid for purchase of subsidiaries, net of cash acquired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(20,141,074)</w:t>
            </w: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9"/>
        </w:trPr>
        <w:tc>
          <w:tcPr>
            <w:tcW w:w="5380" w:type="dxa"/>
            <w:vAlign w:val="bottom"/>
          </w:tcPr>
          <w:p>
            <w:pPr>
              <w:ind w:left="600"/>
              <w:spacing w:after="0"/>
              <w:rPr>
                <w:sz w:val="20"/>
                <w:szCs w:val="20"/>
                <w:color w:val="auto"/>
              </w:rPr>
            </w:pPr>
            <w:r>
              <w:rPr>
                <w:rFonts w:ascii="Arial" w:cs="Arial" w:eastAsia="Arial" w:hAnsi="Arial"/>
                <w:sz w:val="19"/>
                <w:szCs w:val="19"/>
                <w:color w:val="auto"/>
              </w:rPr>
              <w:t>Net cash provided by investing activities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36,144,441</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38,099,531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8"/>
        </w:trPr>
        <w:tc>
          <w:tcPr>
            <w:tcW w:w="5380" w:type="dxa"/>
            <w:vAlign w:val="bottom"/>
          </w:tcPr>
          <w:p>
            <w:pPr>
              <w:ind w:left="4340"/>
              <w:spacing w:after="0"/>
              <w:rPr>
                <w:sz w:val="20"/>
                <w:szCs w:val="20"/>
                <w:color w:val="auto"/>
              </w:rPr>
            </w:pPr>
            <w:r>
              <w:rPr>
                <w:rFonts w:ascii="Arial" w:cs="Arial" w:eastAsia="Arial" w:hAnsi="Arial"/>
                <w:sz w:val="18"/>
                <w:szCs w:val="18"/>
                <w:color w:val="auto"/>
              </w:rPr>
              <w:t>41</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5"/>
        </w:trPr>
        <w:tc>
          <w:tcPr>
            <w:tcW w:w="5380" w:type="dxa"/>
            <w:vAlign w:val="bottom"/>
            <w:tcBorders>
              <w:bottom w:val="single" w:sz="8" w:color="909090"/>
            </w:tcBorders>
          </w:tcPr>
          <w:p>
            <w:pPr>
              <w:spacing w:after="0"/>
              <w:rPr>
                <w:sz w:val="14"/>
                <w:szCs w:val="14"/>
                <w:color w:val="auto"/>
              </w:rPr>
            </w:pPr>
          </w:p>
        </w:tc>
        <w:tc>
          <w:tcPr>
            <w:tcW w:w="1520" w:type="dxa"/>
            <w:vAlign w:val="bottom"/>
            <w:tcBorders>
              <w:bottom w:val="single" w:sz="8" w:color="909090"/>
            </w:tcBorders>
          </w:tcPr>
          <w:p>
            <w:pPr>
              <w:spacing w:after="0"/>
              <w:rPr>
                <w:sz w:val="14"/>
                <w:szCs w:val="14"/>
                <w:color w:val="auto"/>
              </w:rPr>
            </w:pPr>
          </w:p>
        </w:tc>
        <w:tc>
          <w:tcPr>
            <w:tcW w:w="260" w:type="dxa"/>
            <w:vAlign w:val="bottom"/>
            <w:tcBorders>
              <w:bottom w:val="single" w:sz="8" w:color="909090"/>
            </w:tcBorders>
          </w:tcPr>
          <w:p>
            <w:pPr>
              <w:spacing w:after="0"/>
              <w:rPr>
                <w:sz w:val="14"/>
                <w:szCs w:val="14"/>
                <w:color w:val="auto"/>
              </w:rPr>
            </w:pPr>
          </w:p>
        </w:tc>
        <w:tc>
          <w:tcPr>
            <w:tcW w:w="1520" w:type="dxa"/>
            <w:vAlign w:val="bottom"/>
            <w:tcBorders>
              <w:bottom w:val="single" w:sz="8" w:color="909090"/>
            </w:tcBorders>
          </w:tcPr>
          <w:p>
            <w:pPr>
              <w:spacing w:after="0"/>
              <w:rPr>
                <w:sz w:val="14"/>
                <w:szCs w:val="14"/>
                <w:color w:val="auto"/>
              </w:rPr>
            </w:pPr>
          </w:p>
        </w:tc>
        <w:tc>
          <w:tcPr>
            <w:tcW w:w="180" w:type="dxa"/>
            <w:vAlign w:val="bottom"/>
            <w:tcBorders>
              <w:bottom w:val="single" w:sz="8" w:color="909090"/>
            </w:tcBorders>
          </w:tcPr>
          <w:p>
            <w:pPr>
              <w:spacing w:after="0"/>
              <w:rPr>
                <w:sz w:val="14"/>
                <w:szCs w:val="14"/>
                <w:color w:val="auto"/>
              </w:rPr>
            </w:pPr>
          </w:p>
        </w:tc>
        <w:tc>
          <w:tcPr>
            <w:tcW w:w="60" w:type="dxa"/>
            <w:vAlign w:val="bottom"/>
          </w:tcPr>
          <w:p>
            <w:pPr>
              <w:spacing w:after="0"/>
              <w:rPr>
                <w:sz w:val="14"/>
                <w:szCs w:val="14"/>
                <w:color w:val="auto"/>
              </w:rPr>
            </w:pPr>
          </w:p>
        </w:tc>
      </w:tr>
    </w:tbl>
    <w:p>
      <w:pPr>
        <w:sectPr>
          <w:pgSz w:w="11900" w:h="16838" w:orient="portrait"/>
          <w:cols w:equalWidth="0" w:num="1">
            <w:col w:w="9179"/>
          </w:cols>
          <w:pgMar w:left="1280" w:top="122" w:right="1440" w:bottom="1440" w:gutter="0" w:footer="0" w:header="0"/>
        </w:sectPr>
      </w:pPr>
    </w:p>
    <w:bookmarkStart w:id="41" w:name="page42"/>
    <w:bookmarkEnd w:id="41"/>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CONSOLIDATED STATEMENTS OF CASH FLOWS (Continued)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contract receipts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11,511,118</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12,141,627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Investment contract withdrawals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(18,235,107)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2"/>
              </w:rPr>
              <w:t>(16,911,841)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options exercised</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832,152</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863,910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(2,967,761)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(1,539,888)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bank loans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(174,865,813)</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(236,790,722)</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Proceeds from bank loans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164,586,365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196,610,127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warehouse line borrowings for loans held for sale</w:t>
            </w: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90,351,225</w:t>
            </w:r>
          </w:p>
        </w:tc>
        <w:tc>
          <w:tcPr>
            <w:tcW w:w="1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69,928,331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71,212,179</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24,301,544</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7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w w:val="98"/>
              </w:rPr>
              <w:t>Net change in cash, cash equivalents, restricted cash and restricted</w:t>
            </w: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(22,270,587)</w:t>
            </w:r>
          </w:p>
        </w:tc>
        <w:tc>
          <w:tcPr>
            <w:tcW w:w="1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(13,201,000)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740" w:type="dxa"/>
            <w:vAlign w:val="bottom"/>
          </w:tcPr>
          <w:p>
            <w:pPr>
              <w:spacing w:after="0" w:line="182" w:lineRule="exact"/>
              <w:rPr>
                <w:sz w:val="20"/>
                <w:szCs w:val="20"/>
                <w:color w:val="auto"/>
              </w:rPr>
            </w:pPr>
            <w:r>
              <w:rPr>
                <w:rFonts w:ascii="Arial" w:cs="Arial" w:eastAsia="Arial" w:hAnsi="Arial"/>
                <w:sz w:val="18"/>
                <w:szCs w:val="18"/>
                <w:color w:val="auto"/>
                <w:w w:val="97"/>
              </w:rPr>
              <w:t>Cash, cash equivalents, restricted cash and restricted cash equivalents at</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137,735,673</w:t>
            </w:r>
          </w:p>
        </w:tc>
        <w:tc>
          <w:tcPr>
            <w:tcW w:w="1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150,936,673</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74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3"/>
              </w:rPr>
              <w:t>Cash, cash equivalents, restricted cash and restricted cash equivalents</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$ 115,465,086</w:t>
            </w:r>
          </w:p>
        </w:tc>
        <w:tc>
          <w:tcPr>
            <w:tcW w:w="18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$ 137,735,673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at end of year</w:t>
            </w:r>
          </w:p>
        </w:tc>
        <w:tc>
          <w:tcPr>
            <w:tcW w:w="1380" w:type="dxa"/>
            <w:vAlign w:val="bottom"/>
            <w:tcBorders>
              <w:bottom w:val="single" w:sz="8" w:color="auto"/>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amount capitalized)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8,385,270</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7,284,078</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11,813,120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4,861,318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16,960,549</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31,881,851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Accrued real estate construction costs and retainage</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6,365,534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590,256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Right-of-use assets obtained in exchange for operating lease liabilities</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5,631,193</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16,544,406</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w w:val="99"/>
              </w:rPr>
              <w:t>Mortgage loans held for investment foreclosed into real estate held for</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200"/>
              <w:spacing w:after="0"/>
              <w:rPr>
                <w:sz w:val="20"/>
                <w:szCs w:val="20"/>
                <w:color w:val="auto"/>
              </w:rPr>
            </w:pPr>
            <w:r>
              <w:rPr>
                <w:rFonts w:ascii="Arial" w:cs="Arial" w:eastAsia="Arial" w:hAnsi="Arial"/>
                <w:sz w:val="18"/>
                <w:szCs w:val="18"/>
                <w:color w:val="auto"/>
              </w:rPr>
              <w:t>investment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686,124</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252,763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Transfer of real estate held for investment to property and equipment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3,261,259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 of property and equipment to real estate held for investment</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1,516,700</w:t>
            </w: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0"/>
              <w:spacing w:after="0"/>
              <w:rPr>
                <w:sz w:val="20"/>
                <w:szCs w:val="20"/>
                <w:color w:val="auto"/>
              </w:rPr>
            </w:pPr>
            <w:r>
              <w:rPr>
                <w:rFonts w:ascii="Arial" w:cs="Arial" w:eastAsia="Arial" w:hAnsi="Arial"/>
                <w:sz w:val="18"/>
                <w:szCs w:val="18"/>
                <w:color w:val="auto"/>
              </w:rPr>
              <w:t>Mortgage loans held for investment foreclosed into receivables</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155,347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0" w:right="4099"/>
        <w:spacing w:after="0" w:line="302" w:lineRule="auto"/>
        <w:rPr>
          <w:sz w:val="20"/>
          <w:szCs w:val="20"/>
          <w:color w:val="auto"/>
        </w:rPr>
      </w:pPr>
      <w:r>
        <w:rPr>
          <w:rFonts w:ascii="Arial" w:cs="Arial" w:eastAsia="Arial" w:hAnsi="Arial"/>
          <w:sz w:val="16"/>
          <w:szCs w:val="16"/>
          <w:color w:val="auto"/>
        </w:rPr>
        <w:t>See Note 20 regarding non cash transactions included in the acquisitions of Probst Family Funerals and Cremations and Heber Valley Funeral Home and Kilpatrick Life Insurance Company</w:t>
      </w:r>
    </w:p>
    <w:p>
      <w:pPr>
        <w:spacing w:after="0" w:line="67" w:lineRule="exact"/>
        <w:rPr>
          <w:sz w:val="20"/>
          <w:szCs w:val="20"/>
          <w:color w:val="auto"/>
        </w:rPr>
      </w:pPr>
    </w:p>
    <w:p>
      <w:pPr>
        <w:ind w:right="1219"/>
        <w:spacing w:after="0" w:line="276" w:lineRule="auto"/>
        <w:rPr>
          <w:sz w:val="20"/>
          <w:szCs w:val="20"/>
          <w:color w:val="auto"/>
        </w:rPr>
      </w:pPr>
      <w:r>
        <w:rPr>
          <w:rFonts w:ascii="Arial" w:cs="Arial" w:eastAsia="Arial" w:hAnsi="Arial"/>
          <w:sz w:val="19"/>
          <w:szCs w:val="19"/>
          <w:color w:val="auto"/>
        </w:rPr>
        <w:t>Reconciliation of cash, cash equivalents, restricted cash and restricted cash equivalents as shown in the consolidated statements of cash flows is presented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8"/>
                <w:szCs w:val="18"/>
                <w:b w:val="1"/>
                <w:bCs w:val="1"/>
                <w:color w:val="auto"/>
                <w:w w:val="93"/>
              </w:rPr>
              <w:t>Years Ended December 31</w:t>
            </w:r>
          </w:p>
        </w:tc>
      </w:tr>
      <w:tr>
        <w:trPr>
          <w:trHeight w:val="237"/>
        </w:trPr>
        <w:tc>
          <w:tcPr>
            <w:tcW w:w="57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8"/>
                <w:szCs w:val="18"/>
                <w:b w:val="1"/>
                <w:bCs w:val="1"/>
                <w:color w:val="auto"/>
              </w:rPr>
              <w:t>2019</w:t>
            </w:r>
          </w:p>
        </w:tc>
      </w:tr>
      <w:tr>
        <w:trPr>
          <w:trHeight w:val="231"/>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106,219,429</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127,754,719</w:t>
            </w:r>
          </w:p>
        </w:tc>
      </w:tr>
      <w:tr>
        <w:trPr>
          <w:trHeight w:val="236"/>
        </w:trPr>
        <w:tc>
          <w:tcPr>
            <w:tcW w:w="5720" w:type="dxa"/>
            <w:vAlign w:val="bottom"/>
          </w:tcPr>
          <w:p>
            <w:pPr>
              <w:spacing w:after="0"/>
              <w:rPr>
                <w:sz w:val="20"/>
                <w:szCs w:val="20"/>
                <w:color w:val="auto"/>
              </w:rPr>
            </w:pPr>
            <w:r>
              <w:rPr>
                <w:rFonts w:ascii="Arial" w:cs="Arial" w:eastAsia="Arial" w:hAnsi="Arial"/>
                <w:sz w:val="18"/>
                <w:szCs w:val="18"/>
                <w:color w:val="auto"/>
              </w:rPr>
              <w:t>Restricted assets</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8,842,744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8,674,214</w:t>
            </w:r>
          </w:p>
        </w:tc>
      </w:tr>
      <w:tr>
        <w:trPr>
          <w:trHeight w:val="23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402,913</w:t>
            </w:r>
          </w:p>
        </w:tc>
        <w:tc>
          <w:tcPr>
            <w:tcW w:w="1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1,306,740</w:t>
            </w:r>
          </w:p>
        </w:tc>
      </w:tr>
      <w:tr>
        <w:trPr>
          <w:trHeight w:val="231"/>
        </w:trPr>
        <w:tc>
          <w:tcPr>
            <w:tcW w:w="5720" w:type="dxa"/>
            <w:vAlign w:val="bottom"/>
          </w:tcPr>
          <w:p>
            <w:pPr>
              <w:spacing w:after="0"/>
              <w:rPr>
                <w:sz w:val="20"/>
                <w:szCs w:val="20"/>
                <w:color w:val="auto"/>
              </w:rPr>
            </w:pPr>
            <w:r>
              <w:rPr>
                <w:rFonts w:ascii="Arial" w:cs="Arial" w:eastAsia="Arial" w:hAnsi="Arial"/>
                <w:sz w:val="18"/>
                <w:szCs w:val="18"/>
                <w:color w:val="auto"/>
                <w:w w:val="93"/>
              </w:rPr>
              <w:t>Total cash, cash equivalents, restricted cash and restricted cash equivalents</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115,465,086</w:t>
            </w: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137,735,673</w:t>
            </w:r>
          </w:p>
        </w:tc>
      </w:tr>
      <w:tr>
        <w:trPr>
          <w:trHeight w:val="20"/>
        </w:trPr>
        <w:tc>
          <w:tcPr>
            <w:tcW w:w="5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2800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42" w:name="page43"/>
    <w:bookmarkEnd w:id="4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General Overview of Business</w:t>
      </w:r>
    </w:p>
    <w:p>
      <w:pPr>
        <w:spacing w:after="0" w:line="236"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annuity products and accident and health insurance marketed primarily in the Intermountain West, California and eleven southern states. The cemetery and mortuary segment of the Company consists of eight mortuaries and five cemeteries in Utah and one cemetery in California. The mortgage segment is an approved government and conventional lender that originates and underwrites residential and commercial loans for new construction, existing homes and real estate projects primarily in Florida, Nevada, Texas, and Utah.</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Basis of Presentation</w:t>
      </w:r>
    </w:p>
    <w:p>
      <w:pPr>
        <w:spacing w:after="0" w:line="236"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accompanying consolidated financial statements have been prepared in accordance with generally accepted accounting principles in the United States of America (GAAP).</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Principles of Consolidation</w:t>
      </w:r>
    </w:p>
    <w:p>
      <w:pPr>
        <w:spacing w:after="0" w:line="23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These consolidated financial statements include the financial statements of the Company and its majority owned subsidiaries. All intercompany transactions and accounts have been eliminated in consolidation.</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Use of Estimates</w:t>
      </w:r>
    </w:p>
    <w:p>
      <w:pPr>
        <w:spacing w:after="0" w:line="236"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Management of the Company has made a number of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89"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Investments</w:t>
      </w:r>
    </w:p>
    <w:p>
      <w:pPr>
        <w:spacing w:after="0" w:line="236" w:lineRule="exact"/>
        <w:rPr>
          <w:sz w:val="20"/>
          <w:szCs w:val="20"/>
          <w:color w:val="auto"/>
        </w:rPr>
      </w:pPr>
    </w:p>
    <w:p>
      <w:pPr>
        <w:jc w:val="both"/>
        <w:ind w:left="5" w:right="339"/>
        <w:spacing w:after="0" w:line="337" w:lineRule="auto"/>
        <w:rPr>
          <w:sz w:val="20"/>
          <w:szCs w:val="20"/>
          <w:color w:val="auto"/>
        </w:rPr>
      </w:pPr>
      <w:r>
        <w:rPr>
          <w:rFonts w:ascii="Arial" w:cs="Arial" w:eastAsia="Arial" w:hAnsi="Arial"/>
          <w:sz w:val="17"/>
          <w:szCs w:val="17"/>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24"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u w:val="single" w:color="auto"/>
          <w:color w:val="auto"/>
        </w:rPr>
        <w:t>Fixed maturity securities available for sale</w:t>
      </w:r>
      <w:r>
        <w:rPr>
          <w:rFonts w:ascii="Arial" w:cs="Arial" w:eastAsia="Arial" w:hAnsi="Arial"/>
          <w:sz w:val="17"/>
          <w:szCs w:val="17"/>
          <w:color w:val="auto"/>
        </w:rPr>
        <w:t xml:space="preserve"> are carried at estimated fair value. Changes in fair values are reported as unrealized gains or losses and are recorded in accumulated other comprehensive income. On December 31, 2019, the Company changed the classification of its bond and preferred stock investments to available for sale from held to maturity. As a result, securities available for sale are carried at estimated fair value.</w:t>
      </w:r>
    </w:p>
    <w:p>
      <w:pPr>
        <w:spacing w:after="0" w:line="174"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43" w:name="page44"/>
    <w:bookmarkEnd w:id="4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u w:val="single" w:color="auto"/>
          <w:color w:val="auto"/>
        </w:rPr>
        <w:t>Equity securities</w:t>
      </w:r>
      <w:r>
        <w:rPr>
          <w:rFonts w:ascii="Arial" w:cs="Arial" w:eastAsia="Arial" w:hAnsi="Arial"/>
          <w:sz w:val="19"/>
          <w:szCs w:val="19"/>
          <w:color w:val="auto"/>
        </w:rPr>
        <w:t xml:space="preserve"> are carried at estimated fair value. Changes in fair values are reported as unrealized gains or losses and are recorded through net earnings.</w:t>
      </w:r>
    </w:p>
    <w:p>
      <w:pPr>
        <w:spacing w:after="0" w:line="170" w:lineRule="exact"/>
        <w:rPr>
          <w:sz w:val="20"/>
          <w:szCs w:val="20"/>
          <w:color w:val="auto"/>
        </w:rPr>
      </w:pPr>
    </w:p>
    <w:p>
      <w:pPr>
        <w:jc w:val="both"/>
        <w:ind w:left="5" w:right="319"/>
        <w:spacing w:after="0" w:line="284" w:lineRule="auto"/>
        <w:rPr>
          <w:sz w:val="20"/>
          <w:szCs w:val="20"/>
          <w:color w:val="auto"/>
        </w:rPr>
      </w:pPr>
      <w:r>
        <w:rPr>
          <w:rFonts w:ascii="Arial" w:cs="Arial" w:eastAsia="Arial" w:hAnsi="Arial"/>
          <w:sz w:val="17"/>
          <w:szCs w:val="17"/>
          <w:u w:val="single" w:color="auto"/>
          <w:color w:val="auto"/>
        </w:rPr>
        <w:t>Mortgage loans held for investment</w:t>
      </w:r>
      <w:r>
        <w:rPr>
          <w:rFonts w:ascii="Arial" w:cs="Arial" w:eastAsia="Arial" w:hAnsi="Arial"/>
          <w:sz w:val="17"/>
          <w:szCs w:val="17"/>
          <w:color w:val="auto"/>
        </w:rPr>
        <w:t xml:space="preserve"> are carried at their unpaid principal balances adjusted for net deferred fees, net discounts, charge-offs and the related allowance for loan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67"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u w:val="single" w:color="auto"/>
          <w:color w:val="auto"/>
        </w:rPr>
        <w:t>Real estate held for investment</w:t>
      </w:r>
      <w:r>
        <w:rPr>
          <w:rFonts w:ascii="Arial" w:cs="Arial" w:eastAsia="Arial" w:hAnsi="Arial"/>
          <w:sz w:val="19"/>
          <w:szCs w:val="19"/>
          <w:color w:val="auto"/>
        </w:rPr>
        <w:t xml:space="preserve"> is carried at cost, less accumulated depreciation provided on a straight-line basis over the estimated useful lives of the properties, or is adjusted to a new basis for impairment in value, if any. Included are foreclosed properties which the Company intends to hold for investment purposes. These properties are recorded at the lower of cost or fair value upon foreclosure. Also, included are residential subdivision land developments which are carried at cost.</w:t>
      </w:r>
    </w:p>
    <w:p>
      <w:pPr>
        <w:spacing w:after="0" w:line="194"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u w:val="single" w:color="auto"/>
          <w:color w:val="auto"/>
        </w:rPr>
        <w:t>Real estate held for sale</w:t>
      </w:r>
      <w:r>
        <w:rPr>
          <w:rFonts w:ascii="Arial" w:cs="Arial" w:eastAsia="Arial" w:hAnsi="Arial"/>
          <w:sz w:val="19"/>
          <w:szCs w:val="19"/>
          <w:color w:val="auto"/>
        </w:rPr>
        <w:t xml:space="preserve"> is carried at lower of cost or fair value. Depreciation is not recognized on real estate classified as held for sale.</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Other investments and policy loans</w:t>
      </w:r>
      <w:r>
        <w:rPr>
          <w:rFonts w:ascii="Arial" w:cs="Arial" w:eastAsia="Arial" w:hAnsi="Arial"/>
          <w:sz w:val="18"/>
          <w:szCs w:val="18"/>
          <w:color w:val="auto"/>
        </w:rPr>
        <w:t xml:space="preserve"> are carried at the aggregate unpaid balances, less allowances for losses.</w:t>
      </w:r>
    </w:p>
    <w:p>
      <w:pPr>
        <w:spacing w:after="0" w:line="241"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u w:val="single" w:color="auto"/>
          <w:color w:val="auto"/>
        </w:rPr>
        <w:t>Gains and losses on investments (except for equity securities carried at fair value through net earnings)</w:t>
      </w:r>
      <w:r>
        <w:rPr>
          <w:rFonts w:ascii="Arial" w:cs="Arial" w:eastAsia="Arial" w:hAnsi="Arial"/>
          <w:sz w:val="19"/>
          <w:szCs w:val="19"/>
          <w:color w:val="auto"/>
        </w:rPr>
        <w:t xml:space="preserve"> arise when investments are sold (as determined on a specific identification basis) or are other than temporarily impaired. If in management’s judgment a decline in the value of an investment below cost is other than temporary, the cost of the investment is written down to fair value with a corresponding charge to earnings. Factors considered in judging whether an impairment is other than temporary include: the financial condition, business prospects and credit worthiness of the issuer, the length of time that fair value has been less than cost, the relative amount of the decline, and the Company’s ability and intent to hold the investment until the fair value recovers, which is not assured.</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Cash and Cash Equivalents</w:t>
      </w:r>
    </w:p>
    <w:p>
      <w:pPr>
        <w:spacing w:after="0" w:line="236"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Loans Held for Sale</w:t>
      </w:r>
    </w:p>
    <w:p>
      <w:pPr>
        <w:spacing w:after="0" w:line="236" w:lineRule="exact"/>
        <w:rPr>
          <w:sz w:val="20"/>
          <w:szCs w:val="20"/>
          <w:color w:val="auto"/>
        </w:rPr>
      </w:pPr>
    </w:p>
    <w:p>
      <w:pPr>
        <w:jc w:val="both"/>
        <w:ind w:left="5" w:right="319"/>
        <w:spacing w:after="0" w:line="265" w:lineRule="auto"/>
        <w:rPr>
          <w:sz w:val="20"/>
          <w:szCs w:val="20"/>
          <w:color w:val="auto"/>
        </w:rPr>
      </w:pPr>
      <w:r>
        <w:rPr>
          <w:rFonts w:ascii="Arial" w:cs="Arial" w:eastAsia="Arial" w:hAnsi="Arial"/>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 See Note 3 and Note 17 to Consolidated Financial Statements for additional disclosures regarding loans held for sale.</w:t>
      </w:r>
    </w:p>
    <w:p>
      <w:pPr>
        <w:spacing w:after="0" w:line="203"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44" w:name="page45"/>
    <w:bookmarkEnd w:id="4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Fee Income</w:t>
      </w:r>
    </w:p>
    <w:p>
      <w:pPr>
        <w:spacing w:after="0" w:line="236"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color w:val="auto"/>
        </w:rPr>
        <w:t>Mortgage fee income consists of origination fees, processing fees, interest income and certain other income related to the origination of mortgage loans held for sale. All revenues and costs are recognized when the mortgage loan is funded and any changes in fair value are shown as a component of mortgage fee income. See Note 3 and Note 17 to Consolidated Financial Statements for additional disclosures regarding loans held for sale.</w:t>
      </w:r>
    </w:p>
    <w:p>
      <w:pPr>
        <w:spacing w:after="0" w:line="157" w:lineRule="exact"/>
        <w:rPr>
          <w:sz w:val="20"/>
          <w:szCs w:val="20"/>
          <w:color w:val="auto"/>
        </w:rPr>
      </w:pPr>
    </w:p>
    <w:p>
      <w:pPr>
        <w:jc w:val="both"/>
        <w:ind w:left="5" w:right="319"/>
        <w:spacing w:after="0" w:line="306" w:lineRule="auto"/>
        <w:rPr>
          <w:sz w:val="20"/>
          <w:szCs w:val="20"/>
          <w:color w:val="auto"/>
        </w:rPr>
      </w:pPr>
      <w:r>
        <w:rPr>
          <w:rFonts w:ascii="Arial" w:cs="Arial" w:eastAsia="Arial" w:hAnsi="Arial"/>
          <w:sz w:val="17"/>
          <w:szCs w:val="17"/>
          <w:color w:val="auto"/>
        </w:rPr>
        <w:t>The Company, through its mortgage subsidiaries, sells mortgage loans to third-party investors without recourse unless defects are identified in the representations and warranties made at loan sale. It may be required, however, to repurchase a loan or pay a fee instead of repurchase under certain events, which include the following:</w:t>
      </w:r>
    </w:p>
    <w:p>
      <w:pPr>
        <w:spacing w:after="0" w:line="144" w:lineRule="exact"/>
        <w:rPr>
          <w:sz w:val="20"/>
          <w:szCs w:val="20"/>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deliver original documents specified by the investor,</w:t>
      </w:r>
    </w:p>
    <w:p>
      <w:pPr>
        <w:spacing w:after="0" w:line="20" w:lineRule="exact"/>
        <w:rPr>
          <w:rFonts w:ascii="Arial" w:cs="Arial" w:eastAsia="Arial" w:hAnsi="Arial"/>
          <w:sz w:val="18"/>
          <w:szCs w:val="18"/>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misrepresentation or fraud in the origination of the loan,</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loan becomes delinquent due to nonpayment during the first several months after it is sold,</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Early pay-off of a loan, as defined by the agreements,</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Excessive time to settle a loan,</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 declines purchase, and</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Discontinued product and expired commitment.</w:t>
      </w:r>
    </w:p>
    <w:p>
      <w:pPr>
        <w:spacing w:after="0" w:line="218"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84"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It is the Company's policy to cure any documentation problems regarding such loans at a minimal cost for up to a six-month time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88" w:lineRule="exact"/>
        <w:rPr>
          <w:sz w:val="20"/>
          <w:szCs w:val="20"/>
          <w:color w:val="auto"/>
        </w:rPr>
      </w:pPr>
    </w:p>
    <w:p>
      <w:pPr>
        <w:ind w:left="1265" w:hanging="315"/>
        <w:spacing w:after="0"/>
        <w:tabs>
          <w:tab w:leader="none" w:pos="1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reasons for rejection,</w:t>
      </w:r>
    </w:p>
    <w:p>
      <w:pPr>
        <w:spacing w:after="0" w:line="20" w:lineRule="exact"/>
        <w:rPr>
          <w:rFonts w:ascii="Arial" w:cs="Arial" w:eastAsia="Arial" w:hAnsi="Arial"/>
          <w:sz w:val="18"/>
          <w:szCs w:val="18"/>
          <w:color w:val="auto"/>
        </w:rPr>
      </w:pPr>
    </w:p>
    <w:p>
      <w:pPr>
        <w:ind w:left="1265" w:hanging="315"/>
        <w:spacing w:after="0"/>
        <w:tabs>
          <w:tab w:leader="none" w:pos="1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additional documents,</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Request investor exceptions,</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Appeal rejection decision to purchase committee, and</w:t>
      </w:r>
    </w:p>
    <w:p>
      <w:pPr>
        <w:spacing w:after="0" w:line="4" w:lineRule="exact"/>
        <w:rPr>
          <w:rFonts w:ascii="Arial" w:cs="Arial" w:eastAsia="Arial" w:hAnsi="Arial"/>
          <w:sz w:val="18"/>
          <w:szCs w:val="18"/>
          <w:color w:val="auto"/>
        </w:rPr>
      </w:pPr>
    </w:p>
    <w:p>
      <w:pPr>
        <w:ind w:left="1265" w:hanging="315"/>
        <w:spacing w:after="0"/>
        <w:tabs>
          <w:tab w:leader="none" w:pos="1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Commit to secondary investors.</w:t>
      </w:r>
    </w:p>
    <w:p>
      <w:pPr>
        <w:spacing w:after="0" w:line="218"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Once purchase commitments have expired and other alternatives to remedy are exhausted, which could be earlier than the six-month time period, the loans are repurchased and transferred to the long-term investment portfolio at the lower of cost or fair value and previously recorded mortgage fee income that was to be received from a third-party investor is written off against the loan loss reserve.</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Determining Lower of Cost or Fair Value</w:t>
      </w:r>
    </w:p>
    <w:p>
      <w:pPr>
        <w:spacing w:after="0" w:line="23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Cost for loans held for sale is equal to the amount paid to the warehouse bank and the amount originally funded by the Company. Fair value is often difficult to determine, but is based on the following:</w:t>
      </w:r>
    </w:p>
    <w:p>
      <w:pPr>
        <w:spacing w:after="0" w:line="166" w:lineRule="exact"/>
        <w:rPr>
          <w:sz w:val="20"/>
          <w:szCs w:val="20"/>
          <w:color w:val="auto"/>
        </w:rPr>
      </w:pPr>
    </w:p>
    <w:p>
      <w:pPr>
        <w:ind w:left="1265" w:hanging="315"/>
        <w:spacing w:after="0"/>
        <w:tabs>
          <w:tab w:leader="none" w:pos="1265" w:val="left"/>
        </w:tabs>
        <w:numPr>
          <w:ilvl w:val="0"/>
          <w:numId w:val="18"/>
        </w:numPr>
        <w:rPr>
          <w:rFonts w:ascii="Arial" w:cs="Arial" w:eastAsia="Arial" w:hAnsi="Arial"/>
          <w:sz w:val="19"/>
          <w:szCs w:val="19"/>
          <w:color w:val="auto"/>
        </w:rPr>
      </w:pPr>
      <w:r>
        <w:rPr>
          <w:rFonts w:ascii="Arial" w:cs="Arial" w:eastAsia="Arial" w:hAnsi="Arial"/>
          <w:sz w:val="21"/>
          <w:szCs w:val="21"/>
          <w:color w:val="auto"/>
        </w:rPr>
        <w:t>For loans that are committed, the Company uses the commitment price.</w:t>
      </w:r>
    </w:p>
    <w:p>
      <w:pPr>
        <w:spacing w:after="0" w:line="13" w:lineRule="exact"/>
        <w:rPr>
          <w:rFonts w:ascii="Arial" w:cs="Arial" w:eastAsia="Arial" w:hAnsi="Arial"/>
          <w:sz w:val="19"/>
          <w:szCs w:val="19"/>
          <w:color w:val="auto"/>
        </w:rPr>
      </w:pPr>
    </w:p>
    <w:p>
      <w:pPr>
        <w:ind w:left="1265" w:right="339" w:hanging="315"/>
        <w:spacing w:after="0" w:line="235" w:lineRule="auto"/>
        <w:tabs>
          <w:tab w:leader="none" w:pos="1265" w:val="left"/>
        </w:tabs>
        <w:numPr>
          <w:ilvl w:val="0"/>
          <w:numId w:val="18"/>
        </w:numPr>
        <w:rPr>
          <w:rFonts w:ascii="Arial" w:cs="Arial" w:eastAsia="Arial" w:hAnsi="Arial"/>
          <w:sz w:val="19"/>
          <w:szCs w:val="19"/>
          <w:color w:val="auto"/>
        </w:rPr>
      </w:pPr>
      <w:r>
        <w:rPr>
          <w:rFonts w:ascii="Arial" w:cs="Arial" w:eastAsia="Arial" w:hAnsi="Arial"/>
          <w:sz w:val="21"/>
          <w:szCs w:val="21"/>
          <w:color w:val="auto"/>
        </w:rPr>
        <w:t>For loans that are non-committed that have an active market, the Company uses the market price.</w:t>
      </w:r>
    </w:p>
    <w:p>
      <w:pPr>
        <w:spacing w:after="0" w:line="1" w:lineRule="exact"/>
        <w:rPr>
          <w:rFonts w:ascii="Arial" w:cs="Arial" w:eastAsia="Arial" w:hAnsi="Arial"/>
          <w:sz w:val="19"/>
          <w:szCs w:val="19"/>
          <w:color w:val="auto"/>
        </w:rPr>
      </w:pPr>
    </w:p>
    <w:p>
      <w:pPr>
        <w:ind w:left="1265" w:right="319" w:hanging="315"/>
        <w:spacing w:after="0" w:line="244" w:lineRule="auto"/>
        <w:tabs>
          <w:tab w:leader="none" w:pos="1265" w:val="left"/>
        </w:tabs>
        <w:numPr>
          <w:ilvl w:val="0"/>
          <w:numId w:val="18"/>
        </w:numPr>
        <w:rPr>
          <w:rFonts w:ascii="Arial" w:cs="Arial" w:eastAsia="Arial" w:hAnsi="Arial"/>
          <w:sz w:val="19"/>
          <w:szCs w:val="19"/>
          <w:color w:val="auto"/>
        </w:rPr>
      </w:pPr>
      <w:r>
        <w:rPr>
          <w:rFonts w:ascii="Arial" w:cs="Arial" w:eastAsia="Arial" w:hAnsi="Arial"/>
          <w:sz w:val="21"/>
          <w:szCs w:val="21"/>
          <w:color w:val="auto"/>
        </w:rPr>
        <w:t>For loans that are non-committed where there is no market but there is a similar product, the Company uses the market value for the similar product.</w:t>
      </w:r>
    </w:p>
    <w:p>
      <w:pPr>
        <w:spacing w:after="0" w:line="21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45" w:name="page46"/>
    <w:bookmarkEnd w:id="45"/>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2" w:lineRule="exact"/>
        <w:rPr>
          <w:sz w:val="20"/>
          <w:szCs w:val="20"/>
          <w:color w:val="auto"/>
        </w:rPr>
      </w:pPr>
    </w:p>
    <w:p>
      <w:pPr>
        <w:jc w:val="both"/>
        <w:ind w:left="1265" w:right="319" w:hanging="315"/>
        <w:spacing w:after="0" w:line="244" w:lineRule="auto"/>
        <w:tabs>
          <w:tab w:leader="none" w:pos="1265" w:val="left"/>
        </w:tabs>
        <w:numPr>
          <w:ilvl w:val="0"/>
          <w:numId w:val="20"/>
        </w:numPr>
        <w:rPr>
          <w:rFonts w:ascii="Arial" w:cs="Arial" w:eastAsia="Arial" w:hAnsi="Arial"/>
          <w:sz w:val="19"/>
          <w:szCs w:val="19"/>
          <w:color w:val="auto"/>
        </w:rPr>
      </w:pPr>
      <w:r>
        <w:rPr>
          <w:rFonts w:ascii="Arial" w:cs="Arial" w:eastAsia="Arial" w:hAnsi="Arial"/>
          <w:sz w:val="21"/>
          <w:szCs w:val="21"/>
          <w:color w:val="auto"/>
        </w:rPr>
        <w:t>For loans that are non-committed where no active market exists, the Company determines that the unpaid principal balance best approximates the market value, after considering the fair value of the underlying real estate collateral, estimated future cash flows, and the loan interest rate.</w:t>
      </w:r>
    </w:p>
    <w:p>
      <w:pPr>
        <w:spacing w:after="0" w:line="210" w:lineRule="exact"/>
        <w:rPr>
          <w:sz w:val="20"/>
          <w:szCs w:val="20"/>
          <w:color w:val="auto"/>
        </w:rPr>
      </w:pPr>
    </w:p>
    <w:p>
      <w:pPr>
        <w:jc w:val="both"/>
        <w:ind w:left="5" w:right="339"/>
        <w:spacing w:after="0" w:line="282" w:lineRule="auto"/>
        <w:rPr>
          <w:sz w:val="20"/>
          <w:szCs w:val="20"/>
          <w:color w:val="auto"/>
        </w:rPr>
      </w:pPr>
      <w:r>
        <w:rPr>
          <w:rFonts w:ascii="Arial" w:cs="Arial" w:eastAsia="Arial" w:hAnsi="Arial"/>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w:t>
      </w:r>
    </w:p>
    <w:p>
      <w:pPr>
        <w:spacing w:after="0" w:line="167"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majority of loans originated are sold to third-party investors. The amounts expected to be sold to investors are shown on the consolidated balance sheets as loans held for sale.</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Loan Loss Reserve</w:t>
      </w:r>
    </w:p>
    <w:p>
      <w:pPr>
        <w:spacing w:after="0" w:line="236"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The loan loss reserve is an estimate of probable losses at the balance sheet date that the Company will realize in the future on loans sold.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93" w:lineRule="exact"/>
        <w:rPr>
          <w:sz w:val="20"/>
          <w:szCs w:val="20"/>
          <w:color w:val="auto"/>
        </w:rPr>
      </w:pPr>
    </w:p>
    <w:p>
      <w:pPr>
        <w:jc w:val="both"/>
        <w:ind w:left="5" w:right="319"/>
        <w:spacing w:after="0" w:line="267" w:lineRule="auto"/>
        <w:rPr>
          <w:sz w:val="20"/>
          <w:szCs w:val="20"/>
          <w:color w:val="auto"/>
        </w:rPr>
      </w:pPr>
      <w:r>
        <w:rPr>
          <w:rFonts w:ascii="Arial" w:cs="Arial" w:eastAsia="Arial" w:hAnsi="Arial"/>
          <w:sz w:val="18"/>
          <w:szCs w:val="18"/>
          <w:color w:val="auto"/>
        </w:rPr>
        <w:t>Upon completion of a transfer that satisfies the conditions to be accounted for as a sale, the Company initially measures at fair value liabilities incurred in a sale relating to any guarantee or recourse provisions.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82"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89" w:lineRule="exact"/>
        <w:rPr>
          <w:sz w:val="20"/>
          <w:szCs w:val="20"/>
          <w:color w:val="auto"/>
        </w:rPr>
      </w:pPr>
    </w:p>
    <w:p>
      <w:pPr>
        <w:jc w:val="both"/>
        <w:ind w:left="625" w:right="319"/>
        <w:spacing w:after="0" w:line="282" w:lineRule="auto"/>
        <w:rPr>
          <w:sz w:val="20"/>
          <w:szCs w:val="20"/>
          <w:color w:val="auto"/>
        </w:rPr>
      </w:pPr>
      <w:r>
        <w:rPr>
          <w:rFonts w:ascii="Arial" w:cs="Arial" w:eastAsia="Arial" w:hAnsi="Arial"/>
          <w:sz w:val="18"/>
          <w:szCs w:val="18"/>
          <w:i w:val="1"/>
          <w:iCs w:val="1"/>
          <w:color w:val="auto"/>
        </w:rPr>
        <w:t xml:space="preserve">Make whole demand </w:t>
      </w:r>
      <w:r>
        <w:rPr>
          <w:rFonts w:ascii="Arial" w:cs="Arial" w:eastAsia="Arial" w:hAnsi="Arial"/>
          <w:sz w:val="18"/>
          <w:szCs w:val="18"/>
          <w:color w:val="auto"/>
        </w:rPr>
        <w:t>– A make whole demand occurs when an investor forecloses on a property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sells the property. The make whole amount is calculated as the difference between the original unpaid principal balance, payments received, accrued interest and fees, less the sale proceeds.</w:t>
      </w:r>
    </w:p>
    <w:p>
      <w:pPr>
        <w:spacing w:after="0" w:line="167" w:lineRule="exact"/>
        <w:rPr>
          <w:sz w:val="20"/>
          <w:szCs w:val="20"/>
          <w:color w:val="auto"/>
        </w:rPr>
      </w:pPr>
    </w:p>
    <w:p>
      <w:pPr>
        <w:jc w:val="both"/>
        <w:ind w:left="625" w:right="319"/>
        <w:spacing w:after="0" w:line="276" w:lineRule="auto"/>
        <w:rPr>
          <w:sz w:val="20"/>
          <w:szCs w:val="20"/>
          <w:color w:val="auto"/>
        </w:rPr>
      </w:pPr>
      <w:r>
        <w:rPr>
          <w:rFonts w:ascii="Arial" w:cs="Arial" w:eastAsia="Arial" w:hAnsi="Arial"/>
          <w:sz w:val="19"/>
          <w:szCs w:val="19"/>
          <w:i w:val="1"/>
          <w:iCs w:val="1"/>
          <w:color w:val="auto"/>
        </w:rPr>
        <w:t xml:space="preserve">Repurchase demand </w:t>
      </w:r>
      <w:r>
        <w:rPr>
          <w:rFonts w:ascii="Arial" w:cs="Arial" w:eastAsia="Arial" w:hAnsi="Arial"/>
          <w:sz w:val="19"/>
          <w:szCs w:val="19"/>
          <w:color w:val="auto"/>
        </w:rPr>
        <w:t>– A repurchase demand usually occurs when there is a significant payment default,</w:t>
      </w:r>
      <w:r>
        <w:rPr>
          <w:rFonts w:ascii="Arial" w:cs="Arial" w:eastAsia="Arial" w:hAnsi="Arial"/>
          <w:sz w:val="19"/>
          <w:szCs w:val="19"/>
          <w:i w:val="1"/>
          <w:iCs w:val="1"/>
          <w:color w:val="auto"/>
        </w:rPr>
        <w:t xml:space="preserve"> </w:t>
      </w:r>
      <w:r>
        <w:rPr>
          <w:rFonts w:ascii="Arial" w:cs="Arial" w:eastAsia="Arial" w:hAnsi="Arial"/>
          <w:sz w:val="19"/>
          <w:szCs w:val="19"/>
          <w:color w:val="auto"/>
        </w:rPr>
        <w:t>error in underwriting or detected loan fraud.</w:t>
      </w:r>
    </w:p>
    <w:p>
      <w:pPr>
        <w:spacing w:after="0" w:line="170" w:lineRule="exact"/>
        <w:rPr>
          <w:sz w:val="20"/>
          <w:szCs w:val="20"/>
          <w:color w:val="auto"/>
        </w:rPr>
      </w:pPr>
    </w:p>
    <w:p>
      <w:pPr>
        <w:jc w:val="both"/>
        <w:ind w:left="625" w:right="319"/>
        <w:spacing w:after="0" w:line="276" w:lineRule="auto"/>
        <w:rPr>
          <w:sz w:val="20"/>
          <w:szCs w:val="20"/>
          <w:color w:val="auto"/>
        </w:rPr>
      </w:pPr>
      <w:r>
        <w:rPr>
          <w:rFonts w:ascii="Arial" w:cs="Arial" w:eastAsia="Arial" w:hAnsi="Arial"/>
          <w:sz w:val="19"/>
          <w:szCs w:val="19"/>
          <w:i w:val="1"/>
          <w:iCs w:val="1"/>
          <w:color w:val="auto"/>
        </w:rPr>
        <w:t xml:space="preserve">Indemnification demand </w:t>
      </w:r>
      <w:r>
        <w:rPr>
          <w:rFonts w:ascii="Arial" w:cs="Arial" w:eastAsia="Arial" w:hAnsi="Arial"/>
          <w:sz w:val="19"/>
          <w:szCs w:val="19"/>
          <w:color w:val="auto"/>
        </w:rPr>
        <w:t>– On certain loans the Company has negotiated a set fee that is to be paid in lieu</w:t>
      </w:r>
      <w:r>
        <w:rPr>
          <w:rFonts w:ascii="Arial" w:cs="Arial" w:eastAsia="Arial" w:hAnsi="Arial"/>
          <w:sz w:val="19"/>
          <w:szCs w:val="19"/>
          <w:i w:val="1"/>
          <w:iCs w:val="1"/>
          <w:color w:val="auto"/>
        </w:rPr>
        <w:t xml:space="preserve"> </w:t>
      </w:r>
      <w:r>
        <w:rPr>
          <w:rFonts w:ascii="Arial" w:cs="Arial" w:eastAsia="Arial" w:hAnsi="Arial"/>
          <w:sz w:val="19"/>
          <w:szCs w:val="19"/>
          <w:color w:val="auto"/>
        </w:rPr>
        <w:t>of repurchase. The fee varies by investor and by loan product type.</w:t>
      </w:r>
    </w:p>
    <w:p>
      <w:pPr>
        <w:spacing w:after="0" w:line="170"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Company believes the allowance for loan losses and the loan loss reserve represent probable loan losses incurred as of the balance sheet date.</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Additional information related to the Loan Loss Reserve is included in Note 3.</w:t>
      </w:r>
    </w:p>
    <w:p>
      <w:pPr>
        <w:spacing w:after="0" w:line="24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46" w:name="page47"/>
    <w:bookmarkEnd w:id="4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Restricted Assets</w:t>
      </w:r>
    </w:p>
    <w:p>
      <w:pPr>
        <w:spacing w:after="0" w:line="236"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color w:val="auto"/>
        </w:rPr>
        <w:t>Restricted assets are assets held in a trust account for future mortuary services and merchandise and consist of cash and cash equivalents; participations in mortgage loans held for investment with Security National Life Insurance Company (“Security National Life”); mutual funds carried at estimated fair value; equity securities carried at estimated fair value; and a surplus note with Security National Life (which is eliminated in consolidation). Restricted assets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Cemetery Perpetual Care Trust Investments</w:t>
      </w:r>
    </w:p>
    <w:p>
      <w:pPr>
        <w:spacing w:after="0" w:line="236"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Cemetery endowment care trusts have been set up for four of the six cemeteries owned by the Company. Under endowment care arrangements a portion of the price for each lot sold is withheld and invested in a portfolio of investments similar to those described in the prior paragraph. The earnings stream from the investments is designed to fund future maintenance and upkeep of the cemetery.</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Cemetery Land and Improvements</w:t>
      </w:r>
    </w:p>
    <w:p>
      <w:pPr>
        <w:spacing w:after="0" w:line="236"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Deferred Policy Acquisition Costs and Value of Business Acquired</w:t>
      </w:r>
    </w:p>
    <w:p>
      <w:pPr>
        <w:spacing w:after="0" w:line="236" w:lineRule="exact"/>
        <w:rPr>
          <w:sz w:val="20"/>
          <w:szCs w:val="20"/>
          <w:color w:val="auto"/>
        </w:rPr>
      </w:pPr>
    </w:p>
    <w:p>
      <w:pPr>
        <w:jc w:val="both"/>
        <w:ind w:left="5" w:right="319"/>
        <w:spacing w:after="0" w:line="284" w:lineRule="auto"/>
        <w:rPr>
          <w:sz w:val="20"/>
          <w:szCs w:val="20"/>
          <w:color w:val="auto"/>
        </w:rPr>
      </w:pPr>
      <w:r>
        <w:rPr>
          <w:rFonts w:ascii="Arial" w:cs="Arial" w:eastAsia="Arial" w:hAnsi="Arial"/>
          <w:sz w:val="17"/>
          <w:szCs w:val="17"/>
          <w:color w:val="auto"/>
        </w:rPr>
        <w:t>Commissions and other costs, net of commission and expense allowances for reinsurance ceded, that vary with and are primarily related to the production of new insurance business have been deferred. Deferred policy acquisition costs (“DAC”) for traditional life insurance are amortized over the premium paying period of the related policies using assumptions consistent with those used in computing policy benefit reserves. For interest-sensitive insurance products, deferred policy acquisition costs are amortized generally in proportion to the present value of expected gross profits from surrender charges, investment, mortality and expense margins. This amortization is adjusted when estimates of current or future gross profits to be realized from a group of products are reevaluated. Deferred acquisition costs are written off when policies lapse or are surrendered.</w:t>
      </w:r>
    </w:p>
    <w:p>
      <w:pPr>
        <w:spacing w:after="0" w:line="167"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unearned revenue liabilities and deferred sales inducements from the replaced contract are written-off. Modifications that result in a contract that is substantially unchanged from the replaced contract are accounted for as a continuation of the replaced contract.</w:t>
      </w:r>
    </w:p>
    <w:p>
      <w:pPr>
        <w:spacing w:after="0" w:line="183"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Value of business acquired is the present value of estimated future profits of the acquired business and is amortized similar to deferred policy acquisition costs.</w:t>
      </w:r>
    </w:p>
    <w:p>
      <w:pPr>
        <w:spacing w:after="0" w:line="18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47" w:name="page48"/>
    <w:bookmarkEnd w:id="4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Servicing Rights</w:t>
      </w:r>
    </w:p>
    <w:p>
      <w:pPr>
        <w:spacing w:after="0" w:line="236" w:lineRule="exact"/>
        <w:rPr>
          <w:sz w:val="20"/>
          <w:szCs w:val="20"/>
          <w:color w:val="auto"/>
        </w:rPr>
      </w:pPr>
    </w:p>
    <w:p>
      <w:pPr>
        <w:jc w:val="both"/>
        <w:ind w:left="5" w:right="319"/>
        <w:spacing w:after="0" w:line="251" w:lineRule="auto"/>
        <w:rPr>
          <w:sz w:val="20"/>
          <w:szCs w:val="20"/>
          <w:color w:val="auto"/>
        </w:rPr>
      </w:pPr>
      <w:r>
        <w:rPr>
          <w:rFonts w:ascii="Arial" w:cs="Arial" w:eastAsia="Arial" w:hAnsi="Arial"/>
          <w:sz w:val="19"/>
          <w:szCs w:val="19"/>
          <w:color w:val="auto"/>
        </w:rPr>
        <w:t>Mortgage Servicing Rights (“MSR”) arise from contractual agreements between the Company and third-party investors (or their agents) when mortgage loans are sold. Under these contracts, the Company is obligated to retain and provide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94" w:lineRule="exact"/>
        <w:rPr>
          <w:sz w:val="20"/>
          <w:szCs w:val="20"/>
          <w:color w:val="auto"/>
        </w:rPr>
      </w:pPr>
    </w:p>
    <w:p>
      <w:pPr>
        <w:jc w:val="both"/>
        <w:ind w:left="5" w:right="319"/>
        <w:spacing w:after="0" w:line="283" w:lineRule="auto"/>
        <w:rPr>
          <w:sz w:val="20"/>
          <w:szCs w:val="20"/>
          <w:color w:val="auto"/>
        </w:rPr>
      </w:pPr>
      <w:r>
        <w:rPr>
          <w:rFonts w:ascii="Arial" w:cs="Arial" w:eastAsia="Arial" w:hAnsi="Arial"/>
          <w:sz w:val="17"/>
          <w:szCs w:val="17"/>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0.250%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68"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color w:val="auto"/>
        </w:rPr>
        <w:t>The Company’s subsequent accounting for MSRs is based on the class of MSRs. The Company has identified two classes of MSRs: MSRs backed by mortgage loans with initial term of 30 years and MSRs backed by mortgage loans with initial term of 15 years. The Company distinguishes between these classes of MSRs due to their differing sensitivities to change in value as the result of changes in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97"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93"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89"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Property and Equipment</w:t>
      </w:r>
    </w:p>
    <w:p>
      <w:pPr>
        <w:spacing w:after="0" w:line="236" w:lineRule="exact"/>
        <w:rPr>
          <w:sz w:val="20"/>
          <w:szCs w:val="20"/>
          <w:color w:val="auto"/>
        </w:rPr>
      </w:pPr>
    </w:p>
    <w:p>
      <w:pPr>
        <w:jc w:val="both"/>
        <w:ind w:left="5" w:right="319"/>
        <w:spacing w:after="0" w:line="282" w:lineRule="auto"/>
        <w:rPr>
          <w:sz w:val="20"/>
          <w:szCs w:val="20"/>
          <w:color w:val="auto"/>
        </w:rPr>
      </w:pPr>
      <w:r>
        <w:rPr>
          <w:rFonts w:ascii="Arial" w:cs="Arial" w:eastAsia="Arial" w:hAnsi="Arial"/>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w:t>
      </w:r>
    </w:p>
    <w:p>
      <w:pPr>
        <w:sectPr>
          <w:pgSz w:w="11900" w:h="16838" w:orient="portrait"/>
          <w:cols w:equalWidth="0" w:num="1">
            <w:col w:w="9184"/>
          </w:cols>
          <w:pgMar w:left="1275" w:top="122" w:right="1440" w:bottom="1440" w:gutter="0" w:footer="0" w:header="0"/>
        </w:sectPr>
      </w:pPr>
    </w:p>
    <w:p>
      <w:pPr>
        <w:spacing w:after="0" w:line="185"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62800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48" w:name="page49"/>
    <w:bookmarkEnd w:id="4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Long-lived Assets</w:t>
      </w:r>
    </w:p>
    <w:p>
      <w:pPr>
        <w:spacing w:after="0" w:line="236" w:lineRule="exact"/>
        <w:rPr>
          <w:sz w:val="20"/>
          <w:szCs w:val="20"/>
          <w:color w:val="auto"/>
        </w:rPr>
      </w:pPr>
    </w:p>
    <w:p>
      <w:pPr>
        <w:jc w:val="both"/>
        <w:ind w:left="5" w:right="319"/>
        <w:spacing w:after="0" w:line="287" w:lineRule="auto"/>
        <w:rPr>
          <w:sz w:val="20"/>
          <w:szCs w:val="20"/>
          <w:color w:val="auto"/>
        </w:rPr>
      </w:pPr>
      <w:r>
        <w:rPr>
          <w:rFonts w:ascii="Arial" w:cs="Arial" w:eastAsia="Arial" w:hAnsi="Arial"/>
          <w:sz w:val="17"/>
          <w:szCs w:val="17"/>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No impairment of long-lived assets has been recognized in the accompanying financial statements except for certain impairments of real estate held for investment as disclosed in Note 2.</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Derivative Instruments</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9"/>
          <w:szCs w:val="19"/>
          <w:color w:val="auto"/>
        </w:rPr>
        <w:t>Mortgage Banking Derivatives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Loan Commitments</w:t>
      </w:r>
    </w:p>
    <w:p>
      <w:pPr>
        <w:spacing w:after="0" w:line="230" w:lineRule="exact"/>
        <w:rPr>
          <w:sz w:val="20"/>
          <w:szCs w:val="20"/>
          <w:color w:val="auto"/>
        </w:rPr>
      </w:pPr>
    </w:p>
    <w:p>
      <w:pPr>
        <w:jc w:val="both"/>
        <w:ind w:left="5" w:right="319"/>
        <w:spacing w:after="0" w:line="251" w:lineRule="auto"/>
        <w:rPr>
          <w:sz w:val="20"/>
          <w:szCs w:val="20"/>
          <w:color w:val="auto"/>
        </w:rPr>
      </w:pPr>
      <w:r>
        <w:rPr>
          <w:rFonts w:ascii="Arial" w:cs="Arial" w:eastAsia="Arial" w:hAnsi="Arial"/>
          <w:sz w:val="19"/>
          <w:szCs w:val="19"/>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94" w:lineRule="exact"/>
        <w:rPr>
          <w:sz w:val="20"/>
          <w:szCs w:val="20"/>
          <w:color w:val="auto"/>
        </w:rPr>
      </w:pPr>
    </w:p>
    <w:p>
      <w:pPr>
        <w:jc w:val="both"/>
        <w:ind w:left="5" w:right="319"/>
        <w:spacing w:after="0" w:line="265"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5"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Forward Sale Commitments</w:t>
      </w:r>
    </w:p>
    <w:p>
      <w:pPr>
        <w:spacing w:after="0" w:line="230"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94"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49" w:name="page50"/>
    <w:bookmarkEnd w:id="4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306" w:lineRule="auto"/>
        <w:rPr>
          <w:sz w:val="20"/>
          <w:szCs w:val="20"/>
          <w:color w:val="auto"/>
        </w:rPr>
      </w:pPr>
      <w:r>
        <w:rPr>
          <w:rFonts w:ascii="Arial" w:cs="Arial" w:eastAsia="Arial" w:hAnsi="Arial"/>
          <w:sz w:val="17"/>
          <w:szCs w:val="17"/>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9"/>
          <w:szCs w:val="19"/>
          <w:color w:val="auto"/>
        </w:rPr>
        <w:t>Call and Put Option Derivatives</w:t>
      </w:r>
    </w:p>
    <w:p>
      <w:pPr>
        <w:spacing w:after="0" w:line="230" w:lineRule="exact"/>
        <w:rPr>
          <w:sz w:val="20"/>
          <w:szCs w:val="20"/>
          <w:color w:val="auto"/>
        </w:rPr>
      </w:pPr>
    </w:p>
    <w:p>
      <w:pPr>
        <w:jc w:val="both"/>
        <w:ind w:left="5" w:right="319"/>
        <w:spacing w:after="0" w:line="263" w:lineRule="auto"/>
        <w:rPr>
          <w:sz w:val="20"/>
          <w:szCs w:val="20"/>
          <w:color w:val="auto"/>
        </w:rPr>
      </w:pPr>
      <w:r>
        <w:rPr>
          <w:rFonts w:ascii="Arial" w:cs="Arial" w:eastAsia="Arial" w:hAnsi="Arial"/>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consolidated balance sheets.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Allowance for Doubtful Accounts and Loan Losses and Impaired Loans</w:t>
      </w:r>
    </w:p>
    <w:p>
      <w:pPr>
        <w:spacing w:after="0" w:line="236"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Company records an allowance and recognizes an expense for potential losses from mortgage loans held for investment, other investments and receivables in accordance with GAAP.</w:t>
      </w:r>
    </w:p>
    <w:p>
      <w:pPr>
        <w:spacing w:after="0" w:line="170"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93" w:lineRule="exact"/>
        <w:rPr>
          <w:sz w:val="20"/>
          <w:szCs w:val="20"/>
          <w:color w:val="auto"/>
        </w:rPr>
      </w:pPr>
    </w:p>
    <w:p>
      <w:pPr>
        <w:jc w:val="both"/>
        <w:ind w:left="5" w:right="319"/>
        <w:spacing w:after="0" w:line="264" w:lineRule="auto"/>
        <w:rPr>
          <w:sz w:val="20"/>
          <w:szCs w:val="20"/>
          <w:color w:val="auto"/>
        </w:rPr>
      </w:pPr>
      <w:r>
        <w:rPr>
          <w:rFonts w:ascii="Arial" w:cs="Arial" w:eastAsia="Arial" w:hAnsi="Arial"/>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See the schedules in Note 2 for additional information.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186"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89"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ectPr>
          <w:pgSz w:w="11900" w:h="16838" w:orient="portrait"/>
          <w:cols w:equalWidth="0" w:num="1">
            <w:col w:w="9184"/>
          </w:cols>
          <w:pgMar w:left="1275" w:top="122" w:right="1440" w:bottom="1440" w:gutter="0" w:footer="0" w:header="0"/>
        </w:sectPr>
      </w:pP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62800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50" w:name="page51"/>
    <w:bookmarkEnd w:id="50"/>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75"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72" w:lineRule="exact"/>
        <w:rPr>
          <w:sz w:val="20"/>
          <w:szCs w:val="20"/>
          <w:color w:val="auto"/>
        </w:rPr>
      </w:pPr>
    </w:p>
    <w:p>
      <w:pPr>
        <w:jc w:val="both"/>
        <w:ind w:left="5" w:right="319"/>
        <w:spacing w:after="0" w:line="306" w:lineRule="auto"/>
        <w:rPr>
          <w:sz w:val="20"/>
          <w:szCs w:val="20"/>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Secured by family dwelling units. These loans are secured by first and second mortgages on the unit. The borrower’s ability to repay is sensitive to the life events and general economic condition of the region. Where loan to values exceed 80%, the loan is generally guaranteed by private mortgage insurance, FHA or VA.</w:t>
      </w:r>
    </w:p>
    <w:p>
      <w:pPr>
        <w:spacing w:after="0" w:line="149" w:lineRule="exact"/>
        <w:rPr>
          <w:sz w:val="20"/>
          <w:szCs w:val="20"/>
          <w:color w:val="auto"/>
        </w:rPr>
      </w:pPr>
    </w:p>
    <w:p>
      <w:pPr>
        <w:jc w:val="both"/>
        <w:ind w:left="5" w:right="319"/>
        <w:spacing w:after="0" w:line="281"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6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Future Policy Benefits and Unpaid Claims</w:t>
      </w:r>
    </w:p>
    <w:p>
      <w:pPr>
        <w:spacing w:after="0" w:line="236" w:lineRule="exact"/>
        <w:rPr>
          <w:sz w:val="20"/>
          <w:szCs w:val="20"/>
          <w:color w:val="auto"/>
        </w:rPr>
      </w:pPr>
    </w:p>
    <w:p>
      <w:pPr>
        <w:jc w:val="both"/>
        <w:ind w:left="5" w:right="319"/>
        <w:spacing w:after="0" w:line="249" w:lineRule="auto"/>
        <w:rPr>
          <w:sz w:val="20"/>
          <w:szCs w:val="20"/>
          <w:color w:val="auto"/>
        </w:rPr>
      </w:pPr>
      <w:r>
        <w:rPr>
          <w:rFonts w:ascii="Arial" w:cs="Arial" w:eastAsia="Arial" w:hAnsi="Arial"/>
          <w:sz w:val="19"/>
          <w:szCs w:val="19"/>
          <w:color w:val="auto"/>
        </w:rPr>
        <w:t>Future policy benefit reserves for traditional life insurance are computed using a net level method, including assumptions as to investment yields, mortality, morbidity, withdrawals, and other assumptions based on the life insurance subsidiaries’ experience, modified as necessary to give effect to anticipated trends and to include provisions for possible unfavorable deviations. Such liabilities are, for some plans, graded to equal statutory values or cash values at or prior to maturity, which are deemed a reasonable equivalent for GAAP. The range of assumed interest rates for all traditional life insurance policy reserves was 4% to 10%. Benefit reserves for traditional limited-payment life insurance policies include the deferred portion of the premiums received during the premium-paying period. Deferred premiums are recognized as income over the life of the policies. Policy benefit claims are charged to expense in the period the claims are incurred. Increases in future policy benefits are charged to expense.</w:t>
      </w:r>
    </w:p>
    <w:p>
      <w:pPr>
        <w:spacing w:after="0" w:line="200" w:lineRule="exact"/>
        <w:rPr>
          <w:sz w:val="20"/>
          <w:szCs w:val="20"/>
          <w:color w:val="auto"/>
        </w:rPr>
      </w:pPr>
    </w:p>
    <w:p>
      <w:pPr>
        <w:jc w:val="both"/>
        <w:ind w:left="5" w:right="319"/>
        <w:spacing w:after="0" w:line="275" w:lineRule="auto"/>
        <w:rPr>
          <w:sz w:val="20"/>
          <w:szCs w:val="20"/>
          <w:color w:val="auto"/>
        </w:rPr>
      </w:pPr>
      <w:r>
        <w:rPr>
          <w:rFonts w:ascii="Arial" w:cs="Arial" w:eastAsia="Arial" w:hAnsi="Arial"/>
          <w:sz w:val="18"/>
          <w:szCs w:val="18"/>
          <w:color w:val="auto"/>
        </w:rPr>
        <w:t>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3% to 6.5%.</w:t>
      </w:r>
    </w:p>
    <w:p>
      <w:pPr>
        <w:spacing w:after="0" w:line="172" w:lineRule="exact"/>
        <w:rPr>
          <w:sz w:val="20"/>
          <w:szCs w:val="20"/>
          <w:color w:val="auto"/>
        </w:rPr>
      </w:pPr>
    </w:p>
    <w:p>
      <w:pPr>
        <w:jc w:val="both"/>
        <w:ind w:left="5" w:right="319"/>
        <w:spacing w:after="0" w:line="275" w:lineRule="auto"/>
        <w:rPr>
          <w:sz w:val="20"/>
          <w:szCs w:val="20"/>
          <w:color w:val="auto"/>
        </w:rPr>
      </w:pPr>
      <w:r>
        <w:rPr>
          <w:rFonts w:ascii="Arial" w:cs="Arial" w:eastAsia="Arial" w:hAnsi="Arial"/>
          <w:sz w:val="18"/>
          <w:szCs w:val="18"/>
          <w:color w:val="auto"/>
        </w:rPr>
        <w:t>The Company records an unpaid claims liability for claims in the course of settlement equal to the death benefit amount less any reinsurance recoverable amount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90"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51" w:name="page52"/>
    <w:bookmarkEnd w:id="5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Participating Insurance</w:t>
      </w:r>
    </w:p>
    <w:p>
      <w:pPr>
        <w:spacing w:after="0" w:line="236"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Participating business constituted 2% of insurance in force for the years ended 2020 and 2019. The provision for policyholders’ dividends included in policyholder obligations is based on dividend scales anticipated by management. Amounts to be paid are determined by the Board of Directors.</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Recognition of Insurance Premiums and Other Considerations</w:t>
      </w:r>
    </w:p>
    <w:p>
      <w:pPr>
        <w:spacing w:after="0" w:line="236" w:lineRule="exact"/>
        <w:rPr>
          <w:sz w:val="20"/>
          <w:szCs w:val="20"/>
          <w:color w:val="auto"/>
        </w:rPr>
      </w:pPr>
    </w:p>
    <w:p>
      <w:pPr>
        <w:jc w:val="both"/>
        <w:ind w:left="5" w:right="319"/>
        <w:spacing w:after="0" w:line="267" w:lineRule="auto"/>
        <w:rPr>
          <w:sz w:val="20"/>
          <w:szCs w:val="20"/>
          <w:color w:val="auto"/>
        </w:rPr>
      </w:pPr>
      <w:r>
        <w:rPr>
          <w:rFonts w:ascii="Arial" w:cs="Arial" w:eastAsia="Arial" w:hAnsi="Arial"/>
          <w:sz w:val="18"/>
          <w:szCs w:val="18"/>
          <w:color w:val="auto"/>
        </w:rPr>
        <w:t>Premiums and other consideration for traditional life insurance products (which include those products with fixed and guaranteed premiums and benefits and consist principally of whole life insurance policies, limited 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recognized when earned and consist of amounts assessed against policyholder account balances during the period for policy administration charges and surrender charges.</w:t>
      </w:r>
    </w:p>
    <w:p>
      <w:pPr>
        <w:spacing w:after="0" w:line="17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Reinsurance</w:t>
      </w:r>
    </w:p>
    <w:p>
      <w:pPr>
        <w:spacing w:after="0" w:line="236"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Company follows the procedure of reinsuring risks in excess of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89"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84" w:lineRule="exact"/>
        <w:rPr>
          <w:sz w:val="20"/>
          <w:szCs w:val="20"/>
          <w:color w:val="auto"/>
        </w:rPr>
      </w:pPr>
    </w:p>
    <w:p>
      <w:pPr>
        <w:jc w:val="both"/>
        <w:ind w:left="5" w:right="319"/>
        <w:spacing w:after="0" w:line="275" w:lineRule="auto"/>
        <w:rPr>
          <w:sz w:val="20"/>
          <w:szCs w:val="20"/>
          <w:color w:val="auto"/>
        </w:rPr>
      </w:pPr>
      <w:r>
        <w:rPr>
          <w:rFonts w:ascii="Arial" w:cs="Arial" w:eastAsia="Arial" w:hAnsi="Arial"/>
          <w:sz w:val="18"/>
          <w:szCs w:val="18"/>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Pre-need Sales and Costs</w:t>
      </w:r>
    </w:p>
    <w:p>
      <w:pPr>
        <w:spacing w:after="0" w:line="236" w:lineRule="exact"/>
        <w:rPr>
          <w:sz w:val="20"/>
          <w:szCs w:val="20"/>
          <w:color w:val="auto"/>
        </w:rPr>
      </w:pPr>
    </w:p>
    <w:p>
      <w:pPr>
        <w:jc w:val="both"/>
        <w:ind w:left="5" w:right="339"/>
        <w:spacing w:after="0" w:line="261" w:lineRule="auto"/>
        <w:rPr>
          <w:sz w:val="20"/>
          <w:szCs w:val="20"/>
          <w:color w:val="auto"/>
        </w:rPr>
      </w:pPr>
      <w:r>
        <w:rPr>
          <w:rFonts w:ascii="Arial" w:cs="Arial" w:eastAsia="Arial" w:hAnsi="Arial"/>
          <w:sz w:val="19"/>
          <w:szCs w:val="19"/>
          <w:u w:val="single" w:color="auto"/>
          <w:color w:val="auto"/>
        </w:rPr>
        <w:t>Pre-need contract sales of funeral services and caskets</w:t>
      </w:r>
      <w:r>
        <w:rPr>
          <w:rFonts w:ascii="Arial" w:cs="Arial" w:eastAsia="Arial" w:hAnsi="Arial"/>
          <w:sz w:val="19"/>
          <w:szCs w:val="19"/>
          <w:color w:val="auto"/>
        </w:rPr>
        <w:t xml:space="preserve"> - revenue and costs associated with the sales of pre-need funeral services and caskets are deferred until the performance obligations are fulfilled (services are performed or the caskets are delivered).</w:t>
      </w:r>
    </w:p>
    <w:p>
      <w:pPr>
        <w:spacing w:after="0" w:line="184"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u w:val="single" w:color="auto"/>
          <w:color w:val="auto"/>
        </w:rPr>
        <w:t>Sales of cemetery interment rights (cemetery burial property)</w:t>
      </w:r>
      <w:r>
        <w:rPr>
          <w:rFonts w:ascii="Arial" w:cs="Arial" w:eastAsia="Arial" w:hAnsi="Arial"/>
          <w:sz w:val="19"/>
          <w:szCs w:val="19"/>
          <w:color w:val="auto"/>
        </w:rPr>
        <w:t xml:space="preserve"> - revenue and costs associated with the sale of cemetery interment rights are recognized in accordance with the retail land sales provisions based on GAAP. Under GAAP, recognition of revenue and associated costs from constructed cemetery property must be deferred until 10% of the sales price has been collected.</w:t>
      </w:r>
    </w:p>
    <w:p>
      <w:pPr>
        <w:spacing w:after="0" w:line="189" w:lineRule="exact"/>
        <w:rPr>
          <w:sz w:val="20"/>
          <w:szCs w:val="20"/>
          <w:color w:val="auto"/>
        </w:rPr>
      </w:pPr>
    </w:p>
    <w:p>
      <w:pPr>
        <w:jc w:val="both"/>
        <w:ind w:left="5" w:right="319"/>
        <w:spacing w:after="0" w:line="305" w:lineRule="auto"/>
        <w:rPr>
          <w:sz w:val="20"/>
          <w:szCs w:val="20"/>
          <w:color w:val="auto"/>
        </w:rPr>
      </w:pPr>
      <w:r>
        <w:rPr>
          <w:rFonts w:ascii="Arial" w:cs="Arial" w:eastAsia="Arial" w:hAnsi="Arial"/>
          <w:sz w:val="18"/>
          <w:szCs w:val="18"/>
          <w:u w:val="single" w:color="auto"/>
          <w:color w:val="auto"/>
        </w:rPr>
        <w:t>Pre-need contract sales of cemetery merchandise (primarily markers and vaults)</w:t>
      </w:r>
      <w:r>
        <w:rPr>
          <w:rFonts w:ascii="Arial" w:cs="Arial" w:eastAsia="Arial" w:hAnsi="Arial"/>
          <w:sz w:val="18"/>
          <w:szCs w:val="18"/>
          <w:color w:val="auto"/>
        </w:rPr>
        <w:t xml:space="preserve"> - revenue and costs associated with the sale of pre-need cemetery merchandise is deferred until the merchandise is delivered.</w:t>
      </w:r>
    </w:p>
    <w:p>
      <w:pPr>
        <w:spacing w:after="0" w:line="147" w:lineRule="exact"/>
        <w:rPr>
          <w:sz w:val="20"/>
          <w:szCs w:val="20"/>
          <w:color w:val="auto"/>
        </w:rPr>
      </w:pPr>
    </w:p>
    <w:p>
      <w:pPr>
        <w:jc w:val="both"/>
        <w:ind w:left="5" w:right="339"/>
        <w:spacing w:after="0" w:line="261" w:lineRule="auto"/>
        <w:rPr>
          <w:sz w:val="20"/>
          <w:szCs w:val="20"/>
          <w:color w:val="auto"/>
        </w:rPr>
      </w:pPr>
      <w:r>
        <w:rPr>
          <w:rFonts w:ascii="Arial" w:cs="Arial" w:eastAsia="Arial" w:hAnsi="Arial"/>
          <w:sz w:val="19"/>
          <w:szCs w:val="19"/>
          <w:u w:val="single" w:color="auto"/>
          <w:color w:val="auto"/>
        </w:rPr>
        <w:t>Pre-need contract sales of cemetery services (primarily merchandise delivery, installation fees and burial opening and closing fees)</w:t>
      </w:r>
      <w:r>
        <w:rPr>
          <w:rFonts w:ascii="Arial" w:cs="Arial" w:eastAsia="Arial" w:hAnsi="Arial"/>
          <w:sz w:val="19"/>
          <w:szCs w:val="19"/>
          <w:color w:val="auto"/>
        </w:rPr>
        <w:t xml:space="preserve"> - revenue and costs associated with the sales of pre-need cemetery services are deferred until the services are performed.</w:t>
      </w: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52" w:name="page53"/>
    <w:bookmarkEnd w:id="5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u w:val="single" w:color="auto"/>
          <w:color w:val="auto"/>
        </w:rPr>
        <w:t>Prearranged funeral and pre-need cemetery customer acquisition costs</w:t>
      </w:r>
      <w:r>
        <w:rPr>
          <w:rFonts w:ascii="Arial" w:cs="Arial" w:eastAsia="Arial" w:hAnsi="Arial"/>
          <w:sz w:val="19"/>
          <w:szCs w:val="19"/>
          <w:color w:val="auto"/>
        </w:rPr>
        <w:t xml:space="preserve"> - costs incurred related to obtaining new pre-need contract cemetery and prearranged funeral services are accounted for under the guidance of the provisions based on GAAP. Obtaining costs, which include only costs that vary with and are primarily related to the acquisition of new pre-need cemetery and prearranged funeral services, are deferred until the merchandise is delivered or services are performed.</w:t>
      </w:r>
    </w:p>
    <w:p>
      <w:pPr>
        <w:spacing w:after="0" w:line="19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Revenues and costs for at-need sales are recorded when a valid contract exists, the services are performed, collection is reasonably assured and there are no significant obligations remaining.</w:t>
      </w:r>
    </w:p>
    <w:p>
      <w:pPr>
        <w:spacing w:after="0" w:line="170" w:lineRule="exact"/>
        <w:rPr>
          <w:sz w:val="20"/>
          <w:szCs w:val="20"/>
          <w:color w:val="auto"/>
        </w:rPr>
      </w:pPr>
    </w:p>
    <w:p>
      <w:pPr>
        <w:jc w:val="both"/>
        <w:ind w:left="5" w:right="319"/>
        <w:spacing w:after="0" w:line="265" w:lineRule="auto"/>
        <w:rPr>
          <w:sz w:val="20"/>
          <w:szCs w:val="20"/>
          <w:color w:val="auto"/>
        </w:rPr>
      </w:pPr>
      <w:r>
        <w:rPr>
          <w:rFonts w:ascii="Arial" w:cs="Arial" w:eastAsia="Arial" w:hAnsi="Arial"/>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7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Goodwill</w:t>
      </w:r>
    </w:p>
    <w:p>
      <w:pPr>
        <w:spacing w:after="0" w:line="23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 No impairment of goodwill has been recognized in the accompanying financial statements.</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Other Intangibles (trade name and customer lists)</w:t>
      </w:r>
    </w:p>
    <w:p>
      <w:pPr>
        <w:spacing w:after="0" w:line="236"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engaged a valuation firm to analyze the value of the Kilpatrick Life name in conjunction with its acquisition. The value of the trade name is included in Other Assets and was determined using the income approach, relying on a relief from the royalty method.</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Income Taxes</w:t>
      </w:r>
    </w:p>
    <w:p>
      <w:pPr>
        <w:spacing w:after="0" w:line="23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w:t>
      </w:r>
    </w:p>
    <w:p>
      <w:pPr>
        <w:spacing w:after="0" w:line="194" w:lineRule="exact"/>
        <w:rPr>
          <w:sz w:val="20"/>
          <w:szCs w:val="20"/>
          <w:color w:val="auto"/>
        </w:rPr>
      </w:pPr>
    </w:p>
    <w:p>
      <w:pPr>
        <w:jc w:val="both"/>
        <w:ind w:left="5" w:right="339"/>
        <w:spacing w:after="0" w:line="306" w:lineRule="auto"/>
        <w:rPr>
          <w:sz w:val="20"/>
          <w:szCs w:val="20"/>
          <w:color w:val="auto"/>
        </w:rPr>
      </w:pPr>
      <w:r>
        <w:rPr>
          <w:rFonts w:ascii="Arial" w:cs="Arial" w:eastAsia="Arial" w:hAnsi="Arial"/>
          <w:sz w:val="17"/>
          <w:szCs w:val="17"/>
          <w:color w:val="auto"/>
        </w:rPr>
        <w:t>Liabilities are established for uncertain tax positions expected to be taken in income tax returns when such positions are judged to meet the “more-likely-than-not” threshold based on the technical merits of the positions. Estimated interest and penalties related to uncertain tax penalties are included as a component of other expenses.</w:t>
      </w:r>
    </w:p>
    <w:p>
      <w:pPr>
        <w:spacing w:after="0" w:line="167"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53" w:name="page54"/>
    <w:bookmarkEnd w:id="5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Earnings Per Common Share</w:t>
      </w:r>
    </w:p>
    <w:p>
      <w:pPr>
        <w:spacing w:after="0" w:line="236" w:lineRule="exact"/>
        <w:rPr>
          <w:sz w:val="20"/>
          <w:szCs w:val="20"/>
          <w:color w:val="auto"/>
        </w:rPr>
      </w:pPr>
    </w:p>
    <w:p>
      <w:pPr>
        <w:jc w:val="both"/>
        <w:ind w:left="5" w:right="319"/>
        <w:spacing w:after="0" w:line="267" w:lineRule="auto"/>
        <w:rPr>
          <w:sz w:val="20"/>
          <w:szCs w:val="20"/>
          <w:color w:val="auto"/>
        </w:rPr>
      </w:pPr>
      <w:r>
        <w:rPr>
          <w:rFonts w:ascii="Arial" w:cs="Arial" w:eastAsia="Arial" w:hAnsi="Arial"/>
          <w:sz w:val="18"/>
          <w:szCs w:val="18"/>
          <w:color w:val="auto"/>
        </w:rPr>
        <w:t>The Company computes earnings per share which requires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Basic and diluted earnings per share amounts have been adjusted retroactively for the effect of annual stock dividends.</w:t>
      </w:r>
    </w:p>
    <w:p>
      <w:pPr>
        <w:spacing w:after="0" w:line="17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Stock Based Compensation</w:t>
      </w:r>
    </w:p>
    <w:p>
      <w:pPr>
        <w:spacing w:after="0" w:line="236"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Concentration of Credit Risk</w:t>
      </w:r>
    </w:p>
    <w:p>
      <w:pPr>
        <w:spacing w:after="0" w:line="236"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For a description of the geographic concentration risk regarding mortgage loans held for investment and real estate held for investment, refer to Note 2 of the Notes to Consolidated Financial Statements.</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Advertising</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 expenses advertising costs as incurred.</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Recent Accounting Pronouncements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Accounting Standards Adopted in 2020</w:t>
      </w:r>
    </w:p>
    <w:p>
      <w:pPr>
        <w:spacing w:after="0" w:line="236" w:lineRule="exact"/>
        <w:rPr>
          <w:sz w:val="20"/>
          <w:szCs w:val="20"/>
          <w:color w:val="auto"/>
        </w:rPr>
      </w:pPr>
    </w:p>
    <w:p>
      <w:pPr>
        <w:jc w:val="both"/>
        <w:ind w:left="5" w:right="319"/>
        <w:spacing w:after="0" w:line="265" w:lineRule="auto"/>
        <w:rPr>
          <w:sz w:val="20"/>
          <w:szCs w:val="20"/>
          <w:color w:val="auto"/>
        </w:rPr>
      </w:pPr>
      <w:r>
        <w:rPr>
          <w:rFonts w:ascii="Arial" w:cs="Arial" w:eastAsia="Arial" w:hAnsi="Arial"/>
          <w:sz w:val="18"/>
          <w:szCs w:val="18"/>
          <w:u w:val="single" w:color="auto"/>
          <w:color w:val="auto"/>
        </w:rPr>
        <w:t>ASU No. 2018-13: “Fair Value Measurement (Topic 820): Disclosure Framework-Changes to the Disclosure Requirements for Fair Value Measurement”</w:t>
      </w:r>
      <w:r>
        <w:rPr>
          <w:rFonts w:ascii="Arial" w:cs="Arial" w:eastAsia="Arial" w:hAnsi="Arial"/>
          <w:sz w:val="18"/>
          <w:szCs w:val="18"/>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17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Accounting Standards Adopted in 2019</w:t>
      </w:r>
    </w:p>
    <w:p>
      <w:pPr>
        <w:spacing w:after="0" w:line="236"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u w:val="single" w:color="auto"/>
          <w:color w:val="auto"/>
        </w:rPr>
        <w:t>ASU No. 2016-02: “Leases (Topic 842)”</w:t>
      </w:r>
      <w:r>
        <w:rPr>
          <w:rFonts w:ascii="Arial" w:cs="Arial" w:eastAsia="Arial" w:hAnsi="Arial"/>
          <w:sz w:val="18"/>
          <w:szCs w:val="18"/>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method or a straight-line basis over the term of the leases. The FASB</w:t>
      </w:r>
    </w:p>
    <w:p>
      <w:pPr>
        <w:sectPr>
          <w:pgSz w:w="11900" w:h="16838" w:orient="portrait"/>
          <w:cols w:equalWidth="0" w:num="1">
            <w:col w:w="9184"/>
          </w:cols>
          <w:pgMar w:left="1275" w:top="122" w:right="1440" w:bottom="1440" w:gutter="0" w:footer="0" w:header="0"/>
        </w:sectPr>
      </w:pPr>
    </w:p>
    <w:p>
      <w:pPr>
        <w:spacing w:after="0" w:line="200"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62800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54" w:name="page55"/>
    <w:bookmarkEnd w:id="5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Significant Accounting Policies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further clarified ASU 2016-02 and provided targeted improvements by issuing ASU 2018-01, ASU 2018-10, ASU 2018-11 and ASU 2018-20.</w:t>
      </w:r>
    </w:p>
    <w:p>
      <w:pPr>
        <w:spacing w:after="0" w:line="170" w:lineRule="exact"/>
        <w:rPr>
          <w:sz w:val="20"/>
          <w:szCs w:val="20"/>
          <w:color w:val="auto"/>
        </w:rPr>
      </w:pPr>
    </w:p>
    <w:p>
      <w:pPr>
        <w:jc w:val="both"/>
        <w:ind w:left="5" w:right="319"/>
        <w:spacing w:after="0" w:line="280" w:lineRule="auto"/>
        <w:rPr>
          <w:sz w:val="20"/>
          <w:szCs w:val="20"/>
          <w:color w:val="auto"/>
        </w:rPr>
      </w:pPr>
      <w:r>
        <w:rPr>
          <w:rFonts w:ascii="Arial" w:cs="Arial" w:eastAsia="Arial" w:hAnsi="Arial"/>
          <w:sz w:val="17"/>
          <w:szCs w:val="17"/>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178" w:lineRule="exact"/>
        <w:rPr>
          <w:sz w:val="20"/>
          <w:szCs w:val="20"/>
          <w:color w:val="auto"/>
        </w:rPr>
      </w:pPr>
    </w:p>
    <w:p>
      <w:pPr>
        <w:jc w:val="both"/>
        <w:ind w:left="5" w:right="319"/>
        <w:spacing w:after="0" w:line="287" w:lineRule="auto"/>
        <w:rPr>
          <w:sz w:val="20"/>
          <w:szCs w:val="20"/>
          <w:color w:val="auto"/>
        </w:rPr>
      </w:pPr>
      <w:r>
        <w:rPr>
          <w:rFonts w:ascii="Arial" w:cs="Arial" w:eastAsia="Arial" w:hAnsi="Arial"/>
          <w:sz w:val="17"/>
          <w:szCs w:val="17"/>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Accounting Standards Issued But Not Yet Adopted</w:t>
      </w:r>
    </w:p>
    <w:p>
      <w:pPr>
        <w:spacing w:after="0" w:line="236" w:lineRule="exact"/>
        <w:rPr>
          <w:sz w:val="20"/>
          <w:szCs w:val="20"/>
          <w:color w:val="auto"/>
        </w:rPr>
      </w:pPr>
    </w:p>
    <w:p>
      <w:pPr>
        <w:jc w:val="both"/>
        <w:ind w:left="5" w:right="319"/>
        <w:spacing w:after="0" w:line="264" w:lineRule="auto"/>
        <w:rPr>
          <w:sz w:val="20"/>
          <w:szCs w:val="20"/>
          <w:color w:val="auto"/>
        </w:rPr>
      </w:pPr>
      <w:r>
        <w:rPr>
          <w:rFonts w:ascii="Arial" w:cs="Arial" w:eastAsia="Arial" w:hAnsi="Arial"/>
          <w:sz w:val="18"/>
          <w:szCs w:val="18"/>
          <w:u w:val="single" w:color="auto"/>
          <w:color w:val="auto"/>
        </w:rPr>
        <w:t>ASU No. 2016-13: “Financial Instruments – Credit Losses (Topic 326)”</w:t>
      </w:r>
      <w:r>
        <w:rPr>
          <w:rFonts w:ascii="Arial" w:cs="Arial" w:eastAsia="Arial" w:hAnsi="Arial"/>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186"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u w:val="single" w:color="auto"/>
          <w:color w:val="auto"/>
        </w:rPr>
        <w:t>ASU No. 2018-12: “Financial Services – Insurance (Topic 944): Targeted Improvements to the Accounting for Long-Duration Contracts”</w:t>
      </w:r>
      <w:r>
        <w:rPr>
          <w:rFonts w:ascii="Arial" w:cs="Arial" w:eastAsia="Arial" w:hAnsi="Arial"/>
          <w:sz w:val="19"/>
          <w:szCs w:val="19"/>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is in the process of evaluating the potential impact of this standard.</w:t>
      </w:r>
    </w:p>
    <w:p>
      <w:pPr>
        <w:spacing w:after="0" w:line="19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 has reviewed other recent accounting pronouncements and has determined that they will not significantly impact the Company’s results of operations or financial position.</w:t>
      </w:r>
    </w:p>
    <w:p>
      <w:pPr>
        <w:spacing w:after="0" w:line="18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55" w:name="page56"/>
    <w:bookmarkEnd w:id="55"/>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345" w:hanging="345"/>
        <w:spacing w:after="0"/>
        <w:tabs>
          <w:tab w:leader="none" w:pos="345"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Investments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investments as of December 31, 2020 are summarized as follows:</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Gross Unrealized</w:t>
            </w: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Gross Unrealized</w:t>
            </w:r>
          </w:p>
        </w:tc>
        <w:tc>
          <w:tcPr>
            <w:tcW w:w="1100" w:type="dxa"/>
            <w:vAlign w:val="bottom"/>
            <w:gridSpan w:val="2"/>
          </w:tcPr>
          <w:p>
            <w:pPr>
              <w:jc w:val="right"/>
              <w:ind w:right="70"/>
              <w:spacing w:after="0"/>
              <w:rPr>
                <w:sz w:val="20"/>
                <w:szCs w:val="20"/>
                <w:color w:val="auto"/>
              </w:rPr>
            </w:pPr>
            <w:r>
              <w:rPr>
                <w:rFonts w:ascii="Arial" w:cs="Arial" w:eastAsia="Arial" w:hAnsi="Arial"/>
                <w:sz w:val="14"/>
                <w:szCs w:val="14"/>
                <w:color w:val="auto"/>
              </w:rPr>
              <w:t>Estimated Fair</w:t>
            </w:r>
          </w:p>
        </w:tc>
        <w:tc>
          <w:tcPr>
            <w:tcW w:w="0" w:type="dxa"/>
            <w:vAlign w:val="bottom"/>
          </w:tcPr>
          <w:p>
            <w:pPr>
              <w:spacing w:after="0"/>
              <w:rPr>
                <w:sz w:val="1"/>
                <w:szCs w:val="1"/>
                <w:color w:val="auto"/>
              </w:rPr>
            </w:pPr>
          </w:p>
        </w:tc>
      </w:tr>
      <w:tr>
        <w:trPr>
          <w:trHeight w:val="177"/>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December 31, 2020:</w:t>
            </w:r>
          </w:p>
        </w:tc>
        <w:tc>
          <w:tcPr>
            <w:tcW w:w="1120" w:type="dxa"/>
            <w:vAlign w:val="bottom"/>
            <w:gridSpan w:val="2"/>
          </w:tcPr>
          <w:p>
            <w:pPr>
              <w:jc w:val="right"/>
              <w:ind w:right="50"/>
              <w:spacing w:after="0"/>
              <w:rPr>
                <w:sz w:val="20"/>
                <w:szCs w:val="20"/>
                <w:color w:val="auto"/>
              </w:rPr>
            </w:pPr>
            <w:r>
              <w:rPr>
                <w:rFonts w:ascii="Arial" w:cs="Arial" w:eastAsia="Arial" w:hAnsi="Arial"/>
                <w:sz w:val="14"/>
                <w:szCs w:val="14"/>
                <w:color w:val="auto"/>
              </w:rPr>
              <w:t>Amortized Cost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color w:val="auto"/>
                <w:w w:val="87"/>
              </w:rPr>
              <w:t>Gains</w:t>
            </w:r>
          </w:p>
        </w:tc>
        <w:tc>
          <w:tcPr>
            <w:tcW w:w="360" w:type="dxa"/>
            <w:vAlign w:val="bottom"/>
          </w:tcPr>
          <w:p>
            <w:pPr>
              <w:spacing w:after="0"/>
              <w:rPr>
                <w:sz w:val="15"/>
                <w:szCs w:val="15"/>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Losses</w:t>
            </w:r>
          </w:p>
        </w:tc>
        <w:tc>
          <w:tcPr>
            <w:tcW w:w="340" w:type="dxa"/>
            <w:vAlign w:val="bottom"/>
          </w:tcPr>
          <w:p>
            <w:pPr>
              <w:spacing w:after="0"/>
              <w:rPr>
                <w:sz w:val="15"/>
                <w:szCs w:val="15"/>
                <w:color w:val="auto"/>
              </w:rPr>
            </w:pPr>
          </w:p>
        </w:tc>
        <w:tc>
          <w:tcPr>
            <w:tcW w:w="760" w:type="dxa"/>
            <w:vAlign w:val="bottom"/>
          </w:tcPr>
          <w:p>
            <w:pPr>
              <w:jc w:val="right"/>
              <w:ind w:right="31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38"/>
        </w:trPr>
        <w:tc>
          <w:tcPr>
            <w:tcW w:w="382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2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2"/>
              </w:rPr>
              <w:t>Fixed maturity securities, available for sale, at estimated fair value:</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820" w:type="dxa"/>
            <w:vAlign w:val="bottom"/>
            <w:gridSpan w:val="2"/>
          </w:tcPr>
          <w:p>
            <w:pPr>
              <w:ind w:left="180"/>
              <w:spacing w:after="0" w:line="140" w:lineRule="exact"/>
              <w:rPr>
                <w:sz w:val="20"/>
                <w:szCs w:val="20"/>
                <w:color w:val="auto"/>
              </w:rPr>
            </w:pPr>
            <w:r>
              <w:rPr>
                <w:rFonts w:ascii="Arial" w:cs="Arial" w:eastAsia="Arial" w:hAnsi="Arial"/>
                <w:sz w:val="14"/>
                <w:szCs w:val="14"/>
                <w:color w:val="auto"/>
              </w:rPr>
              <w:t>U.S. Treasury securities and obligations of U.S.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820" w:type="dxa"/>
            <w:vAlign w:val="bottom"/>
            <w:gridSpan w:val="2"/>
          </w:tcPr>
          <w:p>
            <w:pPr>
              <w:ind w:left="180"/>
              <w:spacing w:after="0"/>
              <w:rPr>
                <w:sz w:val="20"/>
                <w:szCs w:val="20"/>
                <w:color w:val="auto"/>
              </w:rPr>
            </w:pPr>
            <w:r>
              <w:rPr>
                <w:rFonts w:ascii="Arial" w:cs="Arial" w:eastAsia="Arial" w:hAnsi="Arial"/>
                <w:sz w:val="14"/>
                <w:szCs w:val="14"/>
                <w:color w:val="auto"/>
              </w:rPr>
              <w:t>Government agencies</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42,381,805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1,358,562</w:t>
            </w: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43,740,367</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Obligations of states and political subdivisions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5,383,762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312,214</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5,694,715</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Corporate securities including public utilities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186,067,912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27,216,496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(681,478)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212,602,930</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Mortgage-backed securities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31,047,791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1,565,377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(267,106)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32,346,062</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Redeemable preferred stock</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269,214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3,391</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272,605</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gridSpan w:val="2"/>
          </w:tcPr>
          <w:p>
            <w:pPr>
              <w:ind w:left="280"/>
              <w:spacing w:after="0" w:line="159" w:lineRule="exact"/>
              <w:rPr>
                <w:sz w:val="20"/>
                <w:szCs w:val="20"/>
                <w:color w:val="auto"/>
              </w:rPr>
            </w:pPr>
            <w:r>
              <w:rPr>
                <w:rFonts w:ascii="Arial" w:cs="Arial" w:eastAsia="Arial" w:hAnsi="Arial"/>
                <w:sz w:val="14"/>
                <w:szCs w:val="14"/>
                <w:color w:val="auto"/>
              </w:rPr>
              <w:t>Total fixed maturity securities available for sale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265,150,484</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30,456,040</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(949,845)</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294,656,679</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Equity securities at estimated fair value: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Industrial, miscellaneous and all other</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9,698,490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2,376,156</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(750,407)</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11,324,239</w:t>
            </w:r>
          </w:p>
        </w:tc>
        <w:tc>
          <w:tcPr>
            <w:tcW w:w="0" w:type="dxa"/>
            <w:vAlign w:val="bottom"/>
          </w:tcPr>
          <w:p>
            <w:pPr>
              <w:spacing w:after="0"/>
              <w:rPr>
                <w:sz w:val="1"/>
                <w:szCs w:val="1"/>
                <w:color w:val="auto"/>
              </w:rPr>
            </w:pPr>
          </w:p>
        </w:tc>
      </w:tr>
      <w:tr>
        <w:trPr>
          <w:trHeight w:val="165"/>
        </w:trPr>
        <w:tc>
          <w:tcPr>
            <w:tcW w:w="112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20" w:type="dxa"/>
            <w:vAlign w:val="bottom"/>
            <w:gridSpan w:val="2"/>
          </w:tcPr>
          <w:p>
            <w:pPr>
              <w:ind w:left="140"/>
              <w:spacing w:after="0"/>
              <w:rPr>
                <w:sz w:val="20"/>
                <w:szCs w:val="20"/>
                <w:color w:val="auto"/>
              </w:rPr>
            </w:pPr>
            <w:r>
              <w:rPr>
                <w:rFonts w:ascii="Arial" w:cs="Arial" w:eastAsia="Arial" w:hAnsi="Arial"/>
                <w:sz w:val="14"/>
                <w:szCs w:val="14"/>
                <w:color w:val="auto"/>
              </w:rPr>
              <w:t>Total equity securities at estimated fair value</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9,698,490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2,376,156</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(750,407)</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11,324,239</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27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Mortgage loans held for investment at amortized cost: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Residential</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95,822,448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280"/>
              <w:spacing w:after="0"/>
              <w:rPr>
                <w:sz w:val="20"/>
                <w:szCs w:val="20"/>
                <w:color w:val="auto"/>
              </w:rPr>
            </w:pPr>
            <w:r>
              <w:rPr>
                <w:rFonts w:ascii="Arial" w:cs="Arial" w:eastAsia="Arial" w:hAnsi="Arial"/>
                <w:sz w:val="14"/>
                <w:szCs w:val="14"/>
                <w:color w:val="auto"/>
              </w:rPr>
              <w:t>Residential construction</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111,111,777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46,836,866</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280"/>
              <w:spacing w:after="0"/>
              <w:rPr>
                <w:sz w:val="20"/>
                <w:szCs w:val="20"/>
                <w:color w:val="auto"/>
              </w:rPr>
            </w:pPr>
            <w:r>
              <w:rPr>
                <w:rFonts w:ascii="Arial" w:cs="Arial" w:eastAsia="Arial" w:hAnsi="Arial"/>
                <w:sz w:val="14"/>
                <w:szCs w:val="14"/>
                <w:color w:val="auto"/>
              </w:rPr>
              <w:t>Less: Unamortized deferred loan fees, net</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(1,161,132)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Less: Allowance for loan losses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(2,005,127)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Less: Net discounts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(1,260,896)</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mortgage loans held for investment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249,343,936</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820" w:type="dxa"/>
            <w:vAlign w:val="bottom"/>
            <w:gridSpan w:val="2"/>
          </w:tcPr>
          <w:p>
            <w:pPr>
              <w:spacing w:after="0" w:line="140" w:lineRule="exact"/>
              <w:rPr>
                <w:sz w:val="20"/>
                <w:szCs w:val="20"/>
                <w:color w:val="auto"/>
              </w:rPr>
            </w:pPr>
            <w:r>
              <w:rPr>
                <w:rFonts w:ascii="Arial" w:cs="Arial" w:eastAsia="Arial" w:hAnsi="Arial"/>
                <w:sz w:val="14"/>
                <w:szCs w:val="14"/>
                <w:color w:val="auto"/>
              </w:rPr>
              <w:t>Real estate held for investment - net of accumulated</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820" w:type="dxa"/>
            <w:vAlign w:val="bottom"/>
            <w:gridSpan w:val="2"/>
          </w:tcPr>
          <w:p>
            <w:pPr>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Residential</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24,843,743</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Commercial</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106,840,710</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real estate held for investment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131,684,453</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Real estate held for sale: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Residential</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3,478,254</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Commercial</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4,400,553</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real estate held for sale</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7,878,807</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Other investments and policy loans at amortized cost: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Policy loans</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14,171,589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280"/>
              <w:spacing w:after="0"/>
              <w:rPr>
                <w:sz w:val="20"/>
                <w:szCs w:val="20"/>
                <w:color w:val="auto"/>
              </w:rPr>
            </w:pPr>
            <w:r>
              <w:rPr>
                <w:rFonts w:ascii="Arial" w:cs="Arial" w:eastAsia="Arial" w:hAnsi="Arial"/>
                <w:sz w:val="14"/>
                <w:szCs w:val="14"/>
                <w:color w:val="auto"/>
              </w:rPr>
              <w:t>Insurance assignments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53,231,131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Federal Home Loan Bank stock (1)</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2,506,600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tcPr>
          <w:p>
            <w:pPr>
              <w:ind w:left="280"/>
              <w:spacing w:after="0"/>
              <w:rPr>
                <w:sz w:val="20"/>
                <w:szCs w:val="20"/>
                <w:color w:val="auto"/>
              </w:rPr>
            </w:pPr>
            <w:r>
              <w:rPr>
                <w:rFonts w:ascii="Arial" w:cs="Arial" w:eastAsia="Arial" w:hAnsi="Arial"/>
                <w:sz w:val="14"/>
                <w:szCs w:val="14"/>
                <w:color w:val="auto"/>
              </w:rPr>
              <w:t>Other investments</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5,432,816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Less: Allowance for doubtful accounts</w:t>
            </w: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(1,645,475)</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policy loans and other investments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73,696,661</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Accrued investment income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5,360,523</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773,945,298</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
        <w:spacing w:after="0"/>
        <w:rPr>
          <w:sz w:val="20"/>
          <w:szCs w:val="20"/>
          <w:color w:val="auto"/>
        </w:rPr>
      </w:pPr>
      <w:r>
        <w:rPr>
          <w:rFonts w:ascii="Arial" w:cs="Arial" w:eastAsia="Arial" w:hAnsi="Arial"/>
          <w:sz w:val="14"/>
          <w:szCs w:val="14"/>
          <w:color w:val="auto"/>
        </w:rPr>
        <w:t>(1) Includes $866,900 of Membership stock and $1,639,700 of Activity stock due to short-term borrowings.</w:t>
      </w:r>
    </w:p>
    <w:p>
      <w:pPr>
        <w:sectPr>
          <w:pgSz w:w="11900" w:h="16838" w:orient="portrait"/>
          <w:cols w:equalWidth="0" w:num="1">
            <w:col w:w="9184"/>
          </w:cols>
          <w:pgMar w:left="1275" w:top="122" w:right="1440" w:bottom="1440" w:gutter="0" w:footer="0" w:header="0"/>
        </w:sectPr>
      </w:pPr>
    </w:p>
    <w:p>
      <w:pPr>
        <w:spacing w:after="0" w:line="241"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62800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56" w:name="page57"/>
    <w:bookmarkEnd w:id="5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investments as of December 31, 2019 are summarized as follows:</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color w:val="auto"/>
                <w:w w:val="85"/>
              </w:rPr>
              <w:t>Gross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92"/>
              </w:rPr>
              <w:t>Unrealized</w:t>
            </w:r>
          </w:p>
        </w:tc>
        <w:tc>
          <w:tcPr>
            <w:tcW w:w="112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92"/>
              </w:rPr>
              <w:t>Unrealized</w:t>
            </w:r>
          </w:p>
        </w:tc>
        <w:tc>
          <w:tcPr>
            <w:tcW w:w="104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w w:val="99"/>
              </w:rPr>
              <w:t>Estimated Fair</w:t>
            </w:r>
          </w:p>
        </w:tc>
        <w:tc>
          <w:tcPr>
            <w:tcW w:w="0" w:type="dxa"/>
            <w:vAlign w:val="bottom"/>
          </w:tcPr>
          <w:p>
            <w:pPr>
              <w:spacing w:after="0"/>
              <w:rPr>
                <w:sz w:val="1"/>
                <w:szCs w:val="1"/>
                <w:color w:val="auto"/>
              </w:rPr>
            </w:pPr>
          </w:p>
        </w:tc>
      </w:tr>
      <w:tr>
        <w:trPr>
          <w:trHeight w:val="177"/>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December 31, 2019:</w:t>
            </w:r>
          </w:p>
        </w:tc>
        <w:tc>
          <w:tcPr>
            <w:tcW w:w="1180" w:type="dxa"/>
            <w:vAlign w:val="bottom"/>
            <w:gridSpan w:val="2"/>
          </w:tcPr>
          <w:p>
            <w:pPr>
              <w:jc w:val="right"/>
              <w:ind w:right="70"/>
              <w:spacing w:after="0"/>
              <w:rPr>
                <w:sz w:val="20"/>
                <w:szCs w:val="20"/>
                <w:color w:val="auto"/>
              </w:rPr>
            </w:pPr>
            <w:r>
              <w:rPr>
                <w:rFonts w:ascii="Arial" w:cs="Arial" w:eastAsia="Arial" w:hAnsi="Arial"/>
                <w:sz w:val="14"/>
                <w:szCs w:val="14"/>
                <w:color w:val="auto"/>
              </w:rPr>
              <w:t>Amortized Cost</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Gains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85"/>
              </w:rPr>
              <w:t>Losses</w:t>
            </w:r>
          </w:p>
        </w:tc>
        <w:tc>
          <w:tcPr>
            <w:tcW w:w="300" w:type="dxa"/>
            <w:vAlign w:val="bottom"/>
          </w:tcPr>
          <w:p>
            <w:pPr>
              <w:spacing w:after="0"/>
              <w:rPr>
                <w:sz w:val="15"/>
                <w:szCs w:val="15"/>
                <w:color w:val="auto"/>
              </w:rPr>
            </w:pPr>
          </w:p>
        </w:tc>
        <w:tc>
          <w:tcPr>
            <w:tcW w:w="740" w:type="dxa"/>
            <w:vAlign w:val="bottom"/>
          </w:tcPr>
          <w:p>
            <w:pPr>
              <w:jc w:val="right"/>
              <w:ind w:right="29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38"/>
        </w:trPr>
        <w:tc>
          <w:tcPr>
            <w:tcW w:w="4140" w:type="dxa"/>
            <w:vAlign w:val="bottom"/>
            <w:gridSpan w:val="2"/>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2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Fixed maturity securities, available for sale, at estimated fair value:</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140" w:type="dxa"/>
            <w:vAlign w:val="bottom"/>
            <w:gridSpan w:val="2"/>
          </w:tcPr>
          <w:p>
            <w:pPr>
              <w:ind w:left="180"/>
              <w:spacing w:after="0" w:line="140" w:lineRule="exact"/>
              <w:rPr>
                <w:sz w:val="20"/>
                <w:szCs w:val="20"/>
                <w:color w:val="auto"/>
              </w:rPr>
            </w:pPr>
            <w:r>
              <w:rPr>
                <w:rFonts w:ascii="Arial" w:cs="Arial" w:eastAsia="Arial" w:hAnsi="Arial"/>
                <w:sz w:val="14"/>
                <w:szCs w:val="14"/>
                <w:color w:val="auto"/>
              </w:rPr>
              <w:t>U.S. Treasury securities and obligations of U.S. Government</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140" w:type="dxa"/>
            <w:vAlign w:val="bottom"/>
            <w:gridSpan w:val="2"/>
          </w:tcPr>
          <w:p>
            <w:pPr>
              <w:ind w:left="180"/>
              <w:spacing w:after="0"/>
              <w:rPr>
                <w:sz w:val="20"/>
                <w:szCs w:val="20"/>
                <w:color w:val="auto"/>
              </w:rPr>
            </w:pPr>
            <w:r>
              <w:rPr>
                <w:rFonts w:ascii="Arial" w:cs="Arial" w:eastAsia="Arial" w:hAnsi="Arial"/>
                <w:sz w:val="14"/>
                <w:szCs w:val="14"/>
                <w:color w:val="auto"/>
              </w:rPr>
              <w:t>agencies</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142,740,641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632,185</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(25,215)</w:t>
            </w: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89"/>
              </w:rPr>
              <w:t>143,347,611</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Obligations of states and political subdivisions</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7,450,366</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87,812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(9,026)</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7,529,152</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Corporate securities including public utilities</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7"/>
              </w:rPr>
              <w:t>156,599,184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16,768,449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(463,413)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172,904,220</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Mortgage-backed securities</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31,475,280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597,395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(240,177)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31,832,498</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Redeemable preferred stock</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364,339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364,339</w:t>
            </w: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140" w:type="dxa"/>
            <w:vAlign w:val="bottom"/>
            <w:tcBorders>
              <w:bottom w:val="single" w:sz="8" w:color="CCEEFF"/>
            </w:tcBorders>
            <w:gridSpan w:val="2"/>
          </w:tcPr>
          <w:p>
            <w:pPr>
              <w:ind w:left="280"/>
              <w:spacing w:after="0" w:line="159" w:lineRule="exact"/>
              <w:rPr>
                <w:sz w:val="20"/>
                <w:szCs w:val="20"/>
                <w:color w:val="auto"/>
              </w:rPr>
            </w:pPr>
            <w:r>
              <w:rPr>
                <w:rFonts w:ascii="Arial" w:cs="Arial" w:eastAsia="Arial" w:hAnsi="Arial"/>
                <w:sz w:val="14"/>
                <w:szCs w:val="14"/>
                <w:color w:val="auto"/>
              </w:rPr>
              <w:t>Total fixed maturity securities available for sale</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338,629,810</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18,085,841</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(737,831)</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355,977,820</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Equity securities at estimated fair value: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Industrial, miscellaneous and all other</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6,900,537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1,139,799</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(769,171)</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7,271,165</w:t>
            </w:r>
          </w:p>
        </w:tc>
        <w:tc>
          <w:tcPr>
            <w:tcW w:w="0" w:type="dxa"/>
            <w:vAlign w:val="bottom"/>
          </w:tcPr>
          <w:p>
            <w:pPr>
              <w:spacing w:after="0"/>
              <w:rPr>
                <w:sz w:val="1"/>
                <w:szCs w:val="1"/>
                <w:color w:val="auto"/>
              </w:rPr>
            </w:pPr>
          </w:p>
        </w:tc>
      </w:tr>
      <w:tr>
        <w:trPr>
          <w:trHeight w:val="165"/>
        </w:trPr>
        <w:tc>
          <w:tcPr>
            <w:tcW w:w="112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Total equity securities at estimated fair value</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6,900,537</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1,139,799</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(769,171)</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7,271,165</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30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Mortgage loans held for investment at amortized cost: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Residential</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113,043,965</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280"/>
              <w:spacing w:after="0"/>
              <w:rPr>
                <w:sz w:val="20"/>
                <w:szCs w:val="20"/>
                <w:color w:val="auto"/>
              </w:rPr>
            </w:pPr>
            <w:r>
              <w:rPr>
                <w:rFonts w:ascii="Arial" w:cs="Arial" w:eastAsia="Arial" w:hAnsi="Arial"/>
                <w:sz w:val="14"/>
                <w:szCs w:val="14"/>
                <w:color w:val="auto"/>
              </w:rPr>
              <w:t>Residential construction</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89,430,237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38,718,220</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280"/>
              <w:spacing w:after="0"/>
              <w:rPr>
                <w:sz w:val="20"/>
                <w:szCs w:val="20"/>
                <w:color w:val="auto"/>
              </w:rPr>
            </w:pPr>
            <w:r>
              <w:rPr>
                <w:rFonts w:ascii="Arial" w:cs="Arial" w:eastAsia="Arial" w:hAnsi="Arial"/>
                <w:sz w:val="14"/>
                <w:szCs w:val="14"/>
                <w:color w:val="auto"/>
              </w:rPr>
              <w:t>Less: Unamortized deferred loan fees, net</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(2,391,567)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Less: Allowance for loan losses</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(1,453,037)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Less: Net discounts</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(653,272)</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mortgage loans held for investment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236,694,546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Real estate held for investment - net of accumulated depreciation: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Residential</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12,530,306</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Commercial</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90,226,640</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real estate held for investment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102,756,946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Real estate held for sale: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Residential</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8,021,306</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Commercial</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6,076,321</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real estate held for sale</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14,097,627</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color w:val="auto"/>
              </w:rPr>
              <w:t>Other investments and policy loans at amortized cost: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Policy loans</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14,762,805</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280"/>
              <w:spacing w:after="0"/>
              <w:rPr>
                <w:sz w:val="20"/>
                <w:szCs w:val="20"/>
                <w:color w:val="auto"/>
              </w:rPr>
            </w:pPr>
            <w:r>
              <w:rPr>
                <w:rFonts w:ascii="Arial" w:cs="Arial" w:eastAsia="Arial" w:hAnsi="Arial"/>
                <w:sz w:val="14"/>
                <w:szCs w:val="14"/>
                <w:color w:val="auto"/>
              </w:rPr>
              <w:t>Insurance assignments</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41,062,965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Federal Home Loan Bank stock (1)</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894,300</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ind w:left="280"/>
              <w:spacing w:after="0"/>
              <w:rPr>
                <w:sz w:val="20"/>
                <w:szCs w:val="20"/>
                <w:color w:val="auto"/>
              </w:rPr>
            </w:pPr>
            <w:r>
              <w:rPr>
                <w:rFonts w:ascii="Arial" w:cs="Arial" w:eastAsia="Arial" w:hAnsi="Arial"/>
                <w:sz w:val="14"/>
                <w:szCs w:val="14"/>
                <w:color w:val="auto"/>
              </w:rPr>
              <w:t>Other investments</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4,973,225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Less: Allowance for doubtful accounts</w:t>
            </w:r>
          </w:p>
        </w:tc>
        <w:tc>
          <w:tcPr>
            <w:tcW w:w="4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(1,448,026)</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policy loans and other investments</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60,245,269</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Accrued investment income</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4,833,232</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781,876,605</w:t>
            </w: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
        <w:spacing w:after="0"/>
        <w:rPr>
          <w:sz w:val="20"/>
          <w:szCs w:val="20"/>
          <w:color w:val="auto"/>
        </w:rPr>
      </w:pPr>
      <w:r>
        <w:rPr>
          <w:rFonts w:ascii="Arial" w:cs="Arial" w:eastAsia="Arial" w:hAnsi="Arial"/>
          <w:sz w:val="14"/>
          <w:szCs w:val="14"/>
          <w:color w:val="auto"/>
        </w:rPr>
        <w:t>(1) Includes $894,300 of Membership stock and $-0- of Activity stock due to short-term borrowings.</w:t>
      </w:r>
    </w:p>
    <w:p>
      <w:pPr>
        <w:spacing w:after="0" w:line="24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57" w:name="page58"/>
    <w:bookmarkEnd w:id="5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Fixed Maturity Securities</w:t>
      </w:r>
    </w:p>
    <w:p>
      <w:pPr>
        <w:spacing w:after="0" w:line="236"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On December 31, 2019, the Company changed the classification of its bond and preferred stock investments from held to maturity to available for sale based on the Company’s need to be able to respond proactively to market risks in managing its portfolio. Such investments are carried at fair value with any unrealized gains and losses reported as a component of other accumulated comprehensive income or loss. At the date of the transfer, the carrying value of the Company’s held to maturity securities was $338,629,810, and net unrealized gains of $17,315,770 were recognized in accumulated other comprehensive income.</w:t>
      </w:r>
    </w:p>
    <w:p>
      <w:pPr>
        <w:spacing w:after="0" w:line="178"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following tables summarize unrealized losses on fixed maturities securities that were carried at estimated fair value at December 31, 2020 and at December 31, 2019. The unrealized losses were primarily related to interest rate fluctuations and uncertainties relating to COVID-19. The tables set forth unrealized losses by duration with the fair value of the related fixed maturity securities:</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2"/>
                <w:szCs w:val="12"/>
                <w:color w:val="auto"/>
                <w:w w:val="94"/>
              </w:rPr>
              <w:t>Unrealized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2"/>
                <w:szCs w:val="12"/>
                <w:color w:val="auto"/>
                <w:w w:val="94"/>
              </w:rPr>
              <w:t>Unrealized</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2"/>
        </w:trPr>
        <w:tc>
          <w:tcPr>
            <w:tcW w:w="1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0" w:type="dxa"/>
            <w:vAlign w:val="bottom"/>
            <w:gridSpan w:val="3"/>
          </w:tcPr>
          <w:p>
            <w:pPr>
              <w:jc w:val="center"/>
              <w:ind w:right="200"/>
              <w:spacing w:after="0" w:line="132" w:lineRule="exact"/>
              <w:rPr>
                <w:sz w:val="20"/>
                <w:szCs w:val="20"/>
                <w:color w:val="auto"/>
              </w:rPr>
            </w:pPr>
            <w:r>
              <w:rPr>
                <w:rFonts w:ascii="Arial" w:cs="Arial" w:eastAsia="Arial" w:hAnsi="Arial"/>
                <w:sz w:val="12"/>
                <w:szCs w:val="12"/>
                <w:color w:val="auto"/>
                <w:w w:val="90"/>
              </w:rPr>
              <w:t>Losses for Less</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center"/>
              <w:ind w:right="200"/>
              <w:spacing w:after="0" w:line="132" w:lineRule="exact"/>
              <w:rPr>
                <w:sz w:val="20"/>
                <w:szCs w:val="20"/>
                <w:color w:val="auto"/>
              </w:rPr>
            </w:pPr>
            <w:r>
              <w:rPr>
                <w:rFonts w:ascii="Arial" w:cs="Arial" w:eastAsia="Arial" w:hAnsi="Arial"/>
                <w:sz w:val="12"/>
                <w:szCs w:val="12"/>
                <w:color w:val="auto"/>
                <w:w w:val="90"/>
              </w:rPr>
              <w:t>Losses for</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480"/>
              <w:spacing w:after="0" w:line="132" w:lineRule="exact"/>
              <w:rPr>
                <w:sz w:val="20"/>
                <w:szCs w:val="20"/>
                <w:color w:val="auto"/>
              </w:rPr>
            </w:pPr>
            <w:r>
              <w:rPr>
                <w:rFonts w:ascii="Arial" w:cs="Arial" w:eastAsia="Arial" w:hAnsi="Arial"/>
                <w:sz w:val="12"/>
                <w:szCs w:val="12"/>
                <w:color w:val="auto"/>
                <w:w w:val="89"/>
              </w:rPr>
              <w:t>Total</w:t>
            </w:r>
          </w:p>
        </w:tc>
        <w:tc>
          <w:tcPr>
            <w:tcW w:w="820" w:type="dxa"/>
            <w:vAlign w:val="bottom"/>
          </w:tcPr>
          <w:p>
            <w:pPr>
              <w:spacing w:after="0"/>
              <w:rPr>
                <w:sz w:val="11"/>
                <w:szCs w:val="11"/>
                <w:color w:val="auto"/>
              </w:rPr>
            </w:pPr>
          </w:p>
        </w:tc>
      </w:tr>
      <w:tr>
        <w:trPr>
          <w:trHeight w:val="132"/>
        </w:trPr>
        <w:tc>
          <w:tcPr>
            <w:tcW w:w="1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0" w:type="dxa"/>
            <w:vAlign w:val="bottom"/>
            <w:gridSpan w:val="3"/>
          </w:tcPr>
          <w:p>
            <w:pPr>
              <w:jc w:val="center"/>
              <w:ind w:right="200"/>
              <w:spacing w:after="0" w:line="132" w:lineRule="exact"/>
              <w:rPr>
                <w:sz w:val="20"/>
                <w:szCs w:val="20"/>
                <w:color w:val="auto"/>
              </w:rPr>
            </w:pPr>
            <w:r>
              <w:rPr>
                <w:rFonts w:ascii="Arial" w:cs="Arial" w:eastAsia="Arial" w:hAnsi="Arial"/>
                <w:sz w:val="12"/>
                <w:szCs w:val="12"/>
                <w:color w:val="auto"/>
                <w:w w:val="92"/>
              </w:rPr>
              <w:t>than Twelve</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center"/>
              <w:ind w:right="200"/>
              <w:spacing w:after="0" w:line="132" w:lineRule="exact"/>
              <w:rPr>
                <w:sz w:val="20"/>
                <w:szCs w:val="20"/>
                <w:color w:val="auto"/>
              </w:rPr>
            </w:pPr>
            <w:r>
              <w:rPr>
                <w:rFonts w:ascii="Arial" w:cs="Arial" w:eastAsia="Arial" w:hAnsi="Arial"/>
                <w:sz w:val="12"/>
                <w:szCs w:val="12"/>
                <w:color w:val="auto"/>
                <w:w w:val="92"/>
              </w:rPr>
              <w:t>More than</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jc w:val="center"/>
              <w:ind w:right="180"/>
              <w:spacing w:after="0" w:line="132" w:lineRule="exact"/>
              <w:rPr>
                <w:sz w:val="20"/>
                <w:szCs w:val="20"/>
                <w:color w:val="auto"/>
              </w:rPr>
            </w:pPr>
            <w:r>
              <w:rPr>
                <w:rFonts w:ascii="Arial" w:cs="Arial" w:eastAsia="Arial" w:hAnsi="Arial"/>
                <w:sz w:val="12"/>
                <w:szCs w:val="12"/>
                <w:color w:val="auto"/>
                <w:w w:val="94"/>
              </w:rPr>
              <w:t>Unrealized</w:t>
            </w:r>
          </w:p>
        </w:tc>
        <w:tc>
          <w:tcPr>
            <w:tcW w:w="820" w:type="dxa"/>
            <w:vAlign w:val="bottom"/>
          </w:tcPr>
          <w:p>
            <w:pPr>
              <w:spacing w:after="0"/>
              <w:rPr>
                <w:sz w:val="11"/>
                <w:szCs w:val="11"/>
                <w:color w:val="auto"/>
              </w:rPr>
            </w:pPr>
          </w:p>
        </w:tc>
      </w:tr>
      <w:tr>
        <w:trPr>
          <w:trHeight w:val="156"/>
        </w:trPr>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0" w:type="dxa"/>
            <w:vAlign w:val="bottom"/>
            <w:gridSpan w:val="3"/>
          </w:tcPr>
          <w:p>
            <w:pPr>
              <w:ind w:left="220"/>
              <w:spacing w:after="0"/>
              <w:rPr>
                <w:sz w:val="20"/>
                <w:szCs w:val="20"/>
                <w:color w:val="auto"/>
              </w:rPr>
            </w:pPr>
            <w:r>
              <w:rPr>
                <w:rFonts w:ascii="Arial" w:cs="Arial" w:eastAsia="Arial" w:hAnsi="Arial"/>
                <w:sz w:val="12"/>
                <w:szCs w:val="12"/>
                <w:color w:val="auto"/>
              </w:rPr>
              <w:t>Months</w:t>
            </w:r>
          </w:p>
        </w:tc>
        <w:tc>
          <w:tcPr>
            <w:tcW w:w="1120" w:type="dxa"/>
            <w:vAlign w:val="bottom"/>
            <w:gridSpan w:val="2"/>
          </w:tcPr>
          <w:p>
            <w:pPr>
              <w:ind w:left="160"/>
              <w:spacing w:after="0"/>
              <w:rPr>
                <w:sz w:val="20"/>
                <w:szCs w:val="20"/>
                <w:color w:val="auto"/>
              </w:rPr>
            </w:pPr>
            <w:r>
              <w:rPr>
                <w:rFonts w:ascii="Arial" w:cs="Arial" w:eastAsia="Arial" w:hAnsi="Arial"/>
                <w:sz w:val="12"/>
                <w:szCs w:val="12"/>
                <w:color w:val="auto"/>
              </w:rPr>
              <w:t>Fair Value</w:t>
            </w:r>
          </w:p>
        </w:tc>
        <w:tc>
          <w:tcPr>
            <w:tcW w:w="1020" w:type="dxa"/>
            <w:vAlign w:val="bottom"/>
            <w:gridSpan w:val="3"/>
          </w:tcPr>
          <w:p>
            <w:pPr>
              <w:jc w:val="center"/>
              <w:ind w:right="200"/>
              <w:spacing w:after="0"/>
              <w:rPr>
                <w:sz w:val="20"/>
                <w:szCs w:val="20"/>
                <w:color w:val="auto"/>
              </w:rPr>
            </w:pPr>
            <w:r>
              <w:rPr>
                <w:rFonts w:ascii="Arial" w:cs="Arial" w:eastAsia="Arial" w:hAnsi="Arial"/>
                <w:sz w:val="12"/>
                <w:szCs w:val="12"/>
                <w:color w:val="auto"/>
                <w:w w:val="96"/>
              </w:rPr>
              <w:t>Twelve Months</w:t>
            </w:r>
          </w:p>
        </w:tc>
        <w:tc>
          <w:tcPr>
            <w:tcW w:w="1120" w:type="dxa"/>
            <w:vAlign w:val="bottom"/>
            <w:gridSpan w:val="3"/>
          </w:tcPr>
          <w:p>
            <w:pPr>
              <w:ind w:left="160"/>
              <w:spacing w:after="0"/>
              <w:rPr>
                <w:sz w:val="20"/>
                <w:szCs w:val="20"/>
                <w:color w:val="auto"/>
              </w:rPr>
            </w:pPr>
            <w:r>
              <w:rPr>
                <w:rFonts w:ascii="Arial" w:cs="Arial" w:eastAsia="Arial" w:hAnsi="Arial"/>
                <w:sz w:val="12"/>
                <w:szCs w:val="12"/>
                <w:color w:val="auto"/>
              </w:rPr>
              <w:t>Fair Value</w:t>
            </w:r>
          </w:p>
        </w:tc>
        <w:tc>
          <w:tcPr>
            <w:tcW w:w="280" w:type="dxa"/>
            <w:vAlign w:val="bottom"/>
          </w:tcPr>
          <w:p>
            <w:pPr>
              <w:spacing w:after="0"/>
              <w:rPr>
                <w:sz w:val="13"/>
                <w:szCs w:val="13"/>
                <w:color w:val="auto"/>
              </w:rPr>
            </w:pPr>
          </w:p>
        </w:tc>
        <w:tc>
          <w:tcPr>
            <w:tcW w:w="720" w:type="dxa"/>
            <w:vAlign w:val="bottom"/>
            <w:gridSpan w:val="2"/>
          </w:tcPr>
          <w:p>
            <w:pPr>
              <w:jc w:val="center"/>
              <w:ind w:right="480"/>
              <w:spacing w:after="0"/>
              <w:rPr>
                <w:sz w:val="20"/>
                <w:szCs w:val="20"/>
                <w:color w:val="auto"/>
              </w:rPr>
            </w:pPr>
            <w:r>
              <w:rPr>
                <w:rFonts w:ascii="Arial" w:cs="Arial" w:eastAsia="Arial" w:hAnsi="Arial"/>
                <w:sz w:val="12"/>
                <w:szCs w:val="12"/>
                <w:color w:val="auto"/>
                <w:w w:val="94"/>
              </w:rPr>
              <w:t>Loss</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Fair Value</w:t>
            </w:r>
          </w:p>
        </w:tc>
      </w:tr>
      <w:tr>
        <w:trPr>
          <w:trHeight w:val="142"/>
        </w:trPr>
        <w:tc>
          <w:tcPr>
            <w:tcW w:w="2780" w:type="dxa"/>
            <w:vAlign w:val="bottom"/>
            <w:gridSpan w:val="2"/>
          </w:tcPr>
          <w:p>
            <w:pPr>
              <w:spacing w:after="0"/>
              <w:rPr>
                <w:sz w:val="20"/>
                <w:szCs w:val="20"/>
                <w:color w:val="auto"/>
              </w:rPr>
            </w:pPr>
            <w:r>
              <w:rPr>
                <w:rFonts w:ascii="Arial" w:cs="Arial" w:eastAsia="Arial" w:hAnsi="Arial"/>
                <w:sz w:val="12"/>
                <w:szCs w:val="12"/>
                <w:color w:val="auto"/>
              </w:rPr>
              <w:t>At December 31, 2020</w:t>
            </w: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Obligations of States and Political Subdivisions</w:t>
            </w: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1,261</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206,812</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1,261</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206,812</w:t>
            </w:r>
          </w:p>
        </w:tc>
      </w:tr>
      <w:tr>
        <w:trPr>
          <w:trHeight w:val="157"/>
        </w:trPr>
        <w:tc>
          <w:tcPr>
            <w:tcW w:w="2780" w:type="dxa"/>
            <w:vAlign w:val="bottom"/>
            <w:gridSpan w:val="2"/>
          </w:tcPr>
          <w:p>
            <w:pPr>
              <w:spacing w:after="0"/>
              <w:rPr>
                <w:sz w:val="20"/>
                <w:szCs w:val="20"/>
                <w:color w:val="auto"/>
              </w:rPr>
            </w:pPr>
            <w:r>
              <w:rPr>
                <w:rFonts w:ascii="Arial" w:cs="Arial" w:eastAsia="Arial" w:hAnsi="Arial"/>
                <w:sz w:val="12"/>
                <w:szCs w:val="12"/>
                <w:color w:val="auto"/>
              </w:rPr>
              <w:t>Corporate Securities</w:t>
            </w:r>
          </w:p>
        </w:tc>
        <w:tc>
          <w:tcPr>
            <w:tcW w:w="3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6"/>
              </w:rPr>
              <w:t>242,596</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9,919,298</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6"/>
              </w:rPr>
              <w:t>438,882</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89"/>
              </w:rPr>
              <w:t>2,593,026</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681,478</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12,512,324</w:t>
            </w:r>
          </w:p>
        </w:tc>
      </w:tr>
      <w:tr>
        <w:trPr>
          <w:trHeight w:val="158"/>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Mortgage and other asset-backed securities</w:t>
            </w: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266,522</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3,455,574</w:t>
            </w:r>
          </w:p>
        </w:tc>
        <w:tc>
          <w:tcPr>
            <w:tcW w:w="3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584</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51,961</w:t>
            </w:r>
          </w:p>
        </w:tc>
        <w:tc>
          <w:tcPr>
            <w:tcW w:w="3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267,106</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3,507,535</w:t>
            </w:r>
          </w:p>
        </w:tc>
      </w:tr>
      <w:tr>
        <w:trPr>
          <w:trHeight w:val="193"/>
        </w:trPr>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Total unrealized losses</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510,379</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$13,581,684</w:t>
            </w:r>
          </w:p>
        </w:tc>
        <w:tc>
          <w:tcPr>
            <w:tcW w:w="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439,466</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2,644,987</w:t>
            </w:r>
          </w:p>
        </w:tc>
        <w:tc>
          <w:tcPr>
            <w:tcW w:w="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949,845</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$16,226,671</w:t>
            </w:r>
          </w:p>
        </w:tc>
      </w:tr>
      <w:tr>
        <w:trPr>
          <w:trHeight w:val="138"/>
        </w:trPr>
        <w:tc>
          <w:tcPr>
            <w:tcW w:w="11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5"/>
        </w:trPr>
        <w:tc>
          <w:tcPr>
            <w:tcW w:w="2780" w:type="dxa"/>
            <w:vAlign w:val="bottom"/>
            <w:gridSpan w:val="2"/>
          </w:tcPr>
          <w:p>
            <w:pPr>
              <w:spacing w:after="0"/>
              <w:rPr>
                <w:sz w:val="20"/>
                <w:szCs w:val="20"/>
                <w:color w:val="auto"/>
              </w:rPr>
            </w:pPr>
            <w:r>
              <w:rPr>
                <w:rFonts w:ascii="Arial" w:cs="Arial" w:eastAsia="Arial" w:hAnsi="Arial"/>
                <w:sz w:val="12"/>
                <w:szCs w:val="12"/>
                <w:color w:val="auto"/>
              </w:rPr>
              <w:t>At December 31, 2019</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Treasury Securities and Obligations</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2780" w:type="dxa"/>
            <w:vAlign w:val="bottom"/>
            <w:gridSpan w:val="2"/>
          </w:tcPr>
          <w:p>
            <w:pPr>
              <w:ind w:left="100"/>
              <w:spacing w:after="0"/>
              <w:rPr>
                <w:sz w:val="20"/>
                <w:szCs w:val="20"/>
                <w:color w:val="auto"/>
              </w:rPr>
            </w:pPr>
            <w:r>
              <w:rPr>
                <w:rFonts w:ascii="Arial" w:cs="Arial" w:eastAsia="Arial" w:hAnsi="Arial"/>
                <w:sz w:val="12"/>
                <w:szCs w:val="12"/>
                <w:color w:val="auto"/>
              </w:rPr>
              <w:t>of U.S. Government Agencies</w:t>
            </w:r>
          </w:p>
        </w:tc>
        <w:tc>
          <w:tcPr>
            <w:tcW w:w="34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20,211</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$30,629,288</w:t>
            </w:r>
          </w:p>
        </w:tc>
        <w:tc>
          <w:tcPr>
            <w:tcW w:w="300" w:type="dxa"/>
            <w:vAlign w:val="bottom"/>
          </w:tcPr>
          <w:p>
            <w:pPr>
              <w:spacing w:after="0"/>
              <w:rPr>
                <w:sz w:val="13"/>
                <w:szCs w:val="13"/>
                <w:color w:val="auto"/>
              </w:rPr>
            </w:pPr>
          </w:p>
        </w:tc>
        <w:tc>
          <w:tcPr>
            <w:tcW w:w="3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5,004</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$10,000,400</w:t>
            </w:r>
          </w:p>
        </w:tc>
        <w:tc>
          <w:tcPr>
            <w:tcW w:w="3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25,215</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$40,629,688</w:t>
            </w:r>
          </w:p>
        </w:tc>
      </w:tr>
      <w:tr>
        <w:trPr>
          <w:trHeight w:val="160"/>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Obligations of States and Political Subdivisions</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9,026</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3,062,889</w:t>
            </w: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9,026</w:t>
            </w: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3,062,889</w:t>
            </w:r>
          </w:p>
        </w:tc>
      </w:tr>
      <w:tr>
        <w:trPr>
          <w:trHeight w:val="157"/>
        </w:trPr>
        <w:tc>
          <w:tcPr>
            <w:tcW w:w="2780" w:type="dxa"/>
            <w:vAlign w:val="bottom"/>
            <w:gridSpan w:val="2"/>
          </w:tcPr>
          <w:p>
            <w:pPr>
              <w:spacing w:after="0"/>
              <w:rPr>
                <w:sz w:val="20"/>
                <w:szCs w:val="20"/>
                <w:color w:val="auto"/>
              </w:rPr>
            </w:pPr>
            <w:r>
              <w:rPr>
                <w:rFonts w:ascii="Arial" w:cs="Arial" w:eastAsia="Arial" w:hAnsi="Arial"/>
                <w:sz w:val="12"/>
                <w:szCs w:val="12"/>
                <w:color w:val="auto"/>
              </w:rPr>
              <w:t>Corporate Securities</w:t>
            </w:r>
          </w:p>
        </w:tc>
        <w:tc>
          <w:tcPr>
            <w:tcW w:w="3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6"/>
              </w:rPr>
              <w:t>118,746</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7,184,311</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6"/>
              </w:rPr>
              <w:t>344,667</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89"/>
              </w:rPr>
              <w:t>3,950,509</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463,413</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11,134,820</w:t>
            </w:r>
          </w:p>
        </w:tc>
      </w:tr>
      <w:tr>
        <w:trPr>
          <w:trHeight w:val="158"/>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Mortgage and other asset-backed securities</w:t>
            </w: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205,470</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13,266,443</w:t>
            </w:r>
          </w:p>
        </w:tc>
        <w:tc>
          <w:tcPr>
            <w:tcW w:w="3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34,707</w:t>
            </w: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502,769</w:t>
            </w:r>
          </w:p>
        </w:tc>
        <w:tc>
          <w:tcPr>
            <w:tcW w:w="3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240,177</w:t>
            </w:r>
          </w:p>
        </w:tc>
        <w:tc>
          <w:tcPr>
            <w:tcW w:w="2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13,769,212</w:t>
            </w:r>
          </w:p>
        </w:tc>
      </w:tr>
      <w:tr>
        <w:trPr>
          <w:trHeight w:val="153"/>
        </w:trPr>
        <w:tc>
          <w:tcPr>
            <w:tcW w:w="2780" w:type="dxa"/>
            <w:vAlign w:val="bottom"/>
            <w:gridSpan w:val="2"/>
          </w:tcPr>
          <w:p>
            <w:pPr>
              <w:spacing w:after="0"/>
              <w:rPr>
                <w:sz w:val="20"/>
                <w:szCs w:val="20"/>
                <w:color w:val="auto"/>
              </w:rPr>
            </w:pPr>
            <w:r>
              <w:rPr>
                <w:rFonts w:ascii="Arial" w:cs="Arial" w:eastAsia="Arial" w:hAnsi="Arial"/>
                <w:sz w:val="12"/>
                <w:szCs w:val="12"/>
                <w:color w:val="auto"/>
              </w:rPr>
              <w:t>Total unrealized losses</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353,453</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$54,142,931</w:t>
            </w:r>
          </w:p>
        </w:tc>
        <w:tc>
          <w:tcPr>
            <w:tcW w:w="300" w:type="dxa"/>
            <w:vAlign w:val="bottom"/>
          </w:tcPr>
          <w:p>
            <w:pPr>
              <w:spacing w:after="0"/>
              <w:rPr>
                <w:sz w:val="13"/>
                <w:szCs w:val="13"/>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384,378</w:t>
            </w:r>
          </w:p>
        </w:tc>
        <w:tc>
          <w:tcPr>
            <w:tcW w:w="20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$14,453,678</w:t>
            </w:r>
          </w:p>
        </w:tc>
        <w:tc>
          <w:tcPr>
            <w:tcW w:w="300" w:type="dxa"/>
            <w:vAlign w:val="bottom"/>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737,831</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$68,596,609</w:t>
            </w:r>
          </w:p>
        </w:tc>
      </w:tr>
      <w:tr>
        <w:trPr>
          <w:trHeight w:val="20"/>
        </w:trPr>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There were 63 securities with fair value of 94.7% of amortized cost at December 31, 2020. There were 93 securities with fair value of 98.9% of amortized cost at December 31, 2019. Credit losses of $370,975 and $-0-have been recognized for the years ended December 31, 2020 and 2019, respectively.</w:t>
      </w:r>
    </w:p>
    <w:p>
      <w:pPr>
        <w:spacing w:after="0" w:line="184" w:lineRule="exact"/>
        <w:rPr>
          <w:sz w:val="20"/>
          <w:szCs w:val="20"/>
          <w:color w:val="auto"/>
        </w:rPr>
      </w:pPr>
    </w:p>
    <w:p>
      <w:pPr>
        <w:jc w:val="both"/>
        <w:ind w:left="5" w:right="319"/>
        <w:spacing w:after="0" w:line="249" w:lineRule="auto"/>
        <w:rPr>
          <w:sz w:val="20"/>
          <w:szCs w:val="20"/>
          <w:color w:val="auto"/>
        </w:rPr>
      </w:pPr>
      <w:r>
        <w:rPr>
          <w:rFonts w:ascii="Arial" w:cs="Arial" w:eastAsia="Arial" w:hAnsi="Arial"/>
          <w:sz w:val="19"/>
          <w:szCs w:val="19"/>
          <w:color w:val="auto"/>
        </w:rPr>
        <w:t>On a quarterly basis, the Company evaluates its fixed maturity securities classified as available for sale.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w:t>
      </w:r>
    </w:p>
    <w:p>
      <w:pPr>
        <w:spacing w:after="0" w:line="197"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6"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58" w:name="page59"/>
    <w:bookmarkEnd w:id="5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337" w:lineRule="auto"/>
        <w:rPr>
          <w:sz w:val="20"/>
          <w:szCs w:val="20"/>
          <w:color w:val="auto"/>
        </w:rPr>
      </w:pPr>
      <w:r>
        <w:rPr>
          <w:rFonts w:ascii="Arial" w:cs="Arial" w:eastAsia="Arial" w:hAnsi="Arial"/>
          <w:sz w:val="17"/>
          <w:szCs w:val="17"/>
          <w:color w:val="auto"/>
        </w:rPr>
        <w:t>The following table presents a rollforward of the Company's cumulative other than temporary credit impairments (“OTTI”) recognized in earnings on fixed maturity securities available for sale for the years ended December 31:</w:t>
      </w:r>
    </w:p>
    <w:p>
      <w:pPr>
        <w:sectPr>
          <w:pgSz w:w="11900" w:h="16838" w:orient="portrait"/>
          <w:cols w:equalWidth="0" w:num="1">
            <w:col w:w="9184"/>
          </w:cols>
          <w:pgMar w:left="1275" w:top="122" w:right="1440" w:bottom="1440" w:gutter="0" w:footer="0" w:header="0"/>
        </w:sectPr>
      </w:pPr>
    </w:p>
    <w:p>
      <w:pPr>
        <w:spacing w:after="0" w:line="320" w:lineRule="exact"/>
        <w:rPr>
          <w:sz w:val="20"/>
          <w:szCs w:val="20"/>
          <w:color w:val="auto"/>
        </w:rPr>
      </w:pPr>
    </w:p>
    <w:p>
      <w:pPr>
        <w:ind w:left="5"/>
        <w:spacing w:after="0"/>
        <w:rPr>
          <w:sz w:val="20"/>
          <w:szCs w:val="20"/>
          <w:color w:val="auto"/>
        </w:rPr>
      </w:pPr>
      <w:r>
        <w:rPr>
          <w:rFonts w:ascii="Arial" w:cs="Arial" w:eastAsia="Arial" w:hAnsi="Arial"/>
          <w:sz w:val="14"/>
          <w:szCs w:val="14"/>
          <w:color w:val="auto"/>
        </w:rPr>
        <w:t>Balance of credit-related OTTI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4589780" cy="1174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89780" cy="117475"/>
                    </a:xfrm>
                    <a:prstGeom prst="rect">
                      <a:avLst/>
                    </a:prstGeom>
                    <a:noFill/>
                  </pic:spPr>
                </pic:pic>
              </a:graphicData>
            </a:graphic>
          </wp:anchor>
        </w:drawing>
      </w:r>
    </w:p>
    <w:p>
      <w:pPr>
        <w:spacing w:after="0" w:line="162" w:lineRule="exact"/>
        <w:rPr>
          <w:sz w:val="20"/>
          <w:szCs w:val="20"/>
          <w:color w:val="auto"/>
        </w:rPr>
      </w:pPr>
    </w:p>
    <w:p>
      <w:pPr>
        <w:ind w:left="5"/>
        <w:spacing w:after="0"/>
        <w:rPr>
          <w:sz w:val="20"/>
          <w:szCs w:val="20"/>
          <w:color w:val="auto"/>
        </w:rPr>
      </w:pPr>
      <w:r>
        <w:rPr>
          <w:rFonts w:ascii="Arial" w:cs="Arial" w:eastAsia="Arial" w:hAnsi="Arial"/>
          <w:sz w:val="14"/>
          <w:szCs w:val="14"/>
          <w:color w:val="auto"/>
        </w:rPr>
        <w:t>Additions for credit impairments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4589780" cy="108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89780" cy="108585"/>
                    </a:xfrm>
                    <a:prstGeom prst="rect">
                      <a:avLst/>
                    </a:prstGeom>
                    <a:noFill/>
                  </pic:spPr>
                </pic:pic>
              </a:graphicData>
            </a:graphic>
          </wp:anchor>
        </w:drawing>
      </w:r>
    </w:p>
    <w:p>
      <w:pPr>
        <w:ind w:left="45"/>
        <w:spacing w:after="0"/>
        <w:rPr>
          <w:sz w:val="20"/>
          <w:szCs w:val="20"/>
          <w:color w:val="auto"/>
        </w:rPr>
      </w:pPr>
      <w:r>
        <w:rPr>
          <w:rFonts w:ascii="Arial" w:cs="Arial" w:eastAsia="Arial" w:hAnsi="Arial"/>
          <w:sz w:val="14"/>
          <w:szCs w:val="14"/>
          <w:color w:val="auto"/>
        </w:rPr>
        <w:t>Securities not previously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589780" cy="1085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89780" cy="108585"/>
                    </a:xfrm>
                    <a:prstGeom prst="rect">
                      <a:avLst/>
                    </a:prstGeom>
                    <a:noFill/>
                  </pic:spPr>
                </pic:pic>
              </a:graphicData>
            </a:graphic>
          </wp:anchor>
        </w:drawing>
      </w:r>
    </w:p>
    <w:p>
      <w:pPr>
        <w:ind w:left="45"/>
        <w:spacing w:after="0"/>
        <w:rPr>
          <w:sz w:val="20"/>
          <w:szCs w:val="20"/>
          <w:color w:val="auto"/>
        </w:rPr>
      </w:pPr>
      <w:r>
        <w:rPr>
          <w:rFonts w:ascii="Arial" w:cs="Arial" w:eastAsia="Arial" w:hAnsi="Arial"/>
          <w:sz w:val="14"/>
          <w:szCs w:val="14"/>
          <w:color w:val="auto"/>
        </w:rPr>
        <w:t>Securities previously impaired</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3"/>
          <w:szCs w:val="13"/>
          <w:color w:val="auto"/>
        </w:rPr>
        <w:t>Reductions for credit impairments previously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4589780" cy="108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89780" cy="108585"/>
                    </a:xfrm>
                    <a:prstGeom prst="rect">
                      <a:avLst/>
                    </a:prstGeom>
                    <a:noFill/>
                  </pic:spPr>
                </pic:pic>
              </a:graphicData>
            </a:graphic>
          </wp:anchor>
        </w:drawing>
      </w:r>
    </w:p>
    <w:p>
      <w:pPr>
        <w:spacing w:after="0" w:line="10" w:lineRule="exact"/>
        <w:rPr>
          <w:sz w:val="20"/>
          <w:szCs w:val="20"/>
          <w:color w:val="auto"/>
        </w:rPr>
      </w:pPr>
    </w:p>
    <w:p>
      <w:pPr>
        <w:ind w:left="45"/>
        <w:spacing w:after="0"/>
        <w:rPr>
          <w:sz w:val="20"/>
          <w:szCs w:val="20"/>
          <w:color w:val="auto"/>
        </w:rPr>
      </w:pPr>
      <w:r>
        <w:rPr>
          <w:rFonts w:ascii="Arial" w:cs="Arial" w:eastAsia="Arial" w:hAnsi="Arial"/>
          <w:sz w:val="12"/>
          <w:szCs w:val="12"/>
          <w:color w:val="auto"/>
        </w:rPr>
        <w:t>Securities that matured or were sold during the period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4589780" cy="1085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89780" cy="108585"/>
                    </a:xfrm>
                    <a:prstGeom prst="rect">
                      <a:avLst/>
                    </a:prstGeom>
                    <a:noFill/>
                  </pic:spPr>
                </pic:pic>
              </a:graphicData>
            </a:graphic>
          </wp:anchor>
        </w:drawing>
      </w:r>
    </w:p>
    <w:p>
      <w:pPr>
        <w:spacing w:after="0" w:line="13" w:lineRule="exact"/>
        <w:rPr>
          <w:sz w:val="20"/>
          <w:szCs w:val="20"/>
          <w:color w:val="auto"/>
        </w:rPr>
      </w:pPr>
    </w:p>
    <w:p>
      <w:pPr>
        <w:ind w:left="45"/>
        <w:spacing w:after="0"/>
        <w:rPr>
          <w:sz w:val="20"/>
          <w:szCs w:val="20"/>
          <w:color w:val="auto"/>
        </w:rPr>
      </w:pPr>
      <w:r>
        <w:rPr>
          <w:rFonts w:ascii="Arial" w:cs="Arial" w:eastAsia="Arial" w:hAnsi="Arial"/>
          <w:sz w:val="14"/>
          <w:szCs w:val="14"/>
          <w:color w:val="auto"/>
        </w:rPr>
        <w:t>Securities due to an increase in expected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4589780" cy="125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89780" cy="125730"/>
                    </a:xfrm>
                    <a:prstGeom prst="rect">
                      <a:avLst/>
                    </a:prstGeom>
                    <a:noFill/>
                  </pic:spPr>
                </pic:pic>
              </a:graphicData>
            </a:graphic>
          </wp:anchor>
        </w:drawing>
      </w:r>
    </w:p>
    <w:p>
      <w:pPr>
        <w:spacing w:after="0" w:line="180" w:lineRule="exact"/>
        <w:rPr>
          <w:sz w:val="20"/>
          <w:szCs w:val="20"/>
          <w:color w:val="auto"/>
        </w:rPr>
      </w:pPr>
    </w:p>
    <w:p>
      <w:pPr>
        <w:ind w:left="5"/>
        <w:spacing w:after="0"/>
        <w:rPr>
          <w:sz w:val="20"/>
          <w:szCs w:val="20"/>
          <w:color w:val="auto"/>
        </w:rPr>
      </w:pPr>
      <w:r>
        <w:rPr>
          <w:rFonts w:ascii="Arial" w:cs="Arial" w:eastAsia="Arial" w:hAnsi="Arial"/>
          <w:sz w:val="14"/>
          <w:szCs w:val="14"/>
          <w:color w:val="auto"/>
        </w:rPr>
        <w:t>Balance of credit-related OTTI at December 31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w w:val="96"/>
              </w:rPr>
              <w:t>2020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2019</w:t>
            </w:r>
          </w:p>
        </w:tc>
      </w:tr>
      <w:tr>
        <w:trPr>
          <w:trHeight w:val="172"/>
        </w:trPr>
        <w:tc>
          <w:tcPr>
            <w:tcW w:w="46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01"/>
        </w:trPr>
        <w:tc>
          <w:tcPr>
            <w:tcW w:w="460" w:type="dxa"/>
            <w:vAlign w:val="bottom"/>
          </w:tcPr>
          <w:p>
            <w:pPr>
              <w:spacing w:after="0"/>
              <w:rPr>
                <w:sz w:val="24"/>
                <w:szCs w:val="24"/>
                <w:color w:val="auto"/>
              </w:rPr>
            </w:pP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370,975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07"/>
        </w:trPr>
        <w:tc>
          <w:tcPr>
            <w:tcW w:w="460" w:type="dxa"/>
            <w:vAlign w:val="bottom"/>
          </w:tcPr>
          <w:p>
            <w:pPr>
              <w:spacing w:after="0"/>
              <w:rPr>
                <w:sz w:val="24"/>
                <w:szCs w:val="24"/>
                <w:color w:val="auto"/>
              </w:rPr>
            </w:pP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60" w:type="dxa"/>
            <w:vAlign w:val="bottom"/>
          </w:tcPr>
          <w:p>
            <w:pPr>
              <w:spacing w:after="0"/>
              <w:rPr>
                <w:sz w:val="15"/>
                <w:szCs w:val="15"/>
                <w:color w:val="auto"/>
              </w:rPr>
            </w:pPr>
          </w:p>
        </w:tc>
        <w:tc>
          <w:tcPr>
            <w:tcW w:w="9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5"/>
        </w:trPr>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370,975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965" w:space="720"/>
            <w:col w:w="4499"/>
          </w:cols>
          <w:pgMar w:left="1275" w:top="122" w:right="1440" w:bottom="1440" w:gutter="0" w:footer="0" w:header="0"/>
          <w:type w:val="continuous"/>
        </w:sectPr>
      </w:pPr>
    </w:p>
    <w:p>
      <w:pPr>
        <w:spacing w:after="0" w:line="7" w:lineRule="exact"/>
        <w:rPr>
          <w:sz w:val="20"/>
          <w:szCs w:val="20"/>
          <w:color w:val="auto"/>
        </w:rPr>
      </w:pPr>
    </w:p>
    <w:p>
      <w:pPr>
        <w:jc w:val="both"/>
        <w:ind w:left="5" w:right="319"/>
        <w:spacing w:after="0" w:line="306" w:lineRule="auto"/>
        <w:rPr>
          <w:sz w:val="20"/>
          <w:szCs w:val="20"/>
          <w:color w:val="auto"/>
        </w:rPr>
      </w:pPr>
      <w:r>
        <w:rPr>
          <w:rFonts w:ascii="Arial" w:cs="Arial" w:eastAsia="Arial" w:hAnsi="Arial"/>
          <w:sz w:val="17"/>
          <w:szCs w:val="17"/>
          <w:color w:val="auto"/>
        </w:rPr>
        <w:t>The amortized cost and estimated fair value of fixed maturity securities available for sale at December 31, 2020, by contractual maturity, are shown below. Expected maturities may differ from contractual maturities because certain borrowers may have the right to call or prepay obligations with or without call or prepayment penalties.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940" w:type="dxa"/>
            <w:vAlign w:val="bottom"/>
            <w:gridSpan w:val="3"/>
          </w:tcPr>
          <w:p>
            <w:pPr>
              <w:ind w:left="500"/>
              <w:spacing w:after="0"/>
              <w:rPr>
                <w:sz w:val="20"/>
                <w:szCs w:val="20"/>
                <w:color w:val="auto"/>
              </w:rPr>
            </w:pPr>
            <w:r>
              <w:rPr>
                <w:rFonts w:ascii="Arial" w:cs="Arial" w:eastAsia="Arial" w:hAnsi="Arial"/>
                <w:sz w:val="14"/>
                <w:szCs w:val="14"/>
                <w:color w:val="auto"/>
              </w:rPr>
              <w:t>Amortized</w:t>
            </w:r>
          </w:p>
        </w:tc>
        <w:tc>
          <w:tcPr>
            <w:tcW w:w="1720" w:type="dxa"/>
            <w:vAlign w:val="bottom"/>
            <w:gridSpan w:val="2"/>
          </w:tcPr>
          <w:p>
            <w:pPr>
              <w:jc w:val="right"/>
              <w:ind w:right="370"/>
              <w:spacing w:after="0"/>
              <w:rPr>
                <w:sz w:val="20"/>
                <w:szCs w:val="20"/>
                <w:color w:val="auto"/>
              </w:rPr>
            </w:pPr>
            <w:r>
              <w:rPr>
                <w:rFonts w:ascii="Arial" w:cs="Arial" w:eastAsia="Arial" w:hAnsi="Arial"/>
                <w:sz w:val="14"/>
                <w:szCs w:val="14"/>
                <w:color w:val="auto"/>
              </w:rPr>
              <w:t>Estimated Fair</w:t>
            </w:r>
          </w:p>
        </w:tc>
      </w:tr>
      <w:tr>
        <w:trPr>
          <w:trHeight w:val="177"/>
        </w:trPr>
        <w:tc>
          <w:tcPr>
            <w:tcW w:w="3480" w:type="dxa"/>
            <w:vAlign w:val="bottom"/>
          </w:tcPr>
          <w:p>
            <w:pPr>
              <w:spacing w:after="0"/>
              <w:rPr>
                <w:sz w:val="15"/>
                <w:szCs w:val="15"/>
                <w:color w:val="auto"/>
              </w:rPr>
            </w:pPr>
          </w:p>
        </w:tc>
        <w:tc>
          <w:tcPr>
            <w:tcW w:w="1940" w:type="dxa"/>
            <w:vAlign w:val="bottom"/>
            <w:gridSpan w:val="3"/>
          </w:tcPr>
          <w:p>
            <w:pPr>
              <w:ind w:left="680"/>
              <w:spacing w:after="0"/>
              <w:rPr>
                <w:sz w:val="20"/>
                <w:szCs w:val="20"/>
                <w:color w:val="auto"/>
              </w:rPr>
            </w:pPr>
            <w:r>
              <w:rPr>
                <w:rFonts w:ascii="Arial" w:cs="Arial" w:eastAsia="Arial" w:hAnsi="Arial"/>
                <w:sz w:val="14"/>
                <w:szCs w:val="14"/>
                <w:color w:val="auto"/>
              </w:rPr>
              <w:t>Cost</w:t>
            </w:r>
          </w:p>
        </w:tc>
        <w:tc>
          <w:tcPr>
            <w:tcW w:w="1000" w:type="dxa"/>
            <w:vAlign w:val="bottom"/>
          </w:tcPr>
          <w:p>
            <w:pPr>
              <w:jc w:val="right"/>
              <w:spacing w:after="0"/>
              <w:rPr>
                <w:sz w:val="20"/>
                <w:szCs w:val="20"/>
                <w:color w:val="auto"/>
              </w:rPr>
            </w:pPr>
            <w:r>
              <w:rPr>
                <w:rFonts w:ascii="Arial" w:cs="Arial" w:eastAsia="Arial" w:hAnsi="Arial"/>
                <w:sz w:val="14"/>
                <w:szCs w:val="14"/>
                <w:color w:val="auto"/>
              </w:rPr>
              <w:t>Value</w:t>
            </w:r>
          </w:p>
        </w:tc>
        <w:tc>
          <w:tcPr>
            <w:tcW w:w="720" w:type="dxa"/>
            <w:vAlign w:val="bottom"/>
          </w:tcPr>
          <w:p>
            <w:pPr>
              <w:spacing w:after="0"/>
              <w:rPr>
                <w:sz w:val="15"/>
                <w:szCs w:val="15"/>
                <w:color w:val="auto"/>
              </w:rPr>
            </w:pPr>
          </w:p>
        </w:tc>
      </w:tr>
      <w:tr>
        <w:trPr>
          <w:trHeight w:val="165"/>
        </w:trPr>
        <w:tc>
          <w:tcPr>
            <w:tcW w:w="3480" w:type="dxa"/>
            <w:vAlign w:val="bottom"/>
            <w:tcBorders>
              <w:top w:val="single" w:sz="8" w:color="CCEEFF"/>
            </w:tcBorders>
            <w:shd w:val="clear" w:color="auto" w:fill="CCEEFF"/>
          </w:tcPr>
          <w:p>
            <w:pPr>
              <w:ind w:left="140"/>
              <w:spacing w:after="0" w:line="159" w:lineRule="exact"/>
              <w:rPr>
                <w:sz w:val="20"/>
                <w:szCs w:val="20"/>
                <w:color w:val="auto"/>
              </w:rPr>
            </w:pPr>
            <w:r>
              <w:rPr>
                <w:rFonts w:ascii="Arial" w:cs="Arial" w:eastAsia="Arial" w:hAnsi="Arial"/>
                <w:sz w:val="14"/>
                <w:szCs w:val="14"/>
                <w:color w:val="auto"/>
              </w:rPr>
              <w:t>Due in 1 year</w:t>
            </w:r>
          </w:p>
        </w:tc>
        <w:tc>
          <w:tcPr>
            <w:tcW w:w="8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28,634,042</w:t>
            </w:r>
          </w:p>
        </w:tc>
        <w:tc>
          <w:tcPr>
            <w:tcW w:w="3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28,831,983</w:t>
            </w:r>
          </w:p>
        </w:tc>
      </w:tr>
      <w:tr>
        <w:trPr>
          <w:trHeight w:val="171"/>
        </w:trPr>
        <w:tc>
          <w:tcPr>
            <w:tcW w:w="3480" w:type="dxa"/>
            <w:vAlign w:val="bottom"/>
          </w:tcPr>
          <w:p>
            <w:pPr>
              <w:ind w:left="140"/>
              <w:spacing w:after="0"/>
              <w:rPr>
                <w:sz w:val="20"/>
                <w:szCs w:val="20"/>
                <w:color w:val="auto"/>
              </w:rPr>
            </w:pPr>
            <w:r>
              <w:rPr>
                <w:rFonts w:ascii="Arial" w:cs="Arial" w:eastAsia="Arial" w:hAnsi="Arial"/>
                <w:sz w:val="14"/>
                <w:szCs w:val="14"/>
                <w:color w:val="auto"/>
              </w:rPr>
              <w:t>Due in 2-5 years</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66,183,907</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70,910,775</w:t>
            </w:r>
          </w:p>
        </w:tc>
      </w:tr>
      <w:tr>
        <w:trPr>
          <w:trHeight w:val="171"/>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in 5-10 years</w:t>
            </w: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70,162,166</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78,592,046</w:t>
            </w:r>
          </w:p>
        </w:tc>
      </w:tr>
      <w:tr>
        <w:trPr>
          <w:trHeight w:val="171"/>
        </w:trPr>
        <w:tc>
          <w:tcPr>
            <w:tcW w:w="3480" w:type="dxa"/>
            <w:vAlign w:val="bottom"/>
          </w:tcPr>
          <w:p>
            <w:pPr>
              <w:ind w:left="140"/>
              <w:spacing w:after="0"/>
              <w:rPr>
                <w:sz w:val="20"/>
                <w:szCs w:val="20"/>
                <w:color w:val="auto"/>
              </w:rPr>
            </w:pPr>
            <w:r>
              <w:rPr>
                <w:rFonts w:ascii="Arial" w:cs="Arial" w:eastAsia="Arial" w:hAnsi="Arial"/>
                <w:sz w:val="14"/>
                <w:szCs w:val="14"/>
                <w:color w:val="auto"/>
              </w:rPr>
              <w:t>Due in more than 10 years</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68,853,364</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83,703,208</w:t>
            </w:r>
          </w:p>
        </w:tc>
      </w:tr>
      <w:tr>
        <w:trPr>
          <w:trHeight w:val="171"/>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Mortgage-backed securities</w:t>
            </w: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31,047,791</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32,346,062</w:t>
            </w:r>
          </w:p>
        </w:tc>
      </w:tr>
      <w:tr>
        <w:trPr>
          <w:trHeight w:val="171"/>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Redeemable preferred stock</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269,214</w:t>
            </w:r>
          </w:p>
        </w:tc>
        <w:tc>
          <w:tcPr>
            <w:tcW w:w="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272,605</w:t>
            </w:r>
          </w:p>
        </w:tc>
      </w:tr>
      <w:tr>
        <w:trPr>
          <w:trHeight w:val="165"/>
        </w:trPr>
        <w:tc>
          <w:tcPr>
            <w:tcW w:w="3480" w:type="dxa"/>
            <w:vAlign w:val="bottom"/>
            <w:tcBorders>
              <w:bottom w:val="single" w:sz="8" w:color="CCEEFF"/>
            </w:tcBorders>
            <w:shd w:val="clear" w:color="auto" w:fill="CCEEFF"/>
          </w:tcPr>
          <w:p>
            <w:pPr>
              <w:ind w:left="280"/>
              <w:spacing w:after="0" w:line="159"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265,150,484</w:t>
            </w:r>
          </w:p>
        </w:tc>
        <w:tc>
          <w:tcPr>
            <w:tcW w:w="3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294,656,679</w:t>
            </w:r>
          </w:p>
        </w:tc>
      </w:tr>
      <w:tr>
        <w:trPr>
          <w:trHeight w:val="20"/>
        </w:trPr>
        <w:tc>
          <w:tcPr>
            <w:tcW w:w="3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is a member of the Federal Home Loan Bank of Des Moines and Dallas (“FHLB”). The Company pledged a total of $40,000,000, par value, of United States Treasury fixed maturity securities with the FHLB at December 31, 2020. These securities are used as collateral on any cash borrowings from the FHLB. As of December 31, 2020, the Company did not have any outstanding amounts owed to the FHLB and its estimated maximum borrowing capacity was $39,102,336.</w:t>
      </w:r>
    </w:p>
    <w:p>
      <w:pPr>
        <w:spacing w:after="0" w:line="21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59" w:name="page60"/>
    <w:bookmarkEnd w:id="5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Investment Related Earnings</w:t>
      </w:r>
    </w:p>
    <w:p>
      <w:pPr>
        <w:spacing w:after="0" w:line="236"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Company’s net realized gains and losses from sales, calls, and maturities, unrealized gains and losses on equity securities, and other than temporary impairments from investments and other assets for the years ended December 31 are summarized as follows:</w:t>
      </w:r>
    </w:p>
    <w:p>
      <w:pPr>
        <w:spacing w:after="0" w:line="204"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40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95"/>
              </w:rPr>
              <w:t>2020</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95"/>
              </w:rPr>
              <w:t>2019</w:t>
            </w:r>
          </w:p>
        </w:tc>
      </w:tr>
      <w:tr>
        <w:trPr>
          <w:trHeight w:val="204"/>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maturity securities available for sale:</w:t>
            </w:r>
          </w:p>
        </w:tc>
        <w:tc>
          <w:tcPr>
            <w:tcW w:w="4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14"/>
        </w:trPr>
        <w:tc>
          <w:tcPr>
            <w:tcW w:w="4080" w:type="dxa"/>
            <w:vAlign w:val="bottom"/>
          </w:tcPr>
          <w:p>
            <w:pPr>
              <w:ind w:left="320"/>
              <w:spacing w:after="0"/>
              <w:rPr>
                <w:sz w:val="20"/>
                <w:szCs w:val="20"/>
                <w:color w:val="auto"/>
              </w:rPr>
            </w:pPr>
            <w:r>
              <w:rPr>
                <w:rFonts w:ascii="Arial" w:cs="Arial" w:eastAsia="Arial" w:hAnsi="Arial"/>
                <w:sz w:val="16"/>
                <w:szCs w:val="16"/>
                <w:color w:val="auto"/>
              </w:rPr>
              <w:t>Gross realized gains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445,749</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459,286</w:t>
            </w:r>
          </w:p>
        </w:tc>
      </w:tr>
      <w:tr>
        <w:trPr>
          <w:trHeight w:val="234"/>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realized losses</w:t>
            </w: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(77,546)</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(162,649)</w:t>
            </w:r>
          </w:p>
        </w:tc>
      </w:tr>
      <w:tr>
        <w:trPr>
          <w:trHeight w:val="214"/>
        </w:trPr>
        <w:tc>
          <w:tcPr>
            <w:tcW w:w="4080" w:type="dxa"/>
            <w:vAlign w:val="bottom"/>
          </w:tcPr>
          <w:p>
            <w:pPr>
              <w:ind w:left="320"/>
              <w:spacing w:after="0"/>
              <w:rPr>
                <w:sz w:val="20"/>
                <w:szCs w:val="20"/>
                <w:color w:val="auto"/>
              </w:rPr>
            </w:pPr>
            <w:r>
              <w:rPr>
                <w:rFonts w:ascii="Arial" w:cs="Arial" w:eastAsia="Arial" w:hAnsi="Arial"/>
                <w:sz w:val="16"/>
                <w:szCs w:val="16"/>
                <w:color w:val="auto"/>
              </w:rPr>
              <w:t>Other than temporary impairments</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(370,975)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4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4"/>
        </w:trPr>
        <w:tc>
          <w:tcPr>
            <w:tcW w:w="4080" w:type="dxa"/>
            <w:vAlign w:val="bottom"/>
          </w:tcPr>
          <w:p>
            <w:pPr>
              <w:spacing w:after="0"/>
              <w:rPr>
                <w:sz w:val="20"/>
                <w:szCs w:val="20"/>
                <w:color w:val="auto"/>
              </w:rPr>
            </w:pPr>
            <w:r>
              <w:rPr>
                <w:rFonts w:ascii="Arial" w:cs="Arial" w:eastAsia="Arial" w:hAnsi="Arial"/>
                <w:sz w:val="16"/>
                <w:szCs w:val="16"/>
                <w:color w:val="auto"/>
              </w:rPr>
              <w:t>Equity securities: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Gains on securities sold</w:t>
            </w: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74,836</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256,520</w:t>
            </w:r>
          </w:p>
        </w:tc>
      </w:tr>
      <w:tr>
        <w:trPr>
          <w:trHeight w:val="201"/>
        </w:trPr>
        <w:tc>
          <w:tcPr>
            <w:tcW w:w="4080" w:type="dxa"/>
            <w:vAlign w:val="bottom"/>
          </w:tcPr>
          <w:p>
            <w:pPr>
              <w:ind w:left="320"/>
              <w:spacing w:after="0"/>
              <w:rPr>
                <w:sz w:val="20"/>
                <w:szCs w:val="20"/>
                <w:color w:val="auto"/>
              </w:rPr>
            </w:pPr>
            <w:r>
              <w:rPr>
                <w:rFonts w:ascii="Arial" w:cs="Arial" w:eastAsia="Arial" w:hAnsi="Arial"/>
                <w:sz w:val="16"/>
                <w:szCs w:val="16"/>
                <w:color w:val="auto"/>
              </w:rPr>
              <w:t>Unrealized gains on securities held at the</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1"/>
        </w:trPr>
        <w:tc>
          <w:tcPr>
            <w:tcW w:w="4080" w:type="dxa"/>
            <w:vAlign w:val="bottom"/>
          </w:tcPr>
          <w:p>
            <w:pPr>
              <w:ind w:left="760"/>
              <w:spacing w:after="0"/>
              <w:rPr>
                <w:sz w:val="20"/>
                <w:szCs w:val="20"/>
                <w:color w:val="auto"/>
              </w:rPr>
            </w:pPr>
            <w:r>
              <w:rPr>
                <w:rFonts w:ascii="Arial" w:cs="Arial" w:eastAsia="Arial" w:hAnsi="Arial"/>
                <w:sz w:val="16"/>
                <w:szCs w:val="16"/>
                <w:color w:val="auto"/>
              </w:rPr>
              <w:t>end of the period</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1,125,304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1,086,116</w:t>
            </w:r>
          </w:p>
        </w:tc>
      </w:tr>
      <w:tr>
        <w:trPr>
          <w:trHeight w:val="234"/>
        </w:trPr>
        <w:tc>
          <w:tcPr>
            <w:tcW w:w="4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4"/>
        </w:trPr>
        <w:tc>
          <w:tcPr>
            <w:tcW w:w="4080" w:type="dxa"/>
            <w:vAlign w:val="bottom"/>
          </w:tcPr>
          <w:p>
            <w:pPr>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4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realized gains</w:t>
            </w: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2,342,418</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2,844,673</w:t>
            </w:r>
          </w:p>
        </w:tc>
      </w:tr>
      <w:tr>
        <w:trPr>
          <w:trHeight w:val="217"/>
        </w:trPr>
        <w:tc>
          <w:tcPr>
            <w:tcW w:w="40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Gross realized losses</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(1,984,911)</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(3,755,579)</w:t>
            </w:r>
          </w:p>
        </w:tc>
      </w:tr>
      <w:tr>
        <w:trPr>
          <w:trHeight w:val="217"/>
        </w:trPr>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1,554,875</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728,367</w:t>
            </w:r>
          </w:p>
        </w:tc>
      </w:tr>
      <w:tr>
        <w:trPr>
          <w:trHeight w:val="20"/>
        </w:trPr>
        <w:tc>
          <w:tcPr>
            <w:tcW w:w="4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net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jc w:val="both"/>
        <w:ind w:left="5" w:right="319"/>
        <w:spacing w:after="0" w:line="287" w:lineRule="auto"/>
        <w:rPr>
          <w:sz w:val="20"/>
          <w:szCs w:val="20"/>
          <w:color w:val="auto"/>
        </w:rPr>
      </w:pPr>
      <w:r>
        <w:rPr>
          <w:rFonts w:ascii="Arial" w:cs="Arial" w:eastAsia="Arial" w:hAnsi="Arial"/>
          <w:sz w:val="17"/>
          <w:szCs w:val="17"/>
          <w:color w:val="auto"/>
        </w:rPr>
        <w:t>On December 31, 2019, the Company changed the classification of its bond and preferred stock investments from held to maturity to available for sale based on the Company’s need to be able to respond proactively to market risks in managing its portfolio. Proceeds received from the sale of fixed maturity securities available for sale securities for the year ended December 31, 2020, were $5,477,438, and resulted in gross realized gains and gross realized losses of $358,236 and $21,137, respectively. The carrying amount of held to maturity securities sold for the year ended December 31, 2019 was $4,950,041 and the net realized gain related to these sales was $43,039.</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9"/>
          <w:szCs w:val="19"/>
          <w:color w:val="auto"/>
        </w:rPr>
        <w:t>Major categories of net investment income for the years ended December 31, were as follows:</w:t>
      </w:r>
    </w:p>
    <w:p>
      <w:pPr>
        <w:spacing w:after="0" w:line="342"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39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2019</w:t>
            </w: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Fixed maturity securities available for sale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$ 12,233,394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$ 10,372,559</w:t>
            </w:r>
          </w:p>
        </w:tc>
      </w:tr>
      <w:tr>
        <w:trPr>
          <w:trHeight w:val="214"/>
        </w:trPr>
        <w:tc>
          <w:tcPr>
            <w:tcW w:w="3940" w:type="dxa"/>
            <w:vAlign w:val="bottom"/>
          </w:tcPr>
          <w:p>
            <w:pPr>
              <w:spacing w:after="0"/>
              <w:rPr>
                <w:sz w:val="20"/>
                <w:szCs w:val="20"/>
                <w:color w:val="auto"/>
              </w:rPr>
            </w:pPr>
            <w:r>
              <w:rPr>
                <w:rFonts w:ascii="Arial" w:cs="Arial" w:eastAsia="Arial" w:hAnsi="Arial"/>
                <w:sz w:val="16"/>
                <w:szCs w:val="16"/>
                <w:color w:val="auto"/>
              </w:rPr>
              <w:t>Equity securities</w:t>
            </w:r>
          </w:p>
        </w:tc>
        <w:tc>
          <w:tcPr>
            <w:tcW w:w="1320" w:type="dxa"/>
            <w:vAlign w:val="bottom"/>
          </w:tcPr>
          <w:p>
            <w:pPr>
              <w:jc w:val="right"/>
              <w:spacing w:after="0"/>
              <w:rPr>
                <w:sz w:val="20"/>
                <w:szCs w:val="20"/>
                <w:color w:val="auto"/>
              </w:rPr>
            </w:pPr>
            <w:r>
              <w:rPr>
                <w:rFonts w:ascii="Arial" w:cs="Arial" w:eastAsia="Arial" w:hAnsi="Arial"/>
                <w:sz w:val="16"/>
                <w:szCs w:val="16"/>
                <w:color w:val="auto"/>
              </w:rPr>
              <w:t>642,433</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309,918</w:t>
            </w:r>
          </w:p>
        </w:tc>
      </w:tr>
      <w:tr>
        <w:trPr>
          <w:trHeight w:val="23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Mortgage loans held for investment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25,672,746</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18,405,010</w:t>
            </w:r>
          </w:p>
        </w:tc>
      </w:tr>
      <w:tr>
        <w:trPr>
          <w:trHeight w:val="214"/>
        </w:trPr>
        <w:tc>
          <w:tcPr>
            <w:tcW w:w="3940" w:type="dxa"/>
            <w:vAlign w:val="bottom"/>
          </w:tcPr>
          <w:p>
            <w:pPr>
              <w:spacing w:after="0"/>
              <w:rPr>
                <w:sz w:val="20"/>
                <w:szCs w:val="20"/>
                <w:color w:val="auto"/>
              </w:rPr>
            </w:pPr>
            <w:r>
              <w:rPr>
                <w:rFonts w:ascii="Arial" w:cs="Arial" w:eastAsia="Arial" w:hAnsi="Arial"/>
                <w:sz w:val="16"/>
                <w:szCs w:val="16"/>
                <w:color w:val="auto"/>
              </w:rPr>
              <w:t>Real estate held for investment and sale</w:t>
            </w:r>
          </w:p>
        </w:tc>
        <w:tc>
          <w:tcPr>
            <w:tcW w:w="1320" w:type="dxa"/>
            <w:vAlign w:val="bottom"/>
          </w:tcPr>
          <w:p>
            <w:pPr>
              <w:jc w:val="right"/>
              <w:spacing w:after="0"/>
              <w:rPr>
                <w:sz w:val="20"/>
                <w:szCs w:val="20"/>
                <w:color w:val="auto"/>
              </w:rPr>
            </w:pPr>
            <w:r>
              <w:rPr>
                <w:rFonts w:ascii="Arial" w:cs="Arial" w:eastAsia="Arial" w:hAnsi="Arial"/>
                <w:sz w:val="16"/>
                <w:szCs w:val="16"/>
                <w:color w:val="auto"/>
              </w:rPr>
              <w:t>11,945,401</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8,782,959</w:t>
            </w:r>
          </w:p>
        </w:tc>
      </w:tr>
      <w:tr>
        <w:trPr>
          <w:trHeight w:val="23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Policy loans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1,025,179</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554,969</w:t>
            </w:r>
          </w:p>
        </w:tc>
      </w:tr>
      <w:tr>
        <w:trPr>
          <w:trHeight w:val="214"/>
        </w:trPr>
        <w:tc>
          <w:tcPr>
            <w:tcW w:w="3940" w:type="dxa"/>
            <w:vAlign w:val="bottom"/>
          </w:tcPr>
          <w:p>
            <w:pPr>
              <w:spacing w:after="0"/>
              <w:rPr>
                <w:sz w:val="20"/>
                <w:szCs w:val="20"/>
                <w:color w:val="auto"/>
              </w:rPr>
            </w:pPr>
            <w:r>
              <w:rPr>
                <w:rFonts w:ascii="Arial" w:cs="Arial" w:eastAsia="Arial" w:hAnsi="Arial"/>
                <w:sz w:val="16"/>
                <w:szCs w:val="16"/>
                <w:color w:val="auto"/>
              </w:rPr>
              <w:t>Insurance assignments</w:t>
            </w:r>
          </w:p>
        </w:tc>
        <w:tc>
          <w:tcPr>
            <w:tcW w:w="1320" w:type="dxa"/>
            <w:vAlign w:val="bottom"/>
          </w:tcPr>
          <w:p>
            <w:pPr>
              <w:jc w:val="right"/>
              <w:spacing w:after="0"/>
              <w:rPr>
                <w:sz w:val="20"/>
                <w:szCs w:val="20"/>
                <w:color w:val="auto"/>
              </w:rPr>
            </w:pPr>
            <w:r>
              <w:rPr>
                <w:rFonts w:ascii="Arial" w:cs="Arial" w:eastAsia="Arial" w:hAnsi="Arial"/>
                <w:sz w:val="16"/>
                <w:szCs w:val="16"/>
                <w:color w:val="auto"/>
              </w:rPr>
              <w:t>17,837,578</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16,086,059</w:t>
            </w:r>
          </w:p>
        </w:tc>
      </w:tr>
      <w:tr>
        <w:trPr>
          <w:trHeight w:val="23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Other investments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126,013</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184,439</w:t>
            </w:r>
          </w:p>
        </w:tc>
      </w:tr>
      <w:tr>
        <w:trPr>
          <w:trHeight w:val="217"/>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426,623</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1,824,443</w:t>
            </w:r>
          </w:p>
        </w:tc>
      </w:tr>
      <w:tr>
        <w:trPr>
          <w:trHeight w:val="224"/>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Gross investment income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69,909,367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56,520,356</w:t>
            </w:r>
          </w:p>
        </w:tc>
      </w:tr>
      <w:tr>
        <w:trPr>
          <w:trHeight w:val="217"/>
        </w:trPr>
        <w:tc>
          <w:tcPr>
            <w:tcW w:w="3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 expenses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(13,579,564)</w:t>
            </w: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(13,500,883)</w:t>
            </w:r>
          </w:p>
        </w:tc>
      </w:tr>
      <w:tr>
        <w:trPr>
          <w:trHeight w:val="21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$ 56,329,803</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$ 43,019,473</w:t>
            </w:r>
          </w:p>
        </w:tc>
      </w:tr>
      <w:tr>
        <w:trPr>
          <w:trHeight w:val="20"/>
        </w:trPr>
        <w:tc>
          <w:tcPr>
            <w:tcW w:w="3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Net investment income includes income earned by the restricted assets of the cemeteries and mortuaries of $676,313 and $448,754 for the years ended December 31, 2020 and 2019, respectively.</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9"/>
          <w:szCs w:val="19"/>
          <w:color w:val="auto"/>
        </w:rPr>
        <w:t>Net investment income on real estate consists primarily of rental revenue.</w:t>
      </w:r>
    </w:p>
    <w:p>
      <w:pPr>
        <w:spacing w:after="0" w:line="230"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Investment expenses consist primarily of depreciation, property taxes, operating expenses of real estate and an estimated portion of administrative expenses relating to investment activities.</w:t>
      </w:r>
    </w:p>
    <w:p>
      <w:pPr>
        <w:sectPr>
          <w:pgSz w:w="11900" w:h="16838" w:orient="portrait"/>
          <w:cols w:equalWidth="0" w:num="1">
            <w:col w:w="9184"/>
          </w:cols>
          <w:pgMar w:left="1275" w:top="122" w:right="1440" w:bottom="1440" w:gutter="0" w:footer="0" w:header="0"/>
        </w:sectPr>
      </w:pPr>
    </w:p>
    <w:p>
      <w:pPr>
        <w:spacing w:after="0" w:line="201"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562800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60" w:name="page61"/>
    <w:bookmarkEnd w:id="60"/>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Securities on deposit for regulatory authorities as required by law amounted to $9,684,409 and $9,633,818 at December 31, 2020 and 2019, respectively. The restricted securities are included in various assets under investments on the accompanying consolidated balance sheets.</w:t>
      </w:r>
    </w:p>
    <w:p>
      <w:pPr>
        <w:spacing w:after="0" w:line="263"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There were no investments, aggregated by issuer, in excess of 10% of shareholders’ equity (before net unrealized gains and losses) at December 31, 2020, other than investments issued or guaranteed by the United States Government.</w:t>
      </w:r>
    </w:p>
    <w:p>
      <w:pPr>
        <w:spacing w:after="0" w:line="27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Real Estate Held for Investment and Held for Sale</w:t>
      </w:r>
    </w:p>
    <w:p>
      <w:pPr>
        <w:spacing w:after="0" w:line="23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continues to strategically deploy resources into real estate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Commercial Real Estate Held for Investment and Held for Sale</w:t>
      </w:r>
    </w:p>
    <w:p>
      <w:pPr>
        <w:spacing w:after="0" w:line="230"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57"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employs full-time employees to attend to the day-to-day operations of those assets within the greater Salt Lake area and close surrounding markets. The Company utilizes third-party property managers when the geographic boundary does not warrant full-time staff or through strategic lease-up periods. The Company generally looks to acquire assets in regions that are high growth regions for employment and population and assets that provide operational efficiencies.</w:t>
      </w:r>
    </w:p>
    <w:p>
      <w:pPr>
        <w:spacing w:after="0" w:line="194"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The Company currently owns and operates 11 commercial properties in 5 states. These properties include office buildings, a funeral home, flex office space, and includes the redevelopment and expansion of its corporate campus (“Center53”) in Salt Lake City, Utah. The Company also holds undeveloped land that may be used for future commercial developments. The Company does use debt in strategic cases to leverage established yields or to acquire a higher quality or different class of asset. See Note 20 regarding commercial real estate held for investment in Louisiana acquired with the acquisition of Kilpatrick Life Insurance Company.</w:t>
      </w:r>
    </w:p>
    <w:p>
      <w:pPr>
        <w:spacing w:after="0" w:line="178" w:lineRule="exact"/>
        <w:rPr>
          <w:sz w:val="20"/>
          <w:szCs w:val="20"/>
          <w:color w:val="auto"/>
        </w:rPr>
      </w:pPr>
    </w:p>
    <w:p>
      <w:pPr>
        <w:jc w:val="both"/>
        <w:ind w:left="5" w:right="319"/>
        <w:spacing w:after="0" w:line="282" w:lineRule="auto"/>
        <w:rPr>
          <w:sz w:val="20"/>
          <w:szCs w:val="20"/>
          <w:color w:val="auto"/>
        </w:rPr>
      </w:pPr>
      <w:r>
        <w:rPr>
          <w:rFonts w:ascii="Arial" w:cs="Arial" w:eastAsia="Arial" w:hAnsi="Arial"/>
          <w:sz w:val="18"/>
          <w:szCs w:val="18"/>
          <w:color w:val="auto"/>
        </w:rPr>
        <w:t>The aggregated net ending balance of commercial real estate that serves as collateral for bank loans was $71,517,902 and $87,814,860 as of December 31, 2020 and 2019, respectively. The associated bank loan carrying values totaled $46,153,283 and $54,917,279 as of December 31, 2020 and 2019, respectively.</w:t>
      </w:r>
    </w:p>
    <w:p>
      <w:pPr>
        <w:spacing w:after="0" w:line="167" w:lineRule="exact"/>
        <w:rPr>
          <w:sz w:val="20"/>
          <w:szCs w:val="20"/>
          <w:color w:val="auto"/>
        </w:rPr>
      </w:pPr>
    </w:p>
    <w:p>
      <w:pPr>
        <w:jc w:val="both"/>
        <w:ind w:left="5" w:right="319"/>
        <w:spacing w:after="0" w:line="287" w:lineRule="auto"/>
        <w:rPr>
          <w:sz w:val="20"/>
          <w:szCs w:val="20"/>
          <w:color w:val="auto"/>
        </w:rPr>
      </w:pPr>
      <w:r>
        <w:rPr>
          <w:rFonts w:ascii="Arial" w:cs="Arial" w:eastAsia="Arial" w:hAnsi="Arial"/>
          <w:sz w:val="17"/>
          <w:szCs w:val="17"/>
          <w:color w:val="auto"/>
        </w:rPr>
        <w:t>During the years ended December 31, 2020 and 2019, the Company recorded impairment losses on commercial real estate held for sale of $897,980 and $2,768,979, respectively. Impairment losses of $846,980 and of $2,768,979 for the years ended December 31, 2020 and 2019, respectively, relate to an office building located in Kansas held by the life insurance segment. An impairment loss of $51,000 for the year ended December 31, 2020 relates to the improved commercial pad located in Texas held by the life insurance segment. Impairment loss are included in gains (losses) on investments and other assets on the consolidated statements of earnings.</w:t>
      </w:r>
    </w:p>
    <w:p>
      <w:pPr>
        <w:spacing w:after="0" w:line="19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562800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61" w:name="page62"/>
    <w:bookmarkEnd w:id="6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The Company’s commercial real estate held for investment for the years ended December 31, is summarized as follows:</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1400" w:type="dxa"/>
            <w:vAlign w:val="bottom"/>
          </w:tcPr>
          <w:p>
            <w:pPr>
              <w:spacing w:after="0"/>
              <w:rPr>
                <w:sz w:val="19"/>
                <w:szCs w:val="19"/>
                <w:color w:val="auto"/>
              </w:rPr>
            </w:pPr>
          </w:p>
        </w:tc>
        <w:tc>
          <w:tcPr>
            <w:tcW w:w="3220" w:type="dxa"/>
            <w:vAlign w:val="bottom"/>
            <w:gridSpan w:val="4"/>
          </w:tcPr>
          <w:p>
            <w:pPr>
              <w:ind w:left="780"/>
              <w:spacing w:after="0"/>
              <w:rPr>
                <w:sz w:val="20"/>
                <w:szCs w:val="20"/>
                <w:color w:val="auto"/>
              </w:rPr>
            </w:pPr>
            <w:r>
              <w:rPr>
                <w:rFonts w:ascii="Arial" w:cs="Arial" w:eastAsia="Arial" w:hAnsi="Arial"/>
                <w:sz w:val="18"/>
                <w:szCs w:val="18"/>
                <w:color w:val="auto"/>
              </w:rPr>
              <w:t>Net Ending Balance</w:t>
            </w:r>
          </w:p>
        </w:tc>
        <w:tc>
          <w:tcPr>
            <w:tcW w:w="2280" w:type="dxa"/>
            <w:vAlign w:val="bottom"/>
            <w:gridSpan w:val="3"/>
          </w:tcPr>
          <w:p>
            <w:pPr>
              <w:jc w:val="right"/>
              <w:ind w:right="312"/>
              <w:spacing w:after="0"/>
              <w:rPr>
                <w:sz w:val="20"/>
                <w:szCs w:val="20"/>
                <w:color w:val="auto"/>
              </w:rPr>
            </w:pPr>
            <w:r>
              <w:rPr>
                <w:rFonts w:ascii="Arial" w:cs="Arial" w:eastAsia="Arial" w:hAnsi="Arial"/>
                <w:sz w:val="18"/>
                <w:szCs w:val="18"/>
                <w:color w:val="auto"/>
              </w:rPr>
              <w:t>Total Square Footage</w:t>
            </w:r>
          </w:p>
        </w:tc>
      </w:tr>
      <w:tr>
        <w:trPr>
          <w:trHeight w:val="245"/>
        </w:trPr>
        <w:tc>
          <w:tcPr>
            <w:tcW w:w="14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r>
      <w:tr>
        <w:trPr>
          <w:trHeight w:val="237"/>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2,998,684</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$ 6,009,079</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84,841</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125,114</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Mississippi</w:t>
            </w:r>
          </w:p>
        </w:tc>
        <w:tc>
          <w:tcPr>
            <w:tcW w:w="1440" w:type="dxa"/>
            <w:vAlign w:val="bottom"/>
          </w:tcPr>
          <w:p>
            <w:pPr>
              <w:jc w:val="right"/>
              <w:spacing w:after="0"/>
              <w:rPr>
                <w:sz w:val="20"/>
                <w:szCs w:val="20"/>
                <w:color w:val="auto"/>
              </w:rPr>
            </w:pPr>
            <w:r>
              <w:rPr>
                <w:rFonts w:ascii="Arial" w:cs="Arial" w:eastAsia="Arial" w:hAnsi="Arial"/>
                <w:sz w:val="18"/>
                <w:szCs w:val="18"/>
                <w:color w:val="auto"/>
              </w:rPr>
              <w:t>2,914,498</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2,951,478</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21,521</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21,521</w:t>
            </w:r>
          </w:p>
        </w:tc>
      </w:tr>
      <w:tr>
        <w:trPr>
          <w:trHeight w:val="244"/>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Utah (1)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100,927,528</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81,266,083</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379,066</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465,230</w:t>
            </w:r>
          </w:p>
        </w:tc>
      </w:tr>
      <w:tr>
        <w:trPr>
          <w:trHeight w:val="237"/>
        </w:trPr>
        <w:tc>
          <w:tcPr>
            <w:tcW w:w="14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4"/>
        </w:trPr>
        <w:tc>
          <w:tcPr>
            <w:tcW w:w="14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$ 106,840,710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$ 90,226,640</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611,865</w:t>
            </w:r>
          </w:p>
        </w:tc>
      </w:tr>
      <w:tr>
        <w:trPr>
          <w:trHeight w:val="20"/>
        </w:trPr>
        <w:tc>
          <w:tcPr>
            <w:tcW w:w="1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4775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8" w:lineRule="exact"/>
        <w:rPr>
          <w:sz w:val="20"/>
          <w:szCs w:val="20"/>
          <w:color w:val="auto"/>
        </w:rPr>
      </w:pPr>
    </w:p>
    <w:p>
      <w:pPr>
        <w:ind w:left="5"/>
        <w:spacing w:after="0"/>
        <w:rPr>
          <w:sz w:val="20"/>
          <w:szCs w:val="20"/>
          <w:color w:val="auto"/>
        </w:rPr>
      </w:pPr>
      <w:r>
        <w:rPr>
          <w:rFonts w:ascii="Arial" w:cs="Arial" w:eastAsia="Arial" w:hAnsi="Arial"/>
          <w:sz w:val="18"/>
          <w:szCs w:val="18"/>
          <w:color w:val="auto"/>
        </w:rPr>
        <w:t>(1) Includes Center53 phase 1 and phase 2 which is under construction.</w:t>
      </w:r>
    </w:p>
    <w:p>
      <w:pPr>
        <w:spacing w:after="0" w:line="237"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Company’s commercial real estate held for sale for the years ended December 31, is summarized as follows:</w:t>
      </w:r>
    </w:p>
    <w:p>
      <w:pPr>
        <w:spacing w:after="0" w:line="271"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gridSpan w:val="3"/>
          </w:tcPr>
          <w:p>
            <w:pPr>
              <w:ind w:left="140"/>
              <w:spacing w:after="0"/>
              <w:rPr>
                <w:sz w:val="20"/>
                <w:szCs w:val="20"/>
                <w:color w:val="auto"/>
              </w:rPr>
            </w:pPr>
            <w:r>
              <w:rPr>
                <w:rFonts w:ascii="Arial" w:cs="Arial" w:eastAsia="Arial" w:hAnsi="Arial"/>
                <w:sz w:val="18"/>
                <w:szCs w:val="18"/>
                <w:color w:val="auto"/>
                <w:w w:val="90"/>
              </w:rPr>
              <w:t>Net Ending Balance</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3"/>
          </w:tcPr>
          <w:p>
            <w:pPr>
              <w:jc w:val="right"/>
              <w:ind w:right="292"/>
              <w:spacing w:after="0"/>
              <w:rPr>
                <w:sz w:val="20"/>
                <w:szCs w:val="20"/>
                <w:color w:val="auto"/>
              </w:rPr>
            </w:pPr>
            <w:r>
              <w:rPr>
                <w:rFonts w:ascii="Arial" w:cs="Arial" w:eastAsia="Arial" w:hAnsi="Arial"/>
                <w:sz w:val="18"/>
                <w:szCs w:val="18"/>
                <w:color w:val="auto"/>
              </w:rPr>
              <w:t>Total Square Footage</w:t>
            </w:r>
          </w:p>
        </w:tc>
      </w:tr>
      <w:tr>
        <w:trPr>
          <w:trHeight w:val="245"/>
        </w:trPr>
        <w:tc>
          <w:tcPr>
            <w:tcW w:w="146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2019</w:t>
            </w:r>
          </w:p>
        </w:tc>
      </w:tr>
      <w:tr>
        <w:trPr>
          <w:trHeight w:val="237"/>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Arizona (1)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Kansas</w:t>
            </w:r>
          </w:p>
        </w:tc>
        <w:tc>
          <w:tcPr>
            <w:tcW w:w="6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4,000,000</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4,800,000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222,679</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222,679</w:t>
            </w:r>
          </w:p>
        </w:tc>
      </w:tr>
      <w:tr>
        <w:trPr>
          <w:trHeight w:val="244"/>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318,322</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Nevada</w:t>
            </w:r>
          </w:p>
        </w:tc>
        <w:tc>
          <w:tcPr>
            <w:tcW w:w="6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655,499</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4,800</w:t>
            </w:r>
          </w:p>
        </w:tc>
      </w:tr>
      <w:tr>
        <w:trPr>
          <w:trHeight w:val="244"/>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Texas (2)</w:t>
            </w: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46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4"/>
        </w:trPr>
        <w:tc>
          <w:tcPr>
            <w:tcW w:w="14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$ 4,400,553</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$ 6,076,321</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234,979</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239,779</w:t>
            </w:r>
          </w:p>
        </w:tc>
      </w:tr>
      <w:tr>
        <w:trPr>
          <w:trHeight w:val="20"/>
        </w:trPr>
        <w:tc>
          <w:tcPr>
            <w:tcW w:w="1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4775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218" w:lineRule="exact"/>
        <w:rPr>
          <w:sz w:val="20"/>
          <w:szCs w:val="20"/>
          <w:color w:val="auto"/>
        </w:rPr>
      </w:pPr>
    </w:p>
    <w:p>
      <w:pPr>
        <w:ind w:left="265" w:hanging="252"/>
        <w:spacing w:after="0"/>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Undeveloped land</w:t>
      </w:r>
    </w:p>
    <w:p>
      <w:pPr>
        <w:spacing w:after="0" w:line="30" w:lineRule="exact"/>
        <w:rPr>
          <w:rFonts w:ascii="Arial" w:cs="Arial" w:eastAsia="Arial" w:hAnsi="Arial"/>
          <w:sz w:val="18"/>
          <w:szCs w:val="18"/>
          <w:color w:val="auto"/>
        </w:rPr>
      </w:pPr>
    </w:p>
    <w:p>
      <w:pPr>
        <w:ind w:left="265" w:hanging="252"/>
        <w:spacing w:after="0"/>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Improved commercial pad</w:t>
      </w:r>
    </w:p>
    <w:p>
      <w:pPr>
        <w:spacing w:after="0" w:line="23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Residential Real Estate Held for Investment and Held for Sale</w:t>
      </w:r>
    </w:p>
    <w:p>
      <w:pPr>
        <w:spacing w:after="0" w:line="230"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Company owns a small portfolio of residential homes primarily as a result of loan foreclosures. The Company has the option to sell them or to continue to hold them for cash flow and acceptable returns. The Company also invests in residential subdivision land developments.</w:t>
      </w:r>
    </w:p>
    <w:p>
      <w:pPr>
        <w:spacing w:after="0" w:line="184" w:lineRule="exact"/>
        <w:rPr>
          <w:sz w:val="20"/>
          <w:szCs w:val="20"/>
          <w:color w:val="auto"/>
        </w:rPr>
      </w:pPr>
    </w:p>
    <w:p>
      <w:pPr>
        <w:jc w:val="both"/>
        <w:ind w:left="5" w:right="339"/>
        <w:spacing w:after="0" w:line="261" w:lineRule="auto"/>
        <w:rPr>
          <w:sz w:val="20"/>
          <w:szCs w:val="20"/>
          <w:color w:val="auto"/>
        </w:rPr>
      </w:pPr>
      <w:r>
        <w:rPr>
          <w:rFonts w:ascii="Arial" w:cs="Arial" w:eastAsia="Arial" w:hAnsi="Arial"/>
          <w:sz w:val="19"/>
          <w:szCs w:val="19"/>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9"/>
          <w:szCs w:val="19"/>
          <w:color w:val="auto"/>
        </w:rPr>
        <w:t>As of December 31, 2020, SNRE manages 11 residential properties in 5 states across the United States.</w:t>
      </w:r>
    </w:p>
    <w:p>
      <w:pPr>
        <w:spacing w:after="0" w:line="349"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During the years ended December 31, 2020 and 2019, the Company recorded impairment losses on residential real estate held for sale of $43,394 and $700,134, respectively. These impairment losses are included in gains (losses) on investments and other assets on the consolidated statements of earnings.</w:t>
      </w:r>
    </w:p>
    <w:p>
      <w:pPr>
        <w:spacing w:after="0" w:line="18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net ending balance of foreclosed residential real estate included in residential real estate held for investment or sale is $4,327,079 and $12,433,986 as of December 31, 2020 and 2019, respectively.</w:t>
      </w:r>
    </w:p>
    <w:p>
      <w:pPr>
        <w:sectPr>
          <w:pgSz w:w="11900" w:h="16838" w:orient="portrait"/>
          <w:cols w:equalWidth="0" w:num="1">
            <w:col w:w="9184"/>
          </w:cols>
          <w:pgMar w:left="1275" w:top="122" w:right="1440" w:bottom="1440" w:gutter="0" w:footer="0" w:header="0"/>
        </w:sectPr>
      </w:pPr>
    </w:p>
    <w:p>
      <w:pPr>
        <w:spacing w:after="0" w:line="188" w:lineRule="exact"/>
        <w:rPr>
          <w:sz w:val="20"/>
          <w:szCs w:val="20"/>
          <w:color w:val="auto"/>
        </w:rPr>
      </w:pPr>
    </w:p>
    <w:p>
      <w:pPr>
        <w:jc w:val="center"/>
        <w:ind w:right="314"/>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62800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62" w:name="page63"/>
    <w:bookmarkEnd w:id="6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Company’s residential real estate held for investment for the years ended December 31, is summarized as follows:</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color w:val="auto"/>
              </w:rPr>
              <w:t>Net Ending Balance</w:t>
            </w:r>
          </w:p>
        </w:tc>
      </w:tr>
      <w:tr>
        <w:trPr>
          <w:trHeight w:val="231"/>
        </w:trPr>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9"/>
              </w:rPr>
              <w:t>2020</w:t>
            </w:r>
          </w:p>
        </w:tc>
        <w:tc>
          <w:tcPr>
            <w:tcW w:w="3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r>
      <w:tr>
        <w:trPr>
          <w:trHeight w:val="237"/>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Florida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2,487,723</w:t>
            </w: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Nevada</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293,516</w:t>
            </w:r>
          </w:p>
        </w:tc>
      </w:tr>
      <w:tr>
        <w:trPr>
          <w:trHeight w:val="244"/>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Utah (1)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24,557,562</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9,462,886</w:t>
            </w:r>
          </w:p>
        </w:tc>
      </w:tr>
      <w:tr>
        <w:trPr>
          <w:trHeight w:val="231"/>
        </w:trPr>
        <w:tc>
          <w:tcPr>
            <w:tcW w:w="2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Washington (2)</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286,181</w:t>
            </w:r>
          </w:p>
        </w:tc>
        <w:tc>
          <w:tcPr>
            <w:tcW w:w="3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286,181</w:t>
            </w:r>
          </w:p>
        </w:tc>
      </w:tr>
      <w:tr>
        <w:trPr>
          <w:trHeight w:val="231"/>
        </w:trPr>
        <w:tc>
          <w:tcPr>
            <w:tcW w:w="240" w:type="dxa"/>
            <w:vAlign w:val="bottom"/>
            <w:shd w:val="clear" w:color="auto" w:fill="CCEEFF"/>
          </w:tcPr>
          <w:p>
            <w:pPr>
              <w:spacing w:after="0"/>
              <w:rPr>
                <w:sz w:val="20"/>
                <w:szCs w:val="20"/>
                <w:color w:val="auto"/>
              </w:rPr>
            </w:pPr>
          </w:p>
        </w:tc>
        <w:tc>
          <w:tcPr>
            <w:tcW w:w="2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24,843,743</w:t>
            </w: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$ 12,530,306</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w w:val="90"/>
              </w:rPr>
              <w:t>Including subdivision land developments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Improved residential lots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color w:val="auto"/>
        </w:rPr>
        <w:t>Additional information regarding the Company’s subdivision land developments in Utah for the years ended</w:t>
      </w:r>
    </w:p>
    <w:p>
      <w:pPr>
        <w:spacing w:after="0" w:line="33" w:lineRule="exact"/>
        <w:rPr>
          <w:sz w:val="20"/>
          <w:szCs w:val="20"/>
          <w:color w:val="auto"/>
        </w:rPr>
      </w:pPr>
    </w:p>
    <w:p>
      <w:pPr>
        <w:ind w:left="5"/>
        <w:spacing w:after="0"/>
        <w:rPr>
          <w:sz w:val="20"/>
          <w:szCs w:val="20"/>
          <w:color w:val="auto"/>
        </w:rPr>
      </w:pPr>
      <w:r>
        <w:rPr>
          <w:rFonts w:ascii="Arial" w:cs="Arial" w:eastAsia="Arial" w:hAnsi="Arial"/>
          <w:sz w:val="19"/>
          <w:szCs w:val="19"/>
          <w:color w:val="auto"/>
        </w:rPr>
        <w:t>December 31, is summarized as follows:</w:t>
      </w:r>
    </w:p>
    <w:p>
      <w:pPr>
        <w:spacing w:after="0" w:line="232"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27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r>
      <w:tr>
        <w:trPr>
          <w:trHeight w:val="237"/>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Lots available for sale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Lots to be developed</w:t>
            </w:r>
          </w:p>
        </w:tc>
        <w:tc>
          <w:tcPr>
            <w:tcW w:w="1420" w:type="dxa"/>
            <w:vAlign w:val="bottom"/>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44"/>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23,777,478</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$ 7,889,576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115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218" w:lineRule="exact"/>
        <w:rPr>
          <w:sz w:val="20"/>
          <w:szCs w:val="20"/>
          <w:color w:val="auto"/>
        </w:rPr>
      </w:pPr>
    </w:p>
    <w:p>
      <w:pPr>
        <w:ind w:left="5"/>
        <w:spacing w:after="0"/>
        <w:rPr>
          <w:sz w:val="20"/>
          <w:szCs w:val="20"/>
          <w:color w:val="auto"/>
        </w:rPr>
      </w:pPr>
      <w:r>
        <w:rPr>
          <w:rFonts w:ascii="Arial" w:cs="Arial" w:eastAsia="Arial" w:hAnsi="Arial"/>
          <w:sz w:val="18"/>
          <w:szCs w:val="18"/>
          <w:color w:val="auto"/>
        </w:rPr>
        <w:t>(1) The estimated remaining cost to complete the undeveloped lots is</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8"/>
          <w:szCs w:val="18"/>
          <w:color w:val="auto"/>
        </w:rPr>
        <w:t>$17,354,000 and $1,900,000 as of December 31, 2020 and 2019, respectively.</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Company’s residential real estate held for sale for the years ended December 31, is summarized as follows:</w:t>
      </w:r>
    </w:p>
    <w:p>
      <w:pPr>
        <w:spacing w:after="0" w:line="271"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40" w:type="dxa"/>
            <w:vAlign w:val="bottom"/>
            <w:gridSpan w:val="3"/>
          </w:tcPr>
          <w:p>
            <w:pPr>
              <w:jc w:val="right"/>
              <w:ind w:right="752"/>
              <w:spacing w:after="0"/>
              <w:rPr>
                <w:sz w:val="20"/>
                <w:szCs w:val="20"/>
                <w:color w:val="auto"/>
              </w:rPr>
            </w:pPr>
            <w:r>
              <w:rPr>
                <w:rFonts w:ascii="Arial" w:cs="Arial" w:eastAsia="Arial" w:hAnsi="Arial"/>
                <w:sz w:val="18"/>
                <w:szCs w:val="18"/>
                <w:color w:val="auto"/>
                <w:w w:val="99"/>
              </w:rPr>
              <w:t>Net Ending Balance</w:t>
            </w:r>
          </w:p>
        </w:tc>
      </w:tr>
      <w:tr>
        <w:trPr>
          <w:trHeight w:val="245"/>
        </w:trPr>
        <w:tc>
          <w:tcPr>
            <w:tcW w:w="26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r>
      <w:tr>
        <w:trPr>
          <w:trHeight w:val="237"/>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640,452</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800" w:type="dxa"/>
            <w:vAlign w:val="bottom"/>
          </w:tcPr>
          <w:p>
            <w:pPr>
              <w:jc w:val="right"/>
              <w:spacing w:after="0"/>
              <w:rPr>
                <w:sz w:val="20"/>
                <w:szCs w:val="20"/>
                <w:color w:val="auto"/>
              </w:rPr>
            </w:pPr>
            <w:r>
              <w:rPr>
                <w:rFonts w:ascii="Arial" w:cs="Arial" w:eastAsia="Arial" w:hAnsi="Arial"/>
                <w:sz w:val="18"/>
                <w:szCs w:val="18"/>
                <w:color w:val="auto"/>
              </w:rPr>
              <w:t>744,322</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1,300,641</w:t>
            </w:r>
          </w:p>
        </w:tc>
      </w:tr>
      <w:tr>
        <w:trPr>
          <w:trHeight w:val="244"/>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979,640</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Ohio</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44"/>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1,744,292</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5,880,213</w:t>
            </w:r>
          </w:p>
        </w:tc>
      </w:tr>
      <w:tr>
        <w:trPr>
          <w:trHeight w:val="231"/>
        </w:trPr>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Washington</w:t>
            </w: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190,000</w:t>
            </w:r>
          </w:p>
        </w:tc>
      </w:tr>
      <w:tr>
        <w:trPr>
          <w:trHeight w:val="231"/>
        </w:trPr>
        <w:tc>
          <w:tcPr>
            <w:tcW w:w="334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3,478,254</w:t>
            </w: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$ 8,021,306</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63" w:name="page64"/>
    <w:bookmarkEnd w:id="6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Real Estate Owned and Occupied by the Company</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primary business units of the Company occupy a portion of the commercial real estate owned by the</w:t>
      </w:r>
    </w:p>
    <w:p>
      <w:pPr>
        <w:spacing w:after="0" w:line="22" w:lineRule="exact"/>
        <w:rPr>
          <w:sz w:val="20"/>
          <w:szCs w:val="20"/>
          <w:color w:val="auto"/>
        </w:rPr>
      </w:pPr>
    </w:p>
    <w:p>
      <w:pPr>
        <w:ind w:left="5"/>
        <w:spacing w:after="0"/>
        <w:rPr>
          <w:sz w:val="20"/>
          <w:szCs w:val="20"/>
          <w:color w:val="auto"/>
        </w:rPr>
      </w:pPr>
      <w:r>
        <w:rPr>
          <w:rFonts w:ascii="Arial" w:cs="Arial" w:eastAsia="Arial" w:hAnsi="Arial"/>
          <w:sz w:val="17"/>
          <w:szCs w:val="17"/>
          <w:color w:val="auto"/>
        </w:rPr>
        <w:t>Company. As of December 31, 2020, real estate owned and occupied by the Company is summarized as follows:</w:t>
      </w:r>
    </w:p>
    <w:p>
      <w:pPr>
        <w:spacing w:after="0" w:line="255"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2"/>
              </w:rPr>
              <w:t>Square</w:t>
            </w:r>
          </w:p>
        </w:tc>
      </w:tr>
      <w:tr>
        <w:trPr>
          <w:trHeight w:val="211"/>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Footage</w:t>
            </w:r>
          </w:p>
        </w:tc>
      </w:tr>
      <w:tr>
        <w:trPr>
          <w:trHeight w:val="211"/>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Approximate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Occupied</w:t>
            </w:r>
          </w:p>
        </w:tc>
      </w:tr>
      <w:tr>
        <w:trPr>
          <w:trHeight w:val="211"/>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2"/>
              </w:rPr>
              <w:t>Square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by the</w:t>
            </w:r>
          </w:p>
        </w:tc>
      </w:tr>
      <w:tr>
        <w:trPr>
          <w:trHeight w:val="23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Location</w:t>
            </w:r>
          </w:p>
        </w:tc>
        <w:tc>
          <w:tcPr>
            <w:tcW w:w="18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Business Segment</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Footage</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Company</w:t>
            </w:r>
          </w:p>
        </w:tc>
      </w:tr>
      <w:tr>
        <w:trPr>
          <w:trHeight w:val="212"/>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121</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 Election Rd., Draper, UT</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Corporate Offices, Life Insurance and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Cemetery/Mortuary Operations</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2"/>
        </w:trPr>
        <w:tc>
          <w:tcPr>
            <w:tcW w:w="380" w:type="dxa"/>
            <w:vAlign w:val="bottom"/>
            <w:gridSpan w:val="2"/>
          </w:tcPr>
          <w:p>
            <w:pPr>
              <w:spacing w:after="0"/>
              <w:rPr>
                <w:sz w:val="20"/>
                <w:szCs w:val="20"/>
                <w:color w:val="auto"/>
              </w:rPr>
            </w:pPr>
            <w:r>
              <w:rPr>
                <w:rFonts w:ascii="Arial" w:cs="Arial" w:eastAsia="Arial" w:hAnsi="Arial"/>
                <w:sz w:val="18"/>
                <w:szCs w:val="18"/>
                <w:color w:val="auto"/>
                <w:w w:val="89"/>
              </w:rPr>
              <w:t>5201</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Green Street, Salt Lake City, UT (1)</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Life Insurance and Mortgage</w:t>
            </w:r>
          </w:p>
        </w:tc>
        <w:tc>
          <w:tcPr>
            <w:tcW w:w="1120" w:type="dxa"/>
            <w:vAlign w:val="bottom"/>
          </w:tcPr>
          <w:p>
            <w:pPr>
              <w:jc w:val="right"/>
              <w:spacing w:after="0"/>
              <w:rPr>
                <w:sz w:val="20"/>
                <w:szCs w:val="20"/>
                <w:color w:val="auto"/>
              </w:rPr>
            </w:pPr>
            <w:r>
              <w:rPr>
                <w:rFonts w:ascii="Arial" w:cs="Arial" w:eastAsia="Arial" w:hAnsi="Arial"/>
                <w:sz w:val="18"/>
                <w:szCs w:val="18"/>
                <w:color w:val="auto"/>
              </w:rPr>
              <w:t>39,157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Operations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4"/>
        </w:trPr>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1044</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 Oaks Dr., Flowood, MS</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Insurance Operations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1818</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Marshall Street, Shreveport, LA (1)(2)</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Life Insurance 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12,274</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909</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Foisy Street, Alexandria, LA (1)(2)</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Insurance Sales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w w:val="93"/>
              </w:rPr>
              <w:t>812</w:t>
            </w:r>
          </w:p>
        </w:tc>
        <w:tc>
          <w:tcPr>
            <w:tcW w:w="3460" w:type="dxa"/>
            <w:vAlign w:val="bottom"/>
            <w:gridSpan w:val="3"/>
          </w:tcPr>
          <w:p>
            <w:pPr>
              <w:ind w:left="20"/>
              <w:spacing w:after="0"/>
              <w:rPr>
                <w:sz w:val="20"/>
                <w:szCs w:val="20"/>
                <w:color w:val="auto"/>
              </w:rPr>
            </w:pPr>
            <w:r>
              <w:rPr>
                <w:rFonts w:ascii="Arial" w:cs="Arial" w:eastAsia="Arial" w:hAnsi="Arial"/>
                <w:sz w:val="18"/>
                <w:szCs w:val="18"/>
                <w:color w:val="auto"/>
              </w:rPr>
              <w:t>Sheppard Street, Minden, LA (1)(2)</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Life Insurance Sales</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1550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 3rd Street, Jena, LA (1)(2)</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Life Insurance Sales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11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205" w:lineRule="exact"/>
        <w:rPr>
          <w:sz w:val="20"/>
          <w:szCs w:val="20"/>
          <w:color w:val="auto"/>
        </w:rPr>
      </w:pPr>
    </w:p>
    <w:p>
      <w:pPr>
        <w:ind w:left="325" w:hanging="325"/>
        <w:spacing w:after="0"/>
        <w:tabs>
          <w:tab w:leader="none" w:pos="3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property and equipment on the consolidated balance sheets</w:t>
      </w:r>
    </w:p>
    <w:p>
      <w:pPr>
        <w:spacing w:after="0" w:line="15" w:lineRule="exact"/>
        <w:rPr>
          <w:rFonts w:ascii="Arial" w:cs="Arial" w:eastAsia="Arial" w:hAnsi="Arial"/>
          <w:sz w:val="18"/>
          <w:szCs w:val="18"/>
          <w:color w:val="auto"/>
        </w:rPr>
      </w:pPr>
    </w:p>
    <w:p>
      <w:pPr>
        <w:ind w:left="325" w:hanging="325"/>
        <w:spacing w:after="0"/>
        <w:tabs>
          <w:tab w:leader="none" w:pos="3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20 regarding the acquisition of Kilpatrick Life Insurance Company</w:t>
      </w:r>
    </w:p>
    <w:p>
      <w:pPr>
        <w:spacing w:after="0" w:line="20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Loans Held for Investment</w:t>
      </w:r>
    </w:p>
    <w:p>
      <w:pPr>
        <w:spacing w:after="0" w:line="236"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Company reports mortgage loans held for investment pursuant to the accounting policy discussed in Note 1 of the Notes to Consolidated Financial Statements.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7"/>
          <w:szCs w:val="17"/>
          <w:color w:val="auto"/>
        </w:rPr>
        <w:t>Mortgage loans consist of first and second mortgages. The mortgage loans bear interest at rates ranging from 2.0</w:t>
      </w:r>
    </w:p>
    <w:p>
      <w:pPr>
        <w:spacing w:after="0" w:line="45" w:lineRule="exact"/>
        <w:rPr>
          <w:sz w:val="20"/>
          <w:szCs w:val="20"/>
          <w:color w:val="auto"/>
        </w:rPr>
      </w:pPr>
    </w:p>
    <w:p>
      <w:pPr>
        <w:jc w:val="both"/>
        <w:ind w:left="5" w:right="319" w:hanging="5"/>
        <w:spacing w:after="0" w:line="280" w:lineRule="auto"/>
        <w:tabs>
          <w:tab w:leader="none" w:pos="22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December 31, 2020, the Company had 57%, 13%, 9%, 4%, 3% and 3% of its mortgage loans from borrowers located in the states of Utah, Florida, Texas, California, Nevada and Arizona, respectively. At December 31, 2019, the Company had 48%, 16%, 10%, 6%, 6% and 5% of its mortgage loans from borrowers located in the states of Utah, Florida, Texas, California, Nevada and Arizona, respectively.</w:t>
      </w:r>
    </w:p>
    <w:p>
      <w:pPr>
        <w:spacing w:after="0" w:line="187"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64" w:name="page65"/>
    <w:bookmarkEnd w:id="6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Company establishes a valuation allowance for credit losses in its portfolio. The following is a summary of the allowance for loan losses as a contra-asset account for the periods presented:</w:t>
      </w:r>
    </w:p>
    <w:p>
      <w:pPr>
        <w:spacing w:after="0" w:line="182" w:lineRule="exact"/>
        <w:rPr>
          <w:sz w:val="20"/>
          <w:szCs w:val="20"/>
          <w:color w:val="auto"/>
        </w:rPr>
      </w:pPr>
    </w:p>
    <w:p>
      <w:pPr>
        <w:jc w:val="center"/>
        <w:ind w:right="314"/>
        <w:spacing w:after="0"/>
        <w:rPr>
          <w:sz w:val="20"/>
          <w:szCs w:val="20"/>
          <w:color w:val="auto"/>
        </w:rPr>
      </w:pPr>
      <w:r>
        <w:rPr>
          <w:rFonts w:ascii="Arial" w:cs="Arial" w:eastAsia="Arial" w:hAnsi="Arial"/>
          <w:sz w:val="14"/>
          <w:szCs w:val="14"/>
          <w:color w:val="auto"/>
        </w:rPr>
        <w:t>Allowance for Credit Losses and Recorded Investment in Mortgage Loans Held for Investment</w:t>
      </w:r>
    </w:p>
    <w:p>
      <w:pPr>
        <w:spacing w:after="0" w:line="18" w:lineRule="exact"/>
        <w:rPr>
          <w:sz w:val="20"/>
          <w:szCs w:val="20"/>
          <w:color w:val="auto"/>
        </w:rPr>
      </w:pPr>
    </w:p>
    <w:p>
      <w:pPr>
        <w:jc w:val="center"/>
        <w:ind w:right="314"/>
        <w:spacing w:after="0"/>
        <w:rPr>
          <w:sz w:val="20"/>
          <w:szCs w:val="20"/>
          <w:color w:val="auto"/>
        </w:rPr>
      </w:pPr>
      <w:r>
        <w:rPr>
          <w:rFonts w:ascii="Arial" w:cs="Arial" w:eastAsia="Arial" w:hAnsi="Arial"/>
          <w:sz w:val="14"/>
          <w:szCs w:val="14"/>
          <w:color w:val="auto"/>
        </w:rPr>
        <w:t>Years Ended December 31</w:t>
      </w:r>
    </w:p>
    <w:p>
      <w:pPr>
        <w:spacing w:after="0" w:line="251"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Residential</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2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color w:val="auto"/>
              </w:rPr>
              <w:t>Commercial</w:t>
            </w:r>
          </w:p>
        </w:tc>
        <w:tc>
          <w:tcPr>
            <w:tcW w:w="1280" w:type="dxa"/>
            <w:vAlign w:val="bottom"/>
            <w:gridSpan w:val="3"/>
          </w:tcPr>
          <w:p>
            <w:pPr>
              <w:ind w:left="220"/>
              <w:spacing w:after="0"/>
              <w:rPr>
                <w:sz w:val="20"/>
                <w:szCs w:val="20"/>
                <w:color w:val="auto"/>
              </w:rPr>
            </w:pPr>
            <w:r>
              <w:rPr>
                <w:rFonts w:ascii="Arial" w:cs="Arial" w:eastAsia="Arial" w:hAnsi="Arial"/>
                <w:sz w:val="14"/>
                <w:szCs w:val="14"/>
                <w:color w:val="auto"/>
              </w:rPr>
              <w:t>Residential</w:t>
            </w: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Construction</w:t>
            </w:r>
          </w:p>
        </w:tc>
        <w:tc>
          <w:tcPr>
            <w:tcW w:w="360" w:type="dxa"/>
            <w:vAlign w:val="bottom"/>
          </w:tcPr>
          <w:p>
            <w:pPr>
              <w:spacing w:after="0"/>
              <w:rPr>
                <w:sz w:val="15"/>
                <w:szCs w:val="15"/>
                <w:color w:val="auto"/>
              </w:rPr>
            </w:pPr>
          </w:p>
        </w:tc>
        <w:tc>
          <w:tcPr>
            <w:tcW w:w="740" w:type="dxa"/>
            <w:vAlign w:val="bottom"/>
          </w:tcPr>
          <w:p>
            <w:pPr>
              <w:jc w:val="right"/>
              <w:ind w:right="330"/>
              <w:spacing w:after="0"/>
              <w:rPr>
                <w:sz w:val="20"/>
                <w:szCs w:val="20"/>
                <w:color w:val="auto"/>
              </w:rPr>
            </w:pPr>
            <w:r>
              <w:rPr>
                <w:rFonts w:ascii="Arial" w:cs="Arial" w:eastAsia="Arial" w:hAnsi="Arial"/>
                <w:sz w:val="14"/>
                <w:szCs w:val="14"/>
                <w:color w:val="auto"/>
              </w:rPr>
              <w:t>Total</w:t>
            </w:r>
          </w:p>
        </w:tc>
      </w:tr>
      <w:tr>
        <w:trPr>
          <w:trHeight w:val="24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7"/>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credit losses:</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1,222,706</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43,202</w:t>
            </w: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1,453,037</w:t>
            </w:r>
          </w:p>
        </w:tc>
      </w:tr>
      <w:tr>
        <w:trPr>
          <w:trHeight w:val="171"/>
        </w:trPr>
        <w:tc>
          <w:tcPr>
            <w:tcW w:w="4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Charge-offs</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0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Provision</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552,090</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552,090</w:t>
            </w:r>
          </w:p>
        </w:tc>
      </w:tr>
      <w:tr>
        <w:trPr>
          <w:trHeight w:val="165"/>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1,774,796</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2,005,127</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71"/>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219,905</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219,905</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71"/>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1,554,891</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1,785,222</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4"/>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Mortgage loans:</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11"/>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46,836,866</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111,111,777</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95,822,448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253,771,091</w:t>
            </w:r>
          </w:p>
        </w:tc>
      </w:tr>
      <w:tr>
        <w:trPr>
          <w:trHeight w:val="243"/>
        </w:trPr>
        <w:tc>
          <w:tcPr>
            <w:tcW w:w="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1"/>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2,148,827</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7,932,680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200,963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10,282,470</w:t>
            </w:r>
          </w:p>
        </w:tc>
      </w:tr>
      <w:tr>
        <w:trPr>
          <w:trHeight w:val="243"/>
        </w:trPr>
        <w:tc>
          <w:tcPr>
            <w:tcW w:w="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1"/>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44,688,039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103,179,097</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95,621,485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243,488,621</w:t>
            </w:r>
          </w:p>
        </w:tc>
      </w:tr>
      <w:tr>
        <w:trPr>
          <w:trHeight w:val="243"/>
        </w:trPr>
        <w:tc>
          <w:tcPr>
            <w:tcW w:w="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7"/>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credit losses:</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1,125,623</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35,220</w:t>
            </w: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1,347,972</w:t>
            </w:r>
          </w:p>
        </w:tc>
      </w:tr>
      <w:tr>
        <w:trPr>
          <w:trHeight w:val="171"/>
        </w:trPr>
        <w:tc>
          <w:tcPr>
            <w:tcW w:w="4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Charge-offs</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(32,692)</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(32,692)</w:t>
            </w:r>
          </w:p>
        </w:tc>
      </w:tr>
      <w:tr>
        <w:trPr>
          <w:trHeight w:val="171"/>
        </w:trPr>
        <w:tc>
          <w:tcPr>
            <w:tcW w:w="40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Provision</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129,775</w:t>
            </w:r>
          </w:p>
        </w:tc>
        <w:tc>
          <w:tcPr>
            <w:tcW w:w="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7,982</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137,757</w:t>
            </w:r>
          </w:p>
        </w:tc>
      </w:tr>
      <w:tr>
        <w:trPr>
          <w:trHeight w:val="165"/>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1,222,706</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1,453,037</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71"/>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195,993</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195,993</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71"/>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1,026,713</w:t>
            </w:r>
          </w:p>
        </w:tc>
        <w:tc>
          <w:tcPr>
            <w:tcW w:w="2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1,257,044</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4"/>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Mortgage loans:</w:t>
            </w: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11"/>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38,718,220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113,043,965</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89,430,237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241,192,422</w:t>
            </w:r>
          </w:p>
        </w:tc>
      </w:tr>
      <w:tr>
        <w:trPr>
          <w:trHeight w:val="243"/>
        </w:trPr>
        <w:tc>
          <w:tcPr>
            <w:tcW w:w="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11"/>
        </w:trPr>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4,488,719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3,752,207</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655,000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8,895,926</w:t>
            </w:r>
          </w:p>
        </w:tc>
      </w:tr>
      <w:tr>
        <w:trPr>
          <w:trHeight w:val="243"/>
        </w:trPr>
        <w:tc>
          <w:tcPr>
            <w:tcW w:w="28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171"/>
        </w:trPr>
        <w:tc>
          <w:tcPr>
            <w:tcW w:w="4080" w:type="dxa"/>
            <w:vAlign w:val="bottom"/>
            <w:gridSpan w:val="2"/>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34,229,501</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109,291,758</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88,775,237</w:t>
            </w:r>
          </w:p>
        </w:tc>
        <w:tc>
          <w:tcPr>
            <w:tcW w:w="2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232,296,496</w:t>
            </w:r>
          </w:p>
        </w:tc>
      </w:tr>
      <w:tr>
        <w:trPr>
          <w:trHeight w:val="20"/>
        </w:trPr>
        <w:tc>
          <w:tcPr>
            <w:tcW w:w="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65" w:name="page66"/>
    <w:bookmarkEnd w:id="65"/>
    <w:p>
      <w:pPr>
        <w:jc w:val="center"/>
        <w:ind w:right="955"/>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955"/>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955"/>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955"/>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is a summary of the aging of mortgage loans held for investment for the periods presented.</w:t>
      </w: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11"/>
          <w:szCs w:val="11"/>
          <w:color w:val="auto"/>
        </w:rPr>
        <w:t>Age Analysis of Past Due Mortgage Loans Held for Investment</w:t>
      </w:r>
    </w:p>
    <w:p>
      <w:pPr>
        <w:spacing w:after="0" w:line="58" w:lineRule="exact"/>
        <w:rPr>
          <w:sz w:val="20"/>
          <w:szCs w:val="20"/>
          <w:color w:val="auto"/>
        </w:rPr>
      </w:pPr>
    </w:p>
    <w:p>
      <w:pPr>
        <w:jc w:val="center"/>
        <w:ind w:right="-4"/>
        <w:spacing w:after="0"/>
        <w:rPr>
          <w:sz w:val="20"/>
          <w:szCs w:val="20"/>
          <w:color w:val="auto"/>
        </w:rPr>
      </w:pPr>
      <w:r>
        <w:rPr>
          <w:rFonts w:ascii="Arial" w:cs="Arial" w:eastAsia="Arial" w:hAnsi="Arial"/>
          <w:sz w:val="11"/>
          <w:szCs w:val="1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101600</wp:posOffset>
            </wp:positionV>
            <wp:extent cx="57365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36590" cy="8255"/>
                    </a:xfrm>
                    <a:prstGeom prst="rect">
                      <a:avLst/>
                    </a:prstGeom>
                    <a:noFill/>
                  </pic:spPr>
                </pic:pic>
              </a:graphicData>
            </a:graphic>
          </wp:anchor>
        </w:drawing>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tcPr>
          <w:p>
            <w:pPr>
              <w:jc w:val="center"/>
              <w:spacing w:after="0"/>
              <w:rPr>
                <w:sz w:val="20"/>
                <w:szCs w:val="20"/>
                <w:color w:val="auto"/>
              </w:rPr>
            </w:pPr>
            <w:r>
              <w:rPr>
                <w:rFonts w:ascii="Arial" w:cs="Arial" w:eastAsia="Arial" w:hAnsi="Arial"/>
                <w:sz w:val="11"/>
                <w:szCs w:val="11"/>
                <w:color w:val="auto"/>
                <w:w w:val="89"/>
              </w:rPr>
              <w:t>Unamortized</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19"/>
        </w:trPr>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jc w:val="right"/>
              <w:ind w:right="7"/>
              <w:spacing w:after="0" w:line="119" w:lineRule="exact"/>
              <w:rPr>
                <w:sz w:val="20"/>
                <w:szCs w:val="20"/>
                <w:color w:val="auto"/>
              </w:rPr>
            </w:pPr>
            <w:r>
              <w:rPr>
                <w:rFonts w:ascii="Arial" w:cs="Arial" w:eastAsia="Arial" w:hAnsi="Arial"/>
                <w:sz w:val="11"/>
                <w:szCs w:val="11"/>
                <w:color w:val="auto"/>
                <w:w w:val="88"/>
              </w:rPr>
              <w:t>30-59 Days Past</w:t>
            </w:r>
          </w:p>
        </w:tc>
        <w:tc>
          <w:tcPr>
            <w:tcW w:w="760" w:type="dxa"/>
            <w:vAlign w:val="bottom"/>
            <w:gridSpan w:val="2"/>
          </w:tcPr>
          <w:p>
            <w:pPr>
              <w:jc w:val="right"/>
              <w:ind w:right="7"/>
              <w:spacing w:after="0" w:line="119" w:lineRule="exact"/>
              <w:rPr>
                <w:sz w:val="20"/>
                <w:szCs w:val="20"/>
                <w:color w:val="auto"/>
              </w:rPr>
            </w:pPr>
            <w:r>
              <w:rPr>
                <w:rFonts w:ascii="Arial" w:cs="Arial" w:eastAsia="Arial" w:hAnsi="Arial"/>
                <w:sz w:val="11"/>
                <w:szCs w:val="11"/>
                <w:color w:val="auto"/>
                <w:w w:val="83"/>
              </w:rPr>
              <w:t>60-89 Days Past</w:t>
            </w:r>
          </w:p>
        </w:tc>
        <w:tc>
          <w:tcPr>
            <w:tcW w:w="820" w:type="dxa"/>
            <w:vAlign w:val="bottom"/>
            <w:gridSpan w:val="2"/>
          </w:tcPr>
          <w:p>
            <w:pPr>
              <w:jc w:val="right"/>
              <w:ind w:right="47"/>
              <w:spacing w:after="0" w:line="119" w:lineRule="exact"/>
              <w:rPr>
                <w:sz w:val="20"/>
                <w:szCs w:val="20"/>
                <w:color w:val="auto"/>
              </w:rPr>
            </w:pPr>
            <w:r>
              <w:rPr>
                <w:rFonts w:ascii="Arial" w:cs="Arial" w:eastAsia="Arial" w:hAnsi="Arial"/>
                <w:sz w:val="11"/>
                <w:szCs w:val="11"/>
                <w:color w:val="auto"/>
                <w:w w:val="86"/>
              </w:rPr>
              <w:t>Greater Than 90</w:t>
            </w:r>
          </w:p>
        </w:tc>
        <w:tc>
          <w:tcPr>
            <w:tcW w:w="820" w:type="dxa"/>
            <w:vAlign w:val="bottom"/>
            <w:gridSpan w:val="2"/>
          </w:tcPr>
          <w:p>
            <w:pPr>
              <w:jc w:val="right"/>
              <w:ind w:right="127"/>
              <w:spacing w:after="0" w:line="119" w:lineRule="exact"/>
              <w:rPr>
                <w:sz w:val="20"/>
                <w:szCs w:val="20"/>
                <w:color w:val="auto"/>
              </w:rPr>
            </w:pPr>
            <w:r>
              <w:rPr>
                <w:rFonts w:ascii="Arial" w:cs="Arial" w:eastAsia="Arial" w:hAnsi="Arial"/>
                <w:sz w:val="11"/>
                <w:szCs w:val="11"/>
                <w:color w:val="auto"/>
                <w:w w:val="96"/>
              </w:rPr>
              <w:t>In Process of</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jc w:val="right"/>
              <w:ind w:right="47"/>
              <w:spacing w:after="0" w:line="119" w:lineRule="exact"/>
              <w:rPr>
                <w:sz w:val="20"/>
                <w:szCs w:val="20"/>
                <w:color w:val="auto"/>
              </w:rPr>
            </w:pPr>
            <w:r>
              <w:rPr>
                <w:rFonts w:ascii="Arial" w:cs="Arial" w:eastAsia="Arial" w:hAnsi="Arial"/>
                <w:sz w:val="11"/>
                <w:szCs w:val="11"/>
                <w:color w:val="auto"/>
                <w:w w:val="96"/>
              </w:rPr>
              <w:t>Allowance for</w:t>
            </w:r>
          </w:p>
        </w:tc>
        <w:tc>
          <w:tcPr>
            <w:tcW w:w="880" w:type="dxa"/>
            <w:vAlign w:val="bottom"/>
            <w:gridSpan w:val="2"/>
          </w:tcPr>
          <w:p>
            <w:pPr>
              <w:jc w:val="center"/>
              <w:ind w:right="7"/>
              <w:spacing w:after="0" w:line="119" w:lineRule="exact"/>
              <w:rPr>
                <w:sz w:val="20"/>
                <w:szCs w:val="20"/>
                <w:color w:val="auto"/>
              </w:rPr>
            </w:pPr>
            <w:r>
              <w:rPr>
                <w:rFonts w:ascii="Arial" w:cs="Arial" w:eastAsia="Arial" w:hAnsi="Arial"/>
                <w:sz w:val="11"/>
                <w:szCs w:val="11"/>
                <w:color w:val="auto"/>
                <w:w w:val="84"/>
              </w:rPr>
              <w:t>deferred loan fees,</w:t>
            </w:r>
          </w:p>
        </w:tc>
        <w:tc>
          <w:tcPr>
            <w:tcW w:w="840" w:type="dxa"/>
            <w:vAlign w:val="bottom"/>
            <w:gridSpan w:val="2"/>
          </w:tcPr>
          <w:p>
            <w:pPr>
              <w:jc w:val="right"/>
              <w:ind w:right="147"/>
              <w:spacing w:after="0" w:line="119" w:lineRule="exact"/>
              <w:rPr>
                <w:sz w:val="20"/>
                <w:szCs w:val="20"/>
                <w:color w:val="auto"/>
              </w:rPr>
            </w:pPr>
            <w:r>
              <w:rPr>
                <w:rFonts w:ascii="Arial" w:cs="Arial" w:eastAsia="Arial" w:hAnsi="Arial"/>
                <w:sz w:val="11"/>
                <w:szCs w:val="11"/>
                <w:color w:val="auto"/>
                <w:w w:val="99"/>
              </w:rPr>
              <w:t>Unamortized</w:t>
            </w:r>
          </w:p>
        </w:tc>
        <w:tc>
          <w:tcPr>
            <w:tcW w:w="76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w w:val="92"/>
              </w:rPr>
              <w:t>Net Mortgage</w:t>
            </w:r>
          </w:p>
        </w:tc>
      </w:tr>
      <w:tr>
        <w:trPr>
          <w:trHeight w:val="135"/>
        </w:trPr>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Borders>
              <w:bottom w:val="single" w:sz="8" w:color="auto"/>
            </w:tcBorders>
          </w:tcPr>
          <w:p>
            <w:pPr>
              <w:jc w:val="right"/>
              <w:ind w:right="267"/>
              <w:spacing w:after="0"/>
              <w:rPr>
                <w:sz w:val="20"/>
                <w:szCs w:val="20"/>
                <w:color w:val="auto"/>
              </w:rPr>
            </w:pPr>
            <w:r>
              <w:rPr>
                <w:rFonts w:ascii="Arial" w:cs="Arial" w:eastAsia="Arial" w:hAnsi="Arial"/>
                <w:sz w:val="11"/>
                <w:szCs w:val="11"/>
                <w:color w:val="auto"/>
              </w:rPr>
              <w:t>Due</w:t>
            </w:r>
          </w:p>
        </w:tc>
        <w:tc>
          <w:tcPr>
            <w:tcW w:w="76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1"/>
                <w:szCs w:val="11"/>
                <w:color w:val="auto"/>
              </w:rPr>
              <w:t>Due</w:t>
            </w: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color w:val="auto"/>
              </w:rPr>
              <w:t>Days (1)</w:t>
            </w:r>
          </w:p>
        </w:tc>
        <w:tc>
          <w:tcPr>
            <w:tcW w:w="8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1"/>
                <w:szCs w:val="11"/>
                <w:color w:val="auto"/>
                <w:w w:val="91"/>
              </w:rPr>
              <w:t>Foreclosure (1)</w:t>
            </w:r>
          </w:p>
        </w:tc>
        <w:tc>
          <w:tcPr>
            <w:tcW w:w="82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1"/>
                <w:szCs w:val="11"/>
                <w:color w:val="auto"/>
                <w:w w:val="87"/>
              </w:rPr>
              <w:t>Total Past Due</w:t>
            </w:r>
          </w:p>
        </w:tc>
        <w:tc>
          <w:tcPr>
            <w:tcW w:w="74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1"/>
                <w:szCs w:val="11"/>
                <w:color w:val="auto"/>
              </w:rPr>
              <w:t>Current</w:t>
            </w:r>
          </w:p>
        </w:tc>
        <w:tc>
          <w:tcPr>
            <w:tcW w:w="104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1"/>
                <w:szCs w:val="11"/>
                <w:color w:val="auto"/>
                <w:w w:val="87"/>
              </w:rPr>
              <w:t>Total Mortgage Loans</w:t>
            </w:r>
          </w:p>
        </w:tc>
        <w:tc>
          <w:tcPr>
            <w:tcW w:w="76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1"/>
                <w:szCs w:val="11"/>
                <w:color w:val="auto"/>
                <w:w w:val="96"/>
              </w:rPr>
              <w:t>Loan Losses</w:t>
            </w: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07"/>
              <w:spacing w:after="0"/>
              <w:rPr>
                <w:sz w:val="20"/>
                <w:szCs w:val="20"/>
                <w:color w:val="auto"/>
              </w:rPr>
            </w:pPr>
            <w:r>
              <w:rPr>
                <w:rFonts w:ascii="Arial" w:cs="Arial" w:eastAsia="Arial" w:hAnsi="Arial"/>
                <w:sz w:val="11"/>
                <w:szCs w:val="11"/>
                <w:color w:val="auto"/>
                <w:w w:val="78"/>
              </w:rPr>
              <w:t>net</w:t>
            </w:r>
          </w:p>
        </w:tc>
        <w:tc>
          <w:tcPr>
            <w:tcW w:w="84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1"/>
                <w:szCs w:val="11"/>
                <w:color w:val="auto"/>
                <w:w w:val="94"/>
              </w:rPr>
              <w:t>discounts, net</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color w:val="auto"/>
                <w:w w:val="79"/>
              </w:rPr>
              <w:t>Loans</w:t>
            </w:r>
          </w:p>
        </w:tc>
      </w:tr>
      <w:tr>
        <w:trPr>
          <w:trHeight w:val="158"/>
        </w:trPr>
        <w:tc>
          <w:tcPr>
            <w:tcW w:w="2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1"/>
              </w:rPr>
              <w:t>2020</w:t>
            </w: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8"/>
        </w:trPr>
        <w:tc>
          <w:tcPr>
            <w:tcW w:w="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233,200</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812,780</w:t>
            </w:r>
          </w:p>
        </w:tc>
        <w:tc>
          <w:tcPr>
            <w:tcW w:w="3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5"/>
              </w:rPr>
              <w:t>2,148,827</w:t>
            </w:r>
          </w:p>
        </w:tc>
        <w:tc>
          <w:tcPr>
            <w:tcW w:w="3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w w:val="93"/>
              </w:rPr>
              <w:t>3,194,807</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43,642,059</w:t>
            </w:r>
          </w:p>
        </w:tc>
        <w:tc>
          <w:tcPr>
            <w:tcW w:w="4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46,836,866</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(187,129)</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(32,557)</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(880,721)</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45,736,459</w:t>
            </w:r>
          </w:p>
        </w:tc>
      </w:tr>
      <w:tr>
        <w:trPr>
          <w:trHeight w:val="180"/>
        </w:trPr>
        <w:tc>
          <w:tcPr>
            <w:tcW w:w="780" w:type="dxa"/>
            <w:vAlign w:val="bottom"/>
            <w:gridSpan w:val="2"/>
          </w:tcPr>
          <w:p>
            <w:pPr>
              <w:spacing w:after="0"/>
              <w:rPr>
                <w:sz w:val="20"/>
                <w:szCs w:val="20"/>
                <w:color w:val="auto"/>
              </w:rPr>
            </w:pPr>
            <w:r>
              <w:rPr>
                <w:rFonts w:ascii="Arial" w:cs="Arial" w:eastAsia="Arial" w:hAnsi="Arial"/>
                <w:sz w:val="11"/>
                <w:szCs w:val="11"/>
                <w:color w:val="auto"/>
              </w:rPr>
              <w:t>Residential</w:t>
            </w:r>
          </w:p>
        </w:tc>
        <w:tc>
          <w:tcPr>
            <w:tcW w:w="800" w:type="dxa"/>
            <w:vAlign w:val="bottom"/>
          </w:tcPr>
          <w:p>
            <w:pPr>
              <w:jc w:val="right"/>
              <w:spacing w:after="0"/>
              <w:rPr>
                <w:sz w:val="20"/>
                <w:szCs w:val="20"/>
                <w:color w:val="auto"/>
              </w:rPr>
            </w:pPr>
            <w:r>
              <w:rPr>
                <w:rFonts w:ascii="Arial" w:cs="Arial" w:eastAsia="Arial" w:hAnsi="Arial"/>
                <w:sz w:val="11"/>
                <w:szCs w:val="11"/>
                <w:color w:val="auto"/>
              </w:rPr>
              <w:t>5,866,505</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5"/>
              </w:rPr>
              <w:t>2,048,148</w:t>
            </w:r>
          </w:p>
        </w:tc>
        <w:tc>
          <w:tcPr>
            <w:tcW w:w="320" w:type="dxa"/>
            <w:vAlign w:val="bottom"/>
          </w:tcPr>
          <w:p>
            <w:pPr>
              <w:spacing w:after="0"/>
              <w:rPr>
                <w:sz w:val="15"/>
                <w:szCs w:val="15"/>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w w:val="85"/>
              </w:rPr>
              <w:t>5,669,583</w:t>
            </w: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9"/>
              </w:rPr>
              <w:t>2,263,097</w:t>
            </w:r>
          </w:p>
        </w:tc>
        <w:tc>
          <w:tcPr>
            <w:tcW w:w="240" w:type="dxa"/>
            <w:vAlign w:val="bottom"/>
          </w:tcPr>
          <w:p>
            <w:pPr>
              <w:spacing w:after="0"/>
              <w:rPr>
                <w:sz w:val="15"/>
                <w:szCs w:val="15"/>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color w:val="auto"/>
                <w:w w:val="83"/>
              </w:rPr>
              <w:t>15,847,333</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79,975,115</w:t>
            </w:r>
          </w:p>
        </w:tc>
        <w:tc>
          <w:tcPr>
            <w:tcW w:w="400" w:type="dxa"/>
            <w:vAlign w:val="bottom"/>
          </w:tcPr>
          <w:p>
            <w:pPr>
              <w:spacing w:after="0"/>
              <w:rPr>
                <w:sz w:val="15"/>
                <w:szCs w:val="15"/>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95,822,448</w:t>
            </w: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5"/>
              </w:rPr>
              <w:t>(1,774,796)</w:t>
            </w:r>
          </w:p>
        </w:tc>
        <w:tc>
          <w:tcPr>
            <w:tcW w:w="320" w:type="dxa"/>
            <w:vAlign w:val="bottom"/>
          </w:tcPr>
          <w:p>
            <w:pPr>
              <w:spacing w:after="0"/>
              <w:rPr>
                <w:sz w:val="15"/>
                <w:szCs w:val="15"/>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(909,864)</w:t>
            </w:r>
          </w:p>
        </w:tc>
        <w:tc>
          <w:tcPr>
            <w:tcW w:w="260" w:type="dxa"/>
            <w:vAlign w:val="bottom"/>
          </w:tcPr>
          <w:p>
            <w:pPr>
              <w:spacing w:after="0"/>
              <w:rPr>
                <w:sz w:val="15"/>
                <w:szCs w:val="15"/>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(380,175)</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0"/>
              </w:rPr>
              <w:t>92,757,613</w:t>
            </w:r>
          </w:p>
        </w:tc>
      </w:tr>
      <w:tr>
        <w:trPr>
          <w:trHeight w:val="140"/>
        </w:trPr>
        <w:tc>
          <w:tcPr>
            <w:tcW w:w="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Residential</w:t>
            </w: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2"/>
        </w:trPr>
        <w:tc>
          <w:tcPr>
            <w:tcW w:w="7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Construction</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127,191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200,963</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328,154</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110,783,623</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1"/>
              </w:rPr>
              <w:t>111,111,777</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(43,202)</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(218,711)</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110,849,864</w:t>
            </w:r>
          </w:p>
        </w:tc>
      </w:tr>
      <w:tr>
        <w:trPr>
          <w:trHeight w:val="145"/>
        </w:trPr>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51"/>
        </w:trPr>
        <w:tc>
          <w:tcPr>
            <w:tcW w:w="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$ 6,226,896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2,860,928</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85"/>
              </w:rPr>
              <w:t>7,818,410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2,464,060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w w:val="83"/>
              </w:rPr>
              <w:t>19,370,294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234,400,797</w:t>
            </w:r>
          </w:p>
        </w:tc>
        <w:tc>
          <w:tcPr>
            <w:tcW w:w="4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91"/>
              </w:rPr>
              <w:t>253,771,091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(2,005,127)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85"/>
              </w:rPr>
              <w:t>(1,161,132)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w w:val="88"/>
              </w:rPr>
              <w:t>(1,260,896)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249,343,936</w:t>
            </w: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25"/>
        </w:trPr>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71"/>
        </w:trPr>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w w:val="81"/>
              </w:rPr>
              <w:t>2019</w:t>
            </w:r>
          </w:p>
        </w:tc>
        <w:tc>
          <w:tcPr>
            <w:tcW w:w="5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3"/>
        </w:trPr>
        <w:tc>
          <w:tcPr>
            <w:tcW w:w="780" w:type="dxa"/>
            <w:vAlign w:val="bottom"/>
            <w:gridSpan w:val="2"/>
          </w:tcPr>
          <w:p>
            <w:pPr>
              <w:spacing w:after="0"/>
              <w:rPr>
                <w:sz w:val="20"/>
                <w:szCs w:val="20"/>
                <w:color w:val="auto"/>
              </w:rPr>
            </w:pPr>
            <w:r>
              <w:rPr>
                <w:rFonts w:ascii="Arial" w:cs="Arial" w:eastAsia="Arial" w:hAnsi="Arial"/>
                <w:sz w:val="11"/>
                <w:szCs w:val="11"/>
                <w:color w:val="auto"/>
              </w:rPr>
              <w:t>Commercial</w:t>
            </w:r>
          </w:p>
        </w:tc>
        <w:tc>
          <w:tcPr>
            <w:tcW w:w="800" w:type="dxa"/>
            <w:vAlign w:val="bottom"/>
          </w:tcPr>
          <w:p>
            <w:pPr>
              <w:jc w:val="right"/>
              <w:spacing w:after="0"/>
              <w:rPr>
                <w:sz w:val="20"/>
                <w:szCs w:val="20"/>
                <w:color w:val="auto"/>
              </w:rPr>
            </w:pPr>
            <w:r>
              <w:rPr>
                <w:rFonts w:ascii="Arial" w:cs="Arial" w:eastAsia="Arial" w:hAnsi="Arial"/>
                <w:sz w:val="11"/>
                <w:szCs w:val="11"/>
                <w:color w:val="auto"/>
              </w:rPr>
              <w:t>$ 1,872,000</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ind w:left="200"/>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7"/>
              <w:spacing w:after="0"/>
              <w:rPr>
                <w:sz w:val="20"/>
                <w:szCs w:val="20"/>
                <w:color w:val="auto"/>
              </w:rPr>
            </w:pPr>
            <w:r>
              <w:rPr>
                <w:rFonts w:ascii="Arial" w:cs="Arial" w:eastAsia="Arial" w:hAnsi="Arial"/>
                <w:sz w:val="11"/>
                <w:szCs w:val="11"/>
                <w:color w:val="auto"/>
                <w:w w:val="85"/>
              </w:rPr>
              <w:t>4,488,719</w:t>
            </w:r>
          </w:p>
        </w:tc>
        <w:tc>
          <w:tcPr>
            <w:tcW w:w="3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7"/>
              <w:spacing w:after="0"/>
              <w:rPr>
                <w:sz w:val="20"/>
                <w:szCs w:val="20"/>
                <w:color w:val="auto"/>
              </w:rPr>
            </w:pPr>
            <w:r>
              <w:rPr>
                <w:rFonts w:ascii="Arial" w:cs="Arial" w:eastAsia="Arial" w:hAnsi="Arial"/>
                <w:sz w:val="11"/>
                <w:szCs w:val="11"/>
                <w:color w:val="auto"/>
                <w:w w:val="93"/>
              </w:rPr>
              <w:t>6,360,719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0"/>
              </w:rPr>
              <w:t>32,357,501</w:t>
            </w:r>
          </w:p>
        </w:tc>
        <w:tc>
          <w:tcPr>
            <w:tcW w:w="40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38,718,220</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(187,129)</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(88,918)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(653,272)</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0"/>
              </w:rPr>
              <w:t>37,788,901</w:t>
            </w:r>
          </w:p>
        </w:tc>
      </w:tr>
      <w:tr>
        <w:trPr>
          <w:trHeight w:val="189"/>
        </w:trPr>
        <w:tc>
          <w:tcPr>
            <w:tcW w:w="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10,609,296</w:t>
            </w: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4,085,767</w:t>
            </w: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5"/>
              </w:rPr>
              <w:t>2,100,742</w:t>
            </w: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1,651,465</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w w:val="83"/>
              </w:rPr>
              <w:t>18,447,270</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94,596,695</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1"/>
              </w:rPr>
              <w:t>113,043,965</w:t>
            </w: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(1,222,706)</w:t>
            </w: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5"/>
              </w:rPr>
              <w:t>(1,567,581)</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110,253,678</w:t>
            </w:r>
          </w:p>
        </w:tc>
      </w:tr>
      <w:tr>
        <w:trPr>
          <w:trHeight w:val="135"/>
        </w:trPr>
        <w:tc>
          <w:tcPr>
            <w:tcW w:w="780" w:type="dxa"/>
            <w:vAlign w:val="bottom"/>
            <w:gridSpan w:val="2"/>
          </w:tcPr>
          <w:p>
            <w:pPr>
              <w:spacing w:after="0"/>
              <w:rPr>
                <w:sz w:val="20"/>
                <w:szCs w:val="20"/>
                <w:color w:val="auto"/>
              </w:rPr>
            </w:pPr>
            <w:r>
              <w:rPr>
                <w:rFonts w:ascii="Arial" w:cs="Arial" w:eastAsia="Arial" w:hAnsi="Arial"/>
                <w:sz w:val="11"/>
                <w:szCs w:val="11"/>
                <w:color w:val="auto"/>
              </w:rPr>
              <w:t>Residential</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7"/>
        </w:trPr>
        <w:tc>
          <w:tcPr>
            <w:tcW w:w="780" w:type="dxa"/>
            <w:vAlign w:val="bottom"/>
            <w:gridSpan w:val="2"/>
          </w:tcPr>
          <w:p>
            <w:pPr>
              <w:ind w:left="40"/>
              <w:spacing w:after="0"/>
              <w:rPr>
                <w:sz w:val="20"/>
                <w:szCs w:val="20"/>
                <w:color w:val="auto"/>
              </w:rPr>
            </w:pPr>
            <w:r>
              <w:rPr>
                <w:rFonts w:ascii="Arial" w:cs="Arial" w:eastAsia="Arial" w:hAnsi="Arial"/>
                <w:sz w:val="11"/>
                <w:szCs w:val="11"/>
                <w:color w:val="auto"/>
              </w:rPr>
              <w:t>Construction</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500" w:type="dxa"/>
            <w:vAlign w:val="bottom"/>
          </w:tcPr>
          <w:p>
            <w:pPr>
              <w:jc w:val="right"/>
              <w:ind w:right="7"/>
              <w:spacing w:after="0"/>
              <w:rPr>
                <w:sz w:val="20"/>
                <w:szCs w:val="20"/>
                <w:color w:val="auto"/>
              </w:rPr>
            </w:pPr>
            <w:r>
              <w:rPr>
                <w:rFonts w:ascii="Arial" w:cs="Arial" w:eastAsia="Arial" w:hAnsi="Arial"/>
                <w:sz w:val="11"/>
                <w:szCs w:val="11"/>
                <w:color w:val="auto"/>
              </w:rPr>
              <w:t>655,000</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80" w:type="dxa"/>
            <w:vAlign w:val="bottom"/>
          </w:tcPr>
          <w:p>
            <w:pPr>
              <w:jc w:val="right"/>
              <w:ind w:right="47"/>
              <w:spacing w:after="0"/>
              <w:rPr>
                <w:sz w:val="20"/>
                <w:szCs w:val="20"/>
                <w:color w:val="auto"/>
              </w:rPr>
            </w:pPr>
            <w:r>
              <w:rPr>
                <w:rFonts w:ascii="Arial" w:cs="Arial" w:eastAsia="Arial" w:hAnsi="Arial"/>
                <w:sz w:val="11"/>
                <w:szCs w:val="11"/>
                <w:color w:val="auto"/>
              </w:rPr>
              <w:t>655,000</w:t>
            </w: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88,775,237</w:t>
            </w:r>
          </w:p>
        </w:tc>
        <w:tc>
          <w:tcPr>
            <w:tcW w:w="400" w:type="dxa"/>
            <w:vAlign w:val="bottom"/>
          </w:tcPr>
          <w:p>
            <w:pPr>
              <w:spacing w:after="0"/>
              <w:rPr>
                <w:sz w:val="11"/>
                <w:szCs w:val="11"/>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89,430,237</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(43,202)</w:t>
            </w:r>
          </w:p>
        </w:tc>
        <w:tc>
          <w:tcPr>
            <w:tcW w:w="32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(735,068)</w:t>
            </w:r>
          </w:p>
        </w:tc>
        <w:tc>
          <w:tcPr>
            <w:tcW w:w="26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0"/>
              </w:rPr>
              <w:t>88,651,967</w:t>
            </w:r>
          </w:p>
        </w:tc>
      </w:tr>
      <w:tr>
        <w:trPr>
          <w:trHeight w:val="150"/>
        </w:trPr>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r>
      <w:tr>
        <w:trPr>
          <w:trHeight w:val="151"/>
        </w:trPr>
        <w:tc>
          <w:tcPr>
            <w:tcW w:w="780" w:type="dxa"/>
            <w:vAlign w:val="bottom"/>
            <w:gridSpan w:val="2"/>
          </w:tcPr>
          <w:p>
            <w:pPr>
              <w:spacing w:after="0"/>
              <w:rPr>
                <w:sz w:val="20"/>
                <w:szCs w:val="20"/>
                <w:color w:val="auto"/>
              </w:rPr>
            </w:pPr>
            <w:r>
              <w:rPr>
                <w:rFonts w:ascii="Arial" w:cs="Arial" w:eastAsia="Arial" w:hAnsi="Arial"/>
                <w:sz w:val="11"/>
                <w:szCs w:val="11"/>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$ 12,481,296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5"/>
              </w:rPr>
              <w:t>4,085,767</w:t>
            </w:r>
          </w:p>
        </w:tc>
        <w:tc>
          <w:tcPr>
            <w:tcW w:w="32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85"/>
              </w:rPr>
              <w:t>7,244,461</w:t>
            </w:r>
          </w:p>
        </w:tc>
        <w:tc>
          <w:tcPr>
            <w:tcW w:w="3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9"/>
              </w:rPr>
              <w:t>1,651,465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w w:val="83"/>
              </w:rPr>
              <w:t>25,462,989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1"/>
              </w:rPr>
              <w:t>215,729,433</w:t>
            </w:r>
          </w:p>
        </w:tc>
        <w:tc>
          <w:tcPr>
            <w:tcW w:w="4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91"/>
              </w:rPr>
              <w:t>241,192,422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5"/>
              </w:rPr>
              <w:t>(1,453,037)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w w:val="85"/>
              </w:rPr>
              <w:t>(2,391,567)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(653,272)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1"/>
              </w:rPr>
              <w:t>236,694,546</w:t>
            </w: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83820</wp:posOffset>
            </wp:positionV>
            <wp:extent cx="3181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168" w:lineRule="exact"/>
        <w:rPr>
          <w:sz w:val="20"/>
          <w:szCs w:val="20"/>
          <w:color w:val="auto"/>
        </w:rPr>
      </w:pPr>
    </w:p>
    <w:p>
      <w:pPr>
        <w:ind w:left="5"/>
        <w:spacing w:after="0"/>
        <w:rPr>
          <w:sz w:val="20"/>
          <w:szCs w:val="20"/>
          <w:color w:val="auto"/>
        </w:rPr>
      </w:pPr>
      <w:r>
        <w:rPr>
          <w:rFonts w:ascii="Arial" w:cs="Arial" w:eastAsia="Arial" w:hAnsi="Arial"/>
          <w:sz w:val="11"/>
          <w:szCs w:val="11"/>
          <w:color w:val="auto"/>
        </w:rPr>
        <w:t>(1) There was not any interest income recognized on loans past due greater than 90 days or in foreclosure.</w:t>
      </w:r>
    </w:p>
    <w:p>
      <w:pPr>
        <w:spacing w:after="0" w:line="240" w:lineRule="exact"/>
        <w:rPr>
          <w:sz w:val="20"/>
          <w:szCs w:val="20"/>
          <w:color w:val="auto"/>
        </w:rPr>
      </w:pPr>
    </w:p>
    <w:p>
      <w:pPr>
        <w:ind w:left="4345"/>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825"/>
          </w:cols>
          <w:pgMar w:left="1275" w:top="122" w:right="799" w:bottom="1440" w:gutter="0" w:footer="0" w:header="0"/>
        </w:sectPr>
      </w:pPr>
    </w:p>
    <w:bookmarkStart w:id="66" w:name="page67"/>
    <w:bookmarkEnd w:id="6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Impaired Mortgage Loans Held for Investment</w:t>
      </w:r>
    </w:p>
    <w:p>
      <w:pPr>
        <w:spacing w:after="0" w:line="230"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4"/>
                <w:szCs w:val="14"/>
                <w:color w:val="auto"/>
              </w:rPr>
              <w:t>Impaired Loans</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color w:val="auto"/>
                <w:w w:val="92"/>
              </w:rPr>
              <w:t>Years Ended December 31</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0" w:type="dxa"/>
            <w:vAlign w:val="bottom"/>
            <w:gridSpan w:val="2"/>
          </w:tcPr>
          <w:p>
            <w:pPr>
              <w:jc w:val="right"/>
              <w:ind w:right="150"/>
              <w:spacing w:after="0" w:line="145" w:lineRule="exact"/>
              <w:rPr>
                <w:sz w:val="20"/>
                <w:szCs w:val="20"/>
                <w:color w:val="auto"/>
              </w:rPr>
            </w:pPr>
            <w:r>
              <w:rPr>
                <w:rFonts w:ascii="Arial" w:cs="Arial" w:eastAsia="Arial" w:hAnsi="Arial"/>
                <w:sz w:val="14"/>
                <w:szCs w:val="14"/>
                <w:color w:val="auto"/>
              </w:rPr>
              <w:t>Recorded</w:t>
            </w:r>
          </w:p>
        </w:tc>
        <w:tc>
          <w:tcPr>
            <w:tcW w:w="240" w:type="dxa"/>
            <w:vAlign w:val="bottom"/>
          </w:tcPr>
          <w:p>
            <w:pPr>
              <w:spacing w:after="0"/>
              <w:rPr>
                <w:sz w:val="12"/>
                <w:szCs w:val="12"/>
                <w:color w:val="auto"/>
              </w:rPr>
            </w:pPr>
          </w:p>
        </w:tc>
        <w:tc>
          <w:tcPr>
            <w:tcW w:w="1420" w:type="dxa"/>
            <w:vAlign w:val="bottom"/>
            <w:gridSpan w:val="4"/>
          </w:tcPr>
          <w:p>
            <w:pPr>
              <w:jc w:val="right"/>
              <w:ind w:right="380"/>
              <w:spacing w:after="0" w:line="145" w:lineRule="exact"/>
              <w:rPr>
                <w:sz w:val="20"/>
                <w:szCs w:val="20"/>
                <w:color w:val="auto"/>
              </w:rPr>
            </w:pPr>
            <w:r>
              <w:rPr>
                <w:rFonts w:ascii="Arial" w:cs="Arial" w:eastAsia="Arial" w:hAnsi="Arial"/>
                <w:sz w:val="14"/>
                <w:szCs w:val="14"/>
                <w:color w:val="auto"/>
              </w:rPr>
              <w:t>Unpaid Principal</w:t>
            </w:r>
          </w:p>
        </w:tc>
        <w:tc>
          <w:tcPr>
            <w:tcW w:w="1120" w:type="dxa"/>
            <w:vAlign w:val="bottom"/>
            <w:gridSpan w:val="3"/>
          </w:tcPr>
          <w:p>
            <w:pPr>
              <w:ind w:left="180"/>
              <w:spacing w:after="0" w:line="145" w:lineRule="exact"/>
              <w:rPr>
                <w:sz w:val="20"/>
                <w:szCs w:val="20"/>
                <w:color w:val="auto"/>
              </w:rPr>
            </w:pPr>
            <w:r>
              <w:rPr>
                <w:rFonts w:ascii="Arial" w:cs="Arial" w:eastAsia="Arial" w:hAnsi="Arial"/>
                <w:sz w:val="14"/>
                <w:szCs w:val="14"/>
                <w:color w:val="auto"/>
              </w:rPr>
              <w:t>Related</w:t>
            </w:r>
          </w:p>
        </w:tc>
        <w:tc>
          <w:tcPr>
            <w:tcW w:w="1480" w:type="dxa"/>
            <w:vAlign w:val="bottom"/>
            <w:gridSpan w:val="3"/>
          </w:tcPr>
          <w:p>
            <w:pPr>
              <w:jc w:val="center"/>
              <w:ind w:right="240"/>
              <w:spacing w:after="0" w:line="145" w:lineRule="exact"/>
              <w:rPr>
                <w:sz w:val="20"/>
                <w:szCs w:val="20"/>
                <w:color w:val="auto"/>
              </w:rPr>
            </w:pPr>
            <w:r>
              <w:rPr>
                <w:rFonts w:ascii="Arial" w:cs="Arial" w:eastAsia="Arial" w:hAnsi="Arial"/>
                <w:sz w:val="14"/>
                <w:szCs w:val="14"/>
                <w:color w:val="auto"/>
                <w:w w:val="89"/>
              </w:rPr>
              <w:t>Average Recorded</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w w:val="95"/>
              </w:rPr>
              <w:t>Interest Income</w:t>
            </w:r>
          </w:p>
        </w:tc>
        <w:tc>
          <w:tcPr>
            <w:tcW w:w="60" w:type="dxa"/>
            <w:vAlign w:val="bottom"/>
          </w:tcPr>
          <w:p>
            <w:pPr>
              <w:spacing w:after="0"/>
              <w:rPr>
                <w:sz w:val="12"/>
                <w:szCs w:val="12"/>
                <w:color w:val="auto"/>
              </w:rPr>
            </w:pPr>
          </w:p>
        </w:tc>
      </w:tr>
      <w:tr>
        <w:trPr>
          <w:trHeight w:val="177"/>
        </w:trPr>
        <w:tc>
          <w:tcPr>
            <w:tcW w:w="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0" w:type="dxa"/>
            <w:vAlign w:val="bottom"/>
            <w:gridSpan w:val="2"/>
          </w:tcPr>
          <w:p>
            <w:pPr>
              <w:jc w:val="right"/>
              <w:ind w:right="110"/>
              <w:spacing w:after="0"/>
              <w:rPr>
                <w:sz w:val="20"/>
                <w:szCs w:val="20"/>
                <w:color w:val="auto"/>
              </w:rPr>
            </w:pPr>
            <w:r>
              <w:rPr>
                <w:rFonts w:ascii="Arial" w:cs="Arial" w:eastAsia="Arial" w:hAnsi="Arial"/>
                <w:sz w:val="14"/>
                <w:szCs w:val="14"/>
                <w:color w:val="auto"/>
              </w:rPr>
              <w:t>Investment</w:t>
            </w:r>
          </w:p>
        </w:tc>
        <w:tc>
          <w:tcPr>
            <w:tcW w:w="240" w:type="dxa"/>
            <w:vAlign w:val="bottom"/>
          </w:tcPr>
          <w:p>
            <w:pPr>
              <w:spacing w:after="0"/>
              <w:rPr>
                <w:sz w:val="15"/>
                <w:szCs w:val="15"/>
                <w:color w:val="auto"/>
              </w:rPr>
            </w:pPr>
          </w:p>
        </w:tc>
        <w:tc>
          <w:tcPr>
            <w:tcW w:w="1420" w:type="dxa"/>
            <w:vAlign w:val="bottom"/>
            <w:gridSpan w:val="4"/>
          </w:tcPr>
          <w:p>
            <w:pPr>
              <w:ind w:left="320"/>
              <w:spacing w:after="0"/>
              <w:rPr>
                <w:sz w:val="20"/>
                <w:szCs w:val="20"/>
                <w:color w:val="auto"/>
              </w:rPr>
            </w:pPr>
            <w:r>
              <w:rPr>
                <w:rFonts w:ascii="Arial" w:cs="Arial" w:eastAsia="Arial" w:hAnsi="Arial"/>
                <w:sz w:val="14"/>
                <w:szCs w:val="14"/>
                <w:color w:val="auto"/>
              </w:rPr>
              <w:t>Balance</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Allowance</w:t>
            </w: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Investment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Recognized</w:t>
            </w:r>
          </w:p>
        </w:tc>
        <w:tc>
          <w:tcPr>
            <w:tcW w:w="60" w:type="dxa"/>
            <w:vAlign w:val="bottom"/>
          </w:tcPr>
          <w:p>
            <w:pPr>
              <w:spacing w:after="0"/>
              <w:rPr>
                <w:sz w:val="15"/>
                <w:szCs w:val="15"/>
                <w:color w:val="auto"/>
              </w:rPr>
            </w:pPr>
          </w:p>
        </w:tc>
      </w:tr>
      <w:tr>
        <w:trPr>
          <w:trHeight w:val="244"/>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 no related allowance recorded:</w:t>
            </w: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Commercial</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2,148,827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2,148,827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1,866,819</w:t>
            </w:r>
          </w:p>
        </w:tc>
        <w:tc>
          <w:tcPr>
            <w:tcW w:w="220" w:type="dxa"/>
            <w:vAlign w:val="bottom"/>
          </w:tcPr>
          <w:p>
            <w:pPr>
              <w:spacing w:after="0"/>
              <w:rPr>
                <w:sz w:val="14"/>
                <w:szCs w:val="14"/>
                <w:color w:val="auto"/>
              </w:rPr>
            </w:pPr>
          </w:p>
        </w:tc>
        <w:tc>
          <w:tcPr>
            <w:tcW w:w="94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6,415,419</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6,415,419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5,010,078</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Residential construction</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200,963</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200,963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555,278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64"/>
        </w:trPr>
        <w:tc>
          <w:tcPr>
            <w:tcW w:w="28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64"/>
        </w:trPr>
        <w:tc>
          <w:tcPr>
            <w:tcW w:w="2600" w:type="dxa"/>
            <w:vAlign w:val="bottom"/>
            <w:gridSpan w:val="2"/>
          </w:tcPr>
          <w:p>
            <w:pPr>
              <w:spacing w:after="0"/>
              <w:rPr>
                <w:sz w:val="20"/>
                <w:szCs w:val="20"/>
                <w:color w:val="auto"/>
              </w:rPr>
            </w:pPr>
            <w:r>
              <w:rPr>
                <w:rFonts w:ascii="Arial" w:cs="Arial" w:eastAsia="Arial" w:hAnsi="Arial"/>
                <w:sz w:val="14"/>
                <w:szCs w:val="14"/>
                <w:color w:val="auto"/>
              </w:rPr>
              <w:t>With an allowance recorded:</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Residential</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1,517,261</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1,517,261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219,905</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1,182,368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64"/>
        </w:trPr>
        <w:tc>
          <w:tcPr>
            <w:tcW w:w="2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Commercial</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2,148,827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2,148,827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1,866,819</w:t>
            </w:r>
          </w:p>
        </w:tc>
        <w:tc>
          <w:tcPr>
            <w:tcW w:w="220" w:type="dxa"/>
            <w:vAlign w:val="bottom"/>
          </w:tcPr>
          <w:p>
            <w:pPr>
              <w:spacing w:after="0"/>
              <w:rPr>
                <w:sz w:val="14"/>
                <w:szCs w:val="14"/>
                <w:color w:val="auto"/>
              </w:rPr>
            </w:pPr>
          </w:p>
        </w:tc>
        <w:tc>
          <w:tcPr>
            <w:tcW w:w="94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7,932,680</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7,932,680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219,905</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6,192,446</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Residential construction</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200,963</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200,963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555,278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64"/>
        </w:trPr>
        <w:tc>
          <w:tcPr>
            <w:tcW w:w="28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51"/>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 no related allowance recorded:</w:t>
            </w: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Commercial</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4,488,719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4,488,719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1,499,043</w:t>
            </w:r>
          </w:p>
        </w:tc>
        <w:tc>
          <w:tcPr>
            <w:tcW w:w="220" w:type="dxa"/>
            <w:vAlign w:val="bottom"/>
          </w:tcPr>
          <w:p>
            <w:pPr>
              <w:spacing w:after="0"/>
              <w:rPr>
                <w:sz w:val="14"/>
                <w:szCs w:val="14"/>
                <w:color w:val="auto"/>
              </w:rPr>
            </w:pPr>
          </w:p>
        </w:tc>
        <w:tc>
          <w:tcPr>
            <w:tcW w:w="94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2,254,189</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2,254,189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3,367,151</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Residential construction</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655,000</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655,000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1,457,278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64"/>
        </w:trPr>
        <w:tc>
          <w:tcPr>
            <w:tcW w:w="28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64"/>
        </w:trPr>
        <w:tc>
          <w:tcPr>
            <w:tcW w:w="2600" w:type="dxa"/>
            <w:vAlign w:val="bottom"/>
            <w:gridSpan w:val="2"/>
          </w:tcPr>
          <w:p>
            <w:pPr>
              <w:spacing w:after="0"/>
              <w:rPr>
                <w:sz w:val="20"/>
                <w:szCs w:val="20"/>
                <w:color w:val="auto"/>
              </w:rPr>
            </w:pPr>
            <w:r>
              <w:rPr>
                <w:rFonts w:ascii="Arial" w:cs="Arial" w:eastAsia="Arial" w:hAnsi="Arial"/>
                <w:sz w:val="14"/>
                <w:szCs w:val="14"/>
                <w:color w:val="auto"/>
              </w:rPr>
              <w:t>With an allowance recorded:</w:t>
            </w: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Residential</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1,498,018</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1,498,018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195,993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665,270</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64"/>
        </w:trPr>
        <w:tc>
          <w:tcPr>
            <w:tcW w:w="28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4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171"/>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Commercial</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4,488,719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4,488,719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1,499,043</w:t>
            </w:r>
          </w:p>
        </w:tc>
        <w:tc>
          <w:tcPr>
            <w:tcW w:w="220" w:type="dxa"/>
            <w:vAlign w:val="bottom"/>
          </w:tcPr>
          <w:p>
            <w:pPr>
              <w:spacing w:after="0"/>
              <w:rPr>
                <w:sz w:val="14"/>
                <w:szCs w:val="14"/>
                <w:color w:val="auto"/>
              </w:rPr>
            </w:pPr>
          </w:p>
        </w:tc>
        <w:tc>
          <w:tcPr>
            <w:tcW w:w="94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1"/>
        </w:trPr>
        <w:tc>
          <w:tcPr>
            <w:tcW w:w="26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3,752,207</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3,752,207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195,993</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4,032,421</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9"/>
        </w:trPr>
        <w:tc>
          <w:tcPr>
            <w:tcW w:w="2600" w:type="dxa"/>
            <w:vAlign w:val="bottom"/>
            <w:gridSpan w:val="2"/>
          </w:tcPr>
          <w:p>
            <w:pPr>
              <w:ind w:left="80"/>
              <w:spacing w:after="0"/>
              <w:rPr>
                <w:sz w:val="20"/>
                <w:szCs w:val="20"/>
                <w:color w:val="auto"/>
              </w:rPr>
            </w:pPr>
            <w:r>
              <w:rPr>
                <w:rFonts w:ascii="Arial" w:cs="Arial" w:eastAsia="Arial" w:hAnsi="Arial"/>
                <w:sz w:val="14"/>
                <w:szCs w:val="14"/>
                <w:color w:val="auto"/>
              </w:rPr>
              <w:t>Residential construction</w:t>
            </w:r>
          </w:p>
        </w:tc>
        <w:tc>
          <w:tcPr>
            <w:tcW w:w="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655,000</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655,000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1,457,278</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bl>
    <w:p>
      <w:pPr>
        <w:spacing w:after="0" w:line="200"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Credit Risk Profile Based on Performance Status</w:t>
      </w:r>
    </w:p>
    <w:p>
      <w:pPr>
        <w:spacing w:after="0" w:line="230"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206"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67" w:name="page68"/>
    <w:bookmarkEnd w:id="67"/>
    <w:p>
      <w:pPr>
        <w:jc w:val="center"/>
        <w:ind w:right="815"/>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815"/>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815"/>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815"/>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performing and non-performing mortgage loans held for investment were as follows:</w:t>
      </w:r>
    </w:p>
    <w:p>
      <w:pPr>
        <w:spacing w:after="0" w:line="254" w:lineRule="exact"/>
        <w:rPr>
          <w:sz w:val="20"/>
          <w:szCs w:val="20"/>
          <w:color w:val="auto"/>
        </w:rPr>
      </w:pPr>
    </w:p>
    <w:p>
      <w:pPr>
        <w:jc w:val="center"/>
        <w:ind w:right="-4"/>
        <w:spacing w:after="0"/>
        <w:rPr>
          <w:sz w:val="20"/>
          <w:szCs w:val="20"/>
          <w:color w:val="auto"/>
        </w:rPr>
      </w:pPr>
      <w:r>
        <w:rPr>
          <w:rFonts w:ascii="Arial" w:cs="Arial" w:eastAsia="Arial" w:hAnsi="Arial"/>
          <w:sz w:val="11"/>
          <w:szCs w:val="11"/>
          <w:color w:val="auto"/>
        </w:rPr>
        <w:t>Mortgage Loans Held for Investment Credit Exposure</w:t>
      </w:r>
    </w:p>
    <w:p>
      <w:pPr>
        <w:spacing w:after="0" w:line="32" w:lineRule="exact"/>
        <w:rPr>
          <w:sz w:val="20"/>
          <w:szCs w:val="20"/>
          <w:color w:val="auto"/>
        </w:rPr>
      </w:pPr>
    </w:p>
    <w:p>
      <w:pPr>
        <w:jc w:val="center"/>
        <w:ind w:right="-4"/>
        <w:spacing w:after="0"/>
        <w:rPr>
          <w:sz w:val="20"/>
          <w:szCs w:val="20"/>
          <w:color w:val="auto"/>
        </w:rPr>
      </w:pPr>
      <w:r>
        <w:rPr>
          <w:rFonts w:ascii="Arial" w:cs="Arial" w:eastAsia="Arial" w:hAnsi="Arial"/>
          <w:sz w:val="11"/>
          <w:szCs w:val="11"/>
          <w:color w:val="auto"/>
        </w:rPr>
        <w:t>Credit Risk Profile Based on Payment Activity</w:t>
      </w:r>
    </w:p>
    <w:p>
      <w:pPr>
        <w:spacing w:after="0" w:line="32" w:lineRule="exact"/>
        <w:rPr>
          <w:sz w:val="20"/>
          <w:szCs w:val="20"/>
          <w:color w:val="auto"/>
        </w:rPr>
      </w:pPr>
    </w:p>
    <w:p>
      <w:pPr>
        <w:jc w:val="center"/>
        <w:ind w:right="-4"/>
        <w:spacing w:after="0"/>
        <w:rPr>
          <w:sz w:val="20"/>
          <w:szCs w:val="20"/>
          <w:color w:val="auto"/>
        </w:rPr>
      </w:pPr>
      <w:r>
        <w:rPr>
          <w:rFonts w:ascii="Arial" w:cs="Arial" w:eastAsia="Arial" w:hAnsi="Arial"/>
          <w:sz w:val="11"/>
          <w:szCs w:val="11"/>
          <w:color w:val="auto"/>
        </w:rPr>
        <w:t>Years Ended December 31</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1280" w:type="dxa"/>
            <w:vAlign w:val="bottom"/>
            <w:gridSpan w:val="3"/>
          </w:tcPr>
          <w:p>
            <w:pPr>
              <w:ind w:left="680"/>
              <w:spacing w:after="0"/>
              <w:rPr>
                <w:sz w:val="20"/>
                <w:szCs w:val="20"/>
                <w:color w:val="auto"/>
              </w:rPr>
            </w:pPr>
            <w:r>
              <w:rPr>
                <w:rFonts w:ascii="Arial" w:cs="Arial" w:eastAsia="Arial" w:hAnsi="Arial"/>
                <w:sz w:val="11"/>
                <w:szCs w:val="11"/>
                <w:color w:val="auto"/>
                <w:w w:val="98"/>
              </w:rPr>
              <w:t>Commercial</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ind w:left="400"/>
              <w:spacing w:after="0"/>
              <w:rPr>
                <w:sz w:val="20"/>
                <w:szCs w:val="20"/>
                <w:color w:val="auto"/>
              </w:rPr>
            </w:pPr>
            <w:r>
              <w:rPr>
                <w:rFonts w:ascii="Arial" w:cs="Arial" w:eastAsia="Arial" w:hAnsi="Arial"/>
                <w:sz w:val="11"/>
                <w:szCs w:val="11"/>
                <w:color w:val="auto"/>
                <w:w w:val="99"/>
              </w:rPr>
              <w:t>Residential</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5"/>
          </w:tcPr>
          <w:p>
            <w:pPr>
              <w:ind w:left="120"/>
              <w:spacing w:after="0"/>
              <w:rPr>
                <w:sz w:val="20"/>
                <w:szCs w:val="20"/>
                <w:color w:val="auto"/>
              </w:rPr>
            </w:pPr>
            <w:r>
              <w:rPr>
                <w:rFonts w:ascii="Arial" w:cs="Arial" w:eastAsia="Arial" w:hAnsi="Arial"/>
                <w:sz w:val="11"/>
                <w:szCs w:val="11"/>
                <w:color w:val="auto"/>
              </w:rPr>
              <w:t>Residential Construction</w:t>
            </w:r>
          </w:p>
        </w:tc>
        <w:tc>
          <w:tcPr>
            <w:tcW w:w="340" w:type="dxa"/>
            <w:vAlign w:val="bottom"/>
          </w:tcPr>
          <w:p>
            <w:pPr>
              <w:spacing w:after="0"/>
              <w:rPr>
                <w:sz w:val="12"/>
                <w:szCs w:val="12"/>
                <w:color w:val="auto"/>
              </w:rPr>
            </w:pPr>
          </w:p>
        </w:tc>
        <w:tc>
          <w:tcPr>
            <w:tcW w:w="920" w:type="dxa"/>
            <w:vAlign w:val="bottom"/>
            <w:gridSpan w:val="2"/>
          </w:tcPr>
          <w:p>
            <w:pPr>
              <w:ind w:left="620"/>
              <w:spacing w:after="0"/>
              <w:rPr>
                <w:sz w:val="20"/>
                <w:szCs w:val="20"/>
                <w:color w:val="auto"/>
              </w:rPr>
            </w:pPr>
            <w:r>
              <w:rPr>
                <w:rFonts w:ascii="Arial" w:cs="Arial" w:eastAsia="Arial" w:hAnsi="Arial"/>
                <w:sz w:val="11"/>
                <w:szCs w:val="11"/>
                <w:color w:val="auto"/>
              </w:rPr>
              <w:t>Total</w:t>
            </w:r>
          </w:p>
        </w:tc>
        <w:tc>
          <w:tcPr>
            <w:tcW w:w="900" w:type="dxa"/>
            <w:vAlign w:val="bottom"/>
          </w:tcPr>
          <w:p>
            <w:pPr>
              <w:spacing w:after="0"/>
              <w:rPr>
                <w:sz w:val="12"/>
                <w:szCs w:val="12"/>
                <w:color w:val="auto"/>
              </w:rPr>
            </w:pPr>
          </w:p>
        </w:tc>
      </w:tr>
      <w:tr>
        <w:trPr>
          <w:trHeight w:val="151"/>
        </w:trPr>
        <w:tc>
          <w:tcPr>
            <w:tcW w:w="8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rPr>
              <w:t>2020</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rPr>
              <w:t>2019</w:t>
            </w: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color w:val="auto"/>
                <w:w w:val="89"/>
              </w:rPr>
              <w:t>2020</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color w:val="auto"/>
              </w:rPr>
              <w:t>2019</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2020</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2019</w:t>
            </w:r>
          </w:p>
        </w:tc>
        <w:tc>
          <w:tcPr>
            <w:tcW w:w="2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color w:val="auto"/>
              </w:rPr>
              <w:t>2020</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color w:val="auto"/>
              </w:rPr>
              <w:t>2019</w:t>
            </w:r>
          </w:p>
        </w:tc>
      </w:tr>
      <w:tr>
        <w:trPr>
          <w:trHeight w:val="154"/>
        </w:trPr>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8"/>
        </w:trPr>
        <w:tc>
          <w:tcPr>
            <w:tcW w:w="820" w:type="dxa"/>
            <w:vAlign w:val="bottom"/>
            <w:shd w:val="clear" w:color="auto" w:fill="CCEEFF"/>
          </w:tcPr>
          <w:p>
            <w:pPr>
              <w:spacing w:after="0"/>
              <w:rPr>
                <w:sz w:val="20"/>
                <w:szCs w:val="20"/>
                <w:color w:val="auto"/>
              </w:rPr>
            </w:pPr>
            <w:r>
              <w:rPr>
                <w:rFonts w:ascii="Arial" w:cs="Arial" w:eastAsia="Arial" w:hAnsi="Arial"/>
                <w:sz w:val="11"/>
                <w:szCs w:val="11"/>
                <w:color w:val="auto"/>
              </w:rPr>
              <w:t>Performing</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$ 44,688,039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$ 34,229,501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87,889,768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$109,291,758</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110,910,814</w:t>
            </w: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88,775,237</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243,488,621</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$ 232,296,496</w:t>
            </w:r>
          </w:p>
        </w:tc>
      </w:tr>
      <w:tr>
        <w:trPr>
          <w:trHeight w:val="155"/>
        </w:trPr>
        <w:tc>
          <w:tcPr>
            <w:tcW w:w="820" w:type="dxa"/>
            <w:vAlign w:val="bottom"/>
          </w:tcPr>
          <w:p>
            <w:pPr>
              <w:spacing w:after="0"/>
              <w:rPr>
                <w:sz w:val="20"/>
                <w:szCs w:val="20"/>
                <w:color w:val="auto"/>
              </w:rPr>
            </w:pPr>
            <w:r>
              <w:rPr>
                <w:rFonts w:ascii="Arial" w:cs="Arial" w:eastAsia="Arial" w:hAnsi="Arial"/>
                <w:sz w:val="11"/>
                <w:szCs w:val="11"/>
                <w:color w:val="auto"/>
              </w:rPr>
              <w:t>Non-performing</w:t>
            </w:r>
          </w:p>
        </w:tc>
        <w:tc>
          <w:tcPr>
            <w:tcW w:w="860" w:type="dxa"/>
            <w:vAlign w:val="bottom"/>
          </w:tcPr>
          <w:p>
            <w:pPr>
              <w:jc w:val="right"/>
              <w:spacing w:after="0"/>
              <w:rPr>
                <w:sz w:val="20"/>
                <w:szCs w:val="20"/>
                <w:color w:val="auto"/>
              </w:rPr>
            </w:pPr>
            <w:r>
              <w:rPr>
                <w:rFonts w:ascii="Arial" w:cs="Arial" w:eastAsia="Arial" w:hAnsi="Arial"/>
                <w:sz w:val="11"/>
                <w:szCs w:val="11"/>
                <w:color w:val="auto"/>
              </w:rPr>
              <w:t>2,148,827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4,488,719</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7,932,680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3,752,207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200,963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655,000</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10,282,470</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8,895,926</w:t>
            </w:r>
          </w:p>
        </w:tc>
      </w:tr>
      <w:tr>
        <w:trPr>
          <w:trHeight w:val="161"/>
        </w:trPr>
        <w:tc>
          <w:tcPr>
            <w:tcW w:w="8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r>
      <w:tr>
        <w:trPr>
          <w:trHeight w:val="151"/>
        </w:trPr>
        <w:tc>
          <w:tcPr>
            <w:tcW w:w="820" w:type="dxa"/>
            <w:vAlign w:val="bottom"/>
          </w:tcPr>
          <w:p>
            <w:pPr>
              <w:spacing w:after="0"/>
              <w:rPr>
                <w:sz w:val="20"/>
                <w:szCs w:val="20"/>
                <w:color w:val="auto"/>
              </w:rPr>
            </w:pPr>
            <w:r>
              <w:rPr>
                <w:rFonts w:ascii="Arial" w:cs="Arial" w:eastAsia="Arial" w:hAnsi="Arial"/>
                <w:sz w:val="11"/>
                <w:szCs w:val="11"/>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$ 46,836,866</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$ 38,718,220</w:t>
            </w:r>
          </w:p>
        </w:tc>
        <w:tc>
          <w:tcPr>
            <w:tcW w:w="22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95,822,448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$113,043,965</w:t>
            </w: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111,111,777</w:t>
            </w: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89,430,237</w:t>
            </w:r>
          </w:p>
        </w:tc>
        <w:tc>
          <w:tcPr>
            <w:tcW w:w="24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253,771,091</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$ 241,192,422</w:t>
            </w:r>
          </w:p>
        </w:tc>
      </w:tr>
      <w:tr>
        <w:trPr>
          <w:trHeight w:val="20"/>
        </w:trPr>
        <w:tc>
          <w:tcPr>
            <w:tcW w:w="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Non-Accrual Mortgage Loans Held for Investment</w:t>
      </w:r>
    </w:p>
    <w:p>
      <w:pPr>
        <w:spacing w:after="0" w:line="230" w:lineRule="exact"/>
        <w:rPr>
          <w:sz w:val="20"/>
          <w:szCs w:val="20"/>
          <w:color w:val="auto"/>
        </w:rPr>
      </w:pPr>
    </w:p>
    <w:p>
      <w:pPr>
        <w:jc w:val="both"/>
        <w:ind w:left="5" w:right="820"/>
        <w:spacing w:after="0" w:line="271" w:lineRule="auto"/>
        <w:rPr>
          <w:sz w:val="20"/>
          <w:szCs w:val="20"/>
          <w:color w:val="auto"/>
        </w:rPr>
      </w:pPr>
      <w:r>
        <w:rPr>
          <w:rFonts w:ascii="Arial" w:cs="Arial" w:eastAsia="Arial" w:hAnsi="Arial"/>
          <w:sz w:val="18"/>
          <w:szCs w:val="18"/>
          <w:color w:val="auto"/>
        </w:rPr>
        <w:t>Once a loan is past due 90 days, it is the policy of the Company to end the accrual of interest income on the loan and write off any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$491,000 and $203,000 as of December 31, 2020 and 2019, respectively.</w:t>
      </w:r>
    </w:p>
    <w:p>
      <w:pPr>
        <w:spacing w:after="0" w:line="177" w:lineRule="exact"/>
        <w:rPr>
          <w:sz w:val="20"/>
          <w:szCs w:val="20"/>
          <w:color w:val="auto"/>
        </w:rPr>
      </w:pPr>
    </w:p>
    <w:p>
      <w:pPr>
        <w:jc w:val="both"/>
        <w:ind w:left="5" w:right="820"/>
        <w:spacing w:after="0" w:line="276" w:lineRule="auto"/>
        <w:rPr>
          <w:sz w:val="20"/>
          <w:szCs w:val="20"/>
          <w:color w:val="auto"/>
        </w:rPr>
      </w:pPr>
      <w:r>
        <w:rPr>
          <w:rFonts w:ascii="Arial" w:cs="Arial" w:eastAsia="Arial" w:hAnsi="Arial"/>
          <w:sz w:val="19"/>
          <w:szCs w:val="19"/>
          <w:color w:val="auto"/>
        </w:rPr>
        <w:t>The following is a summary of mortgage loans held for investment on a non-accrual status for the periods presented.</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4"/>
          </w:tcPr>
          <w:p>
            <w:pPr>
              <w:jc w:val="right"/>
              <w:ind w:right="381"/>
              <w:spacing w:after="0"/>
              <w:rPr>
                <w:sz w:val="20"/>
                <w:szCs w:val="20"/>
                <w:color w:val="auto"/>
              </w:rPr>
            </w:pPr>
            <w:r>
              <w:rPr>
                <w:rFonts w:ascii="Arial" w:cs="Arial" w:eastAsia="Arial" w:hAnsi="Arial"/>
                <w:sz w:val="16"/>
                <w:szCs w:val="16"/>
                <w:color w:val="auto"/>
                <w:w w:val="94"/>
              </w:rPr>
              <w:t>Mortgage Loans on Non-accrual Status</w:t>
            </w:r>
          </w:p>
        </w:tc>
      </w:tr>
      <w:tr>
        <w:trPr>
          <w:trHeight w:val="237"/>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6"/>
                <w:szCs w:val="16"/>
                <w:color w:val="auto"/>
              </w:rPr>
              <w:t>Years Ended December 31</w:t>
            </w:r>
          </w:p>
        </w:tc>
      </w:tr>
      <w:tr>
        <w:trPr>
          <w:trHeight w:val="217"/>
        </w:trPr>
        <w:tc>
          <w:tcPr>
            <w:tcW w:w="2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2019</w:t>
            </w:r>
          </w:p>
        </w:tc>
      </w:tr>
      <w:tr>
        <w:trPr>
          <w:trHeight w:val="224"/>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Commercial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2,148,827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4,488,719</w:t>
            </w:r>
          </w:p>
        </w:tc>
      </w:tr>
      <w:tr>
        <w:trPr>
          <w:trHeight w:val="214"/>
        </w:trPr>
        <w:tc>
          <w:tcPr>
            <w:tcW w:w="2400" w:type="dxa"/>
            <w:vAlign w:val="bottom"/>
          </w:tcPr>
          <w:p>
            <w:pPr>
              <w:spacing w:after="0"/>
              <w:rPr>
                <w:sz w:val="20"/>
                <w:szCs w:val="20"/>
                <w:color w:val="auto"/>
              </w:rPr>
            </w:pPr>
            <w:r>
              <w:rPr>
                <w:rFonts w:ascii="Arial" w:cs="Arial" w:eastAsia="Arial" w:hAnsi="Arial"/>
                <w:sz w:val="16"/>
                <w:szCs w:val="16"/>
                <w:color w:val="auto"/>
              </w:rPr>
              <w:t>Residential</w:t>
            </w:r>
          </w:p>
        </w:tc>
        <w:tc>
          <w:tcPr>
            <w:tcW w:w="260" w:type="dxa"/>
            <w:vAlign w:val="bottom"/>
          </w:tcPr>
          <w:p>
            <w:pPr>
              <w:spacing w:after="0"/>
              <w:rPr>
                <w:sz w:val="18"/>
                <w:szCs w:val="18"/>
                <w:color w:val="auto"/>
              </w:rPr>
            </w:pPr>
          </w:p>
        </w:tc>
        <w:tc>
          <w:tcPr>
            <w:tcW w:w="1280" w:type="dxa"/>
            <w:vAlign w:val="bottom"/>
          </w:tcPr>
          <w:p>
            <w:pPr>
              <w:jc w:val="right"/>
              <w:ind w:right="301"/>
              <w:spacing w:after="0"/>
              <w:rPr>
                <w:sz w:val="20"/>
                <w:szCs w:val="20"/>
                <w:color w:val="auto"/>
              </w:rPr>
            </w:pPr>
            <w:r>
              <w:rPr>
                <w:rFonts w:ascii="Arial" w:cs="Arial" w:eastAsia="Arial" w:hAnsi="Arial"/>
                <w:sz w:val="16"/>
                <w:szCs w:val="16"/>
                <w:color w:val="auto"/>
              </w:rPr>
              <w:t>7,932,680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21"/>
              <w:spacing w:after="0"/>
              <w:rPr>
                <w:sz w:val="20"/>
                <w:szCs w:val="20"/>
                <w:color w:val="auto"/>
              </w:rPr>
            </w:pPr>
            <w:r>
              <w:rPr>
                <w:rFonts w:ascii="Arial" w:cs="Arial" w:eastAsia="Arial" w:hAnsi="Arial"/>
                <w:sz w:val="16"/>
                <w:szCs w:val="16"/>
                <w:color w:val="auto"/>
              </w:rPr>
              <w:t>3,752,207</w:t>
            </w:r>
          </w:p>
        </w:tc>
      </w:tr>
      <w:tr>
        <w:trPr>
          <w:trHeight w:val="227"/>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Residential construction</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200,963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655,000</w:t>
            </w:r>
          </w:p>
        </w:tc>
      </w:tr>
      <w:tr>
        <w:trPr>
          <w:trHeight w:val="221"/>
        </w:trPr>
        <w:tc>
          <w:tcPr>
            <w:tcW w:w="2400" w:type="dxa"/>
            <w:vAlign w:val="bottom"/>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10,282,470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8,895,926</w:t>
            </w:r>
          </w:p>
        </w:tc>
      </w:tr>
      <w:tr>
        <w:trPr>
          <w:trHeight w:val="20"/>
        </w:trPr>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Principal Amounts Due</w:t>
      </w:r>
    </w:p>
    <w:p>
      <w:pPr>
        <w:spacing w:after="0" w:line="230" w:lineRule="exact"/>
        <w:rPr>
          <w:sz w:val="20"/>
          <w:szCs w:val="20"/>
          <w:color w:val="auto"/>
        </w:rPr>
      </w:pPr>
    </w:p>
    <w:p>
      <w:pPr>
        <w:jc w:val="both"/>
        <w:ind w:left="5" w:right="820"/>
        <w:spacing w:after="0" w:line="282" w:lineRule="auto"/>
        <w:rPr>
          <w:sz w:val="20"/>
          <w:szCs w:val="20"/>
          <w:color w:val="auto"/>
        </w:rPr>
      </w:pPr>
      <w:r>
        <w:rPr>
          <w:rFonts w:ascii="Arial" w:cs="Arial" w:eastAsia="Arial" w:hAnsi="Arial"/>
          <w:sz w:val="18"/>
          <w:szCs w:val="18"/>
          <w:color w:val="auto"/>
        </w:rPr>
        <w:t>The amortized cost and contractual payments on mortgage loans held for investment by category as of December 31, 2020 are shown below. Expected principal payments may differ from contractual obligations because certain borrowers may elect to pay off mortgage obligations with or without early payment penalties.</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2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Principal</w:t>
            </w:r>
          </w:p>
        </w:tc>
        <w:tc>
          <w:tcPr>
            <w:tcW w:w="1520" w:type="dxa"/>
            <w:vAlign w:val="bottom"/>
            <w:gridSpan w:val="3"/>
          </w:tcPr>
          <w:p>
            <w:pPr>
              <w:jc w:val="center"/>
              <w:ind w:right="200"/>
              <w:spacing w:after="0"/>
              <w:rPr>
                <w:sz w:val="20"/>
                <w:szCs w:val="20"/>
                <w:color w:val="auto"/>
              </w:rPr>
            </w:pPr>
            <w:r>
              <w:rPr>
                <w:rFonts w:ascii="Arial" w:cs="Arial" w:eastAsia="Arial" w:hAnsi="Arial"/>
                <w:sz w:val="16"/>
                <w:szCs w:val="16"/>
                <w:color w:val="auto"/>
                <w:w w:val="91"/>
              </w:rPr>
              <w:t>Principal</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4"/>
              </w:rPr>
              <w:t>Principal</w:t>
            </w:r>
          </w:p>
        </w:tc>
      </w:tr>
      <w:tr>
        <w:trPr>
          <w:trHeight w:val="224"/>
        </w:trPr>
        <w:tc>
          <w:tcPr>
            <w:tcW w:w="2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Amounts</w:t>
            </w:r>
          </w:p>
        </w:tc>
        <w:tc>
          <w:tcPr>
            <w:tcW w:w="152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Amounts</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1"/>
              </w:rPr>
              <w:t>Amounts</w:t>
            </w:r>
          </w:p>
        </w:tc>
      </w:tr>
      <w:tr>
        <w:trPr>
          <w:trHeight w:val="224"/>
        </w:trPr>
        <w:tc>
          <w:tcPr>
            <w:tcW w:w="2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Due in</w:t>
            </w:r>
          </w:p>
        </w:tc>
        <w:tc>
          <w:tcPr>
            <w:tcW w:w="1520" w:type="dxa"/>
            <w:vAlign w:val="bottom"/>
            <w:gridSpan w:val="3"/>
          </w:tcPr>
          <w:p>
            <w:pPr>
              <w:jc w:val="center"/>
              <w:ind w:right="220"/>
              <w:spacing w:after="0"/>
              <w:rPr>
                <w:sz w:val="20"/>
                <w:szCs w:val="20"/>
                <w:color w:val="auto"/>
              </w:rPr>
            </w:pPr>
            <w:r>
              <w:rPr>
                <w:rFonts w:ascii="Arial" w:cs="Arial" w:eastAsia="Arial" w:hAnsi="Arial"/>
                <w:sz w:val="16"/>
                <w:szCs w:val="16"/>
                <w:color w:val="auto"/>
                <w:w w:val="90"/>
              </w:rPr>
              <w:t>Due in</w:t>
            </w:r>
          </w:p>
        </w:tc>
        <w:tc>
          <w:tcPr>
            <w:tcW w:w="580" w:type="dxa"/>
            <w:vAlign w:val="bottom"/>
          </w:tcPr>
          <w:p>
            <w:pPr>
              <w:spacing w:after="0"/>
              <w:rPr>
                <w:sz w:val="19"/>
                <w:szCs w:val="19"/>
                <w:color w:val="auto"/>
              </w:rPr>
            </w:pPr>
          </w:p>
        </w:tc>
        <w:tc>
          <w:tcPr>
            <w:tcW w:w="840" w:type="dxa"/>
            <w:vAlign w:val="bottom"/>
          </w:tcPr>
          <w:p>
            <w:pPr>
              <w:jc w:val="center"/>
              <w:ind w:right="501"/>
              <w:spacing w:after="0"/>
              <w:rPr>
                <w:sz w:val="20"/>
                <w:szCs w:val="20"/>
                <w:color w:val="auto"/>
              </w:rPr>
            </w:pPr>
            <w:r>
              <w:rPr>
                <w:rFonts w:ascii="Arial" w:cs="Arial" w:eastAsia="Arial" w:hAnsi="Arial"/>
                <w:sz w:val="16"/>
                <w:szCs w:val="16"/>
                <w:color w:val="auto"/>
                <w:w w:val="88"/>
              </w:rPr>
              <w:t>Due</w:t>
            </w:r>
          </w:p>
        </w:tc>
      </w:tr>
      <w:tr>
        <w:trPr>
          <w:trHeight w:val="237"/>
        </w:trPr>
        <w:tc>
          <w:tcPr>
            <w:tcW w:w="2440" w:type="dxa"/>
            <w:vAlign w:val="bottom"/>
          </w:tcPr>
          <w:p>
            <w:pPr>
              <w:spacing w:after="0"/>
              <w:rPr>
                <w:sz w:val="20"/>
                <w:szCs w:val="20"/>
                <w:color w:val="auto"/>
              </w:rPr>
            </w:pPr>
          </w:p>
        </w:tc>
        <w:tc>
          <w:tcPr>
            <w:tcW w:w="1840" w:type="dxa"/>
            <w:vAlign w:val="bottom"/>
            <w:gridSpan w:val="3"/>
          </w:tcPr>
          <w:p>
            <w:pPr>
              <w:ind w:left="640"/>
              <w:spacing w:after="0"/>
              <w:rPr>
                <w:sz w:val="20"/>
                <w:szCs w:val="20"/>
                <w:color w:val="auto"/>
              </w:rPr>
            </w:pPr>
            <w:r>
              <w:rPr>
                <w:rFonts w:ascii="Arial" w:cs="Arial" w:eastAsia="Arial" w:hAnsi="Arial"/>
                <w:sz w:val="16"/>
                <w:szCs w:val="16"/>
                <w:color w:val="auto"/>
              </w:rPr>
              <w:t>Total</w:t>
            </w: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1 Year</w:t>
            </w:r>
          </w:p>
        </w:tc>
        <w:tc>
          <w:tcPr>
            <w:tcW w:w="1520" w:type="dxa"/>
            <w:vAlign w:val="bottom"/>
            <w:gridSpan w:val="3"/>
          </w:tcPr>
          <w:p>
            <w:pPr>
              <w:jc w:val="center"/>
              <w:ind w:right="200"/>
              <w:spacing w:after="0"/>
              <w:rPr>
                <w:sz w:val="20"/>
                <w:szCs w:val="20"/>
                <w:color w:val="auto"/>
              </w:rPr>
            </w:pPr>
            <w:r>
              <w:rPr>
                <w:rFonts w:ascii="Arial" w:cs="Arial" w:eastAsia="Arial" w:hAnsi="Arial"/>
                <w:sz w:val="16"/>
                <w:szCs w:val="16"/>
                <w:color w:val="auto"/>
                <w:w w:val="86"/>
              </w:rPr>
              <w:t>2-5 Years</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89"/>
              </w:rPr>
              <w:t>Thereafter</w:t>
            </w:r>
          </w:p>
        </w:tc>
      </w:tr>
      <w:tr>
        <w:trPr>
          <w:trHeight w:val="224"/>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Residential</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95,822,448</w:t>
            </w:r>
          </w:p>
        </w:tc>
        <w:tc>
          <w:tcPr>
            <w:tcW w:w="2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$ 11,202,899</w:t>
            </w:r>
          </w:p>
        </w:tc>
        <w:tc>
          <w:tcPr>
            <w:tcW w:w="2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17,774,238</w:t>
            </w:r>
          </w:p>
        </w:tc>
        <w:tc>
          <w:tcPr>
            <w:tcW w:w="2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66,845,311</w:t>
            </w:r>
          </w:p>
        </w:tc>
      </w:tr>
      <w:tr>
        <w:trPr>
          <w:trHeight w:val="214"/>
        </w:trPr>
        <w:tc>
          <w:tcPr>
            <w:tcW w:w="2440" w:type="dxa"/>
            <w:vAlign w:val="bottom"/>
          </w:tcPr>
          <w:p>
            <w:pPr>
              <w:spacing w:after="0"/>
              <w:rPr>
                <w:sz w:val="20"/>
                <w:szCs w:val="20"/>
                <w:color w:val="auto"/>
              </w:rPr>
            </w:pPr>
            <w:r>
              <w:rPr>
                <w:rFonts w:ascii="Arial" w:cs="Arial" w:eastAsia="Arial" w:hAnsi="Arial"/>
                <w:sz w:val="16"/>
                <w:szCs w:val="16"/>
                <w:color w:val="auto"/>
              </w:rPr>
              <w:t>Residential Construction</w:t>
            </w: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4"/>
              </w:rPr>
              <w:t>111,111,777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$ 103,391,044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7,720,733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27"/>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Commercial</w:t>
            </w: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46,836,866</w:t>
            </w:r>
          </w:p>
        </w:tc>
        <w:tc>
          <w:tcPr>
            <w:tcW w:w="2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27,111,325</w:t>
            </w: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11,101,138</w:t>
            </w:r>
          </w:p>
        </w:tc>
        <w:tc>
          <w:tcPr>
            <w:tcW w:w="2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8,624,403</w:t>
            </w:r>
          </w:p>
        </w:tc>
      </w:tr>
      <w:tr>
        <w:trPr>
          <w:trHeight w:val="221"/>
        </w:trPr>
        <w:tc>
          <w:tcPr>
            <w:tcW w:w="2440" w:type="dxa"/>
            <w:vAlign w:val="bottom"/>
          </w:tcPr>
          <w:p>
            <w:pPr>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253,771,091</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$ 141,705,268</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36,596,109</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75,469,714</w:t>
            </w:r>
          </w:p>
        </w:tc>
      </w:tr>
      <w:tr>
        <w:trPr>
          <w:trHeight w:val="20"/>
        </w:trPr>
        <w:tc>
          <w:tcPr>
            <w:tcW w:w="2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345"/>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685"/>
          </w:cols>
          <w:pgMar w:left="1275" w:top="122" w:right="939" w:bottom="1440" w:gutter="0" w:footer="0" w:header="0"/>
        </w:sectPr>
      </w:pPr>
    </w:p>
    <w:bookmarkStart w:id="68" w:name="page69"/>
    <w:bookmarkEnd w:id="6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p>
    <w:p>
      <w:pPr>
        <w:spacing w:after="0" w:line="124"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The Company has elected the fair value option for loans held for sale as disclosed in Note 1. Interest income is recorded based on the contractual terms of the loan and in accordance with the Company’s policy on mortgage loans held for investment and is included in mortgage fee income on the consolidated statement of earnings. There are three loans with an aggregate unpaid principal balance of $208,636 that are 90 or more days past due and on a nonaccrual status as of December 31, 2020. See Note 17 of the Notes to Consolidated Financial Statements for additional disclosures regarding loans held for sale.</w:t>
      </w:r>
    </w:p>
    <w:p>
      <w:pPr>
        <w:spacing w:after="0" w:line="193"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following is a summary of the aggregate fair value and the aggregate unpaid principal balance of loans held for sale for the periods presented:</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2700" w:type="dxa"/>
            <w:vAlign w:val="bottom"/>
          </w:tcPr>
          <w:p>
            <w:pPr>
              <w:spacing w:after="0"/>
              <w:rPr>
                <w:sz w:val="18"/>
                <w:szCs w:val="18"/>
                <w:color w:val="auto"/>
              </w:rPr>
            </w:pPr>
          </w:p>
        </w:tc>
        <w:tc>
          <w:tcPr>
            <w:tcW w:w="2000" w:type="dxa"/>
            <w:vAlign w:val="bottom"/>
            <w:gridSpan w:val="3"/>
          </w:tcPr>
          <w:p>
            <w:pPr>
              <w:ind w:left="200"/>
              <w:spacing w:after="0"/>
              <w:rPr>
                <w:sz w:val="20"/>
                <w:szCs w:val="20"/>
                <w:color w:val="auto"/>
              </w:rPr>
            </w:pPr>
            <w:r>
              <w:rPr>
                <w:rFonts w:ascii="Arial" w:cs="Arial" w:eastAsia="Arial" w:hAnsi="Arial"/>
                <w:sz w:val="18"/>
                <w:szCs w:val="18"/>
                <w:color w:val="auto"/>
              </w:rPr>
              <w:t>As of December 31</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w w:val="98"/>
              </w:rPr>
              <w:t>As of December 31</w:t>
            </w:r>
          </w:p>
        </w:tc>
      </w:tr>
      <w:tr>
        <w:trPr>
          <w:trHeight w:val="230"/>
        </w:trPr>
        <w:tc>
          <w:tcPr>
            <w:tcW w:w="27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2019</w:t>
            </w:r>
          </w:p>
        </w:tc>
      </w:tr>
      <w:tr>
        <w:trPr>
          <w:trHeight w:val="237"/>
        </w:trPr>
        <w:tc>
          <w:tcPr>
            <w:tcW w:w="2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7"/>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422,772,418</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213,457,632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406,407,323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206,417,122</w:t>
            </w:r>
          </w:p>
        </w:tc>
      </w:tr>
      <w:tr>
        <w:trPr>
          <w:trHeight w:val="244"/>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16,365,095</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7,040,510</w:t>
            </w: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Mortgage Fee Income</w:t>
      </w:r>
    </w:p>
    <w:p>
      <w:pPr>
        <w:spacing w:after="0" w:line="12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Mortgage fee income consists of origination fees, processing fees, interest income and certain other income related to the origination and sale of mortgage loans held for sale.</w:t>
      </w:r>
    </w:p>
    <w:p>
      <w:pPr>
        <w:spacing w:after="0" w:line="170"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Major categories of mortgage fee income for loans held for sale for the years ended December 31, were as follows:</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33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w w:val="84"/>
              </w:rPr>
              <w:t>2020</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w w:val="84"/>
              </w:rPr>
              <w:t>2019</w:t>
            </w:r>
          </w:p>
        </w:tc>
      </w:tr>
      <w:tr>
        <w:trPr>
          <w:trHeight w:val="224"/>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Loan fees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43,432,532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28,660,966</w:t>
            </w: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Interest income</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10,628,581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6,978,930</w:t>
            </w:r>
          </w:p>
        </w:tc>
      </w:tr>
      <w:tr>
        <w:trPr>
          <w:trHeight w:val="234"/>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Secondary gains</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231,759,342</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93,581,956</w:t>
            </w:r>
          </w:p>
        </w:tc>
      </w:tr>
      <w:tr>
        <w:trPr>
          <w:trHeight w:val="214"/>
        </w:trPr>
        <w:tc>
          <w:tcPr>
            <w:tcW w:w="3380" w:type="dxa"/>
            <w:vAlign w:val="bottom"/>
          </w:tcPr>
          <w:p>
            <w:pPr>
              <w:spacing w:after="0"/>
              <w:rPr>
                <w:sz w:val="20"/>
                <w:szCs w:val="20"/>
                <w:color w:val="auto"/>
              </w:rPr>
            </w:pPr>
            <w:r>
              <w:rPr>
                <w:rFonts w:ascii="Arial" w:cs="Arial" w:eastAsia="Arial" w:hAnsi="Arial"/>
                <w:sz w:val="16"/>
                <w:szCs w:val="16"/>
                <w:color w:val="auto"/>
              </w:rPr>
              <w:t>Change in fair value of loan commitments</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7,637,377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899,417</w:t>
            </w:r>
          </w:p>
        </w:tc>
      </w:tr>
      <w:tr>
        <w:trPr>
          <w:trHeight w:val="234"/>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loans held for sale</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10,413,492</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2,498,097</w:t>
            </w:r>
          </w:p>
        </w:tc>
      </w:tr>
      <w:tr>
        <w:trPr>
          <w:trHeight w:val="217"/>
        </w:trPr>
        <w:tc>
          <w:tcPr>
            <w:tcW w:w="3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for loan loss reserve</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(4,938,214)</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(643,284)</w:t>
            </w:r>
          </w:p>
        </w:tc>
      </w:tr>
      <w:tr>
        <w:trPr>
          <w:trHeight w:val="217"/>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Mortgage fee income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298,933,110</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131,976,082</w:t>
            </w:r>
          </w:p>
        </w:tc>
      </w:tr>
      <w:tr>
        <w:trPr>
          <w:trHeight w:val="20"/>
        </w:trPr>
        <w:tc>
          <w:tcPr>
            <w:tcW w:w="3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Loan Loss Reserve</w:t>
      </w:r>
    </w:p>
    <w:p>
      <w:pPr>
        <w:spacing w:after="0" w:line="236"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00"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69" w:name="page70"/>
    <w:bookmarkEnd w:id="6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following is a summary of the loan loss reserve which is included in other liabilities and accrued expenses:</w:t>
      </w:r>
    </w:p>
    <w:p>
      <w:pPr>
        <w:spacing w:after="0" w:line="262"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3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gridSpan w:val="3"/>
          </w:tcPr>
          <w:p>
            <w:pPr>
              <w:ind w:left="660"/>
              <w:spacing w:after="0"/>
              <w:rPr>
                <w:sz w:val="20"/>
                <w:szCs w:val="20"/>
                <w:color w:val="auto"/>
              </w:rPr>
            </w:pPr>
            <w:r>
              <w:rPr>
                <w:rFonts w:ascii="Arial" w:cs="Arial" w:eastAsia="Arial" w:hAnsi="Arial"/>
                <w:sz w:val="16"/>
                <w:szCs w:val="16"/>
                <w:color w:val="auto"/>
                <w:w w:val="89"/>
              </w:rPr>
              <w:t>December 31</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34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2019</w:t>
            </w:r>
          </w:p>
        </w:tc>
      </w:tr>
      <w:tr>
        <w:trPr>
          <w:trHeight w:val="22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4,046,288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3,604,869</w:t>
            </w:r>
          </w:p>
        </w:tc>
      </w:tr>
      <w:tr>
        <w:trPr>
          <w:trHeight w:val="214"/>
        </w:trPr>
        <w:tc>
          <w:tcPr>
            <w:tcW w:w="3420" w:type="dxa"/>
            <w:vAlign w:val="bottom"/>
          </w:tcPr>
          <w:p>
            <w:pPr>
              <w:spacing w:after="0"/>
              <w:rPr>
                <w:sz w:val="20"/>
                <w:szCs w:val="20"/>
                <w:color w:val="auto"/>
              </w:rPr>
            </w:pPr>
            <w:r>
              <w:rPr>
                <w:rFonts w:ascii="Arial" w:cs="Arial" w:eastAsia="Arial" w:hAnsi="Arial"/>
                <w:sz w:val="16"/>
                <w:szCs w:val="16"/>
                <w:color w:val="auto"/>
              </w:rPr>
              <w:t>Provision for current loan originations (1)</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4,938,214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643,284</w:t>
            </w:r>
          </w:p>
        </w:tc>
      </w:tr>
      <w:tr>
        <w:trPr>
          <w:trHeight w:val="234"/>
        </w:trPr>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Additional provision for loan loss reserve</w:t>
            </w: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16,506,030</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Charge-offs, net of recaptured amounts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(4,906,914)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(201,865)</w:t>
            </w:r>
          </w:p>
        </w:tc>
      </w:tr>
      <w:tr>
        <w:trPr>
          <w:trHeight w:val="221"/>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20,583,618</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4,046,288</w:t>
            </w:r>
          </w:p>
        </w:tc>
      </w:tr>
      <w:tr>
        <w:trPr>
          <w:trHeight w:val="20"/>
        </w:trPr>
        <w:tc>
          <w:tcPr>
            <w:tcW w:w="3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5524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450" cy="8255"/>
                    </a:xfrm>
                    <a:prstGeom prst="rect">
                      <a:avLst/>
                    </a:prstGeom>
                    <a:noFill/>
                  </pic:spPr>
                </pic:pic>
              </a:graphicData>
            </a:graphic>
          </wp:anchor>
        </w:drawing>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(1) Included in Mortgage fee income</w:t>
      </w:r>
    </w:p>
    <w:p>
      <w:pPr>
        <w:spacing w:after="0" w:line="244" w:lineRule="exact"/>
        <w:rPr>
          <w:sz w:val="20"/>
          <w:szCs w:val="20"/>
          <w:color w:val="auto"/>
        </w:rPr>
      </w:pPr>
    </w:p>
    <w:p>
      <w:pPr>
        <w:jc w:val="both"/>
        <w:ind w:left="5" w:right="319"/>
        <w:spacing w:after="0" w:line="280" w:lineRule="auto"/>
        <w:rPr>
          <w:sz w:val="20"/>
          <w:szCs w:val="20"/>
          <w:color w:val="auto"/>
        </w:rPr>
      </w:pPr>
      <w:r>
        <w:rPr>
          <w:rFonts w:ascii="Arial" w:cs="Arial" w:eastAsia="Arial" w:hAnsi="Arial"/>
          <w:sz w:val="17"/>
          <w:szCs w:val="17"/>
          <w:color w:val="auto"/>
        </w:rPr>
        <w:t>The Company maintains reserves for estimated losses on current production volumes. For the year ended December 31, 2020, $4,938,214 in reserves were added at a rate of 8.9 basis points per loan, the equivalent of $890 per $1,000,000 in loans originated. This is an increase over the year ended December 31, 2019, when $643,284 in reserves were added at a rate of 2.5 basis points per loan originated, the equivalent of $250 per $1,000,000 in loans originated. The Company also increased its loan loss reserve for the year ended December 31, 2020 by an additional $16,506,030 to account for changes in estimates specific to settlements of loan losses. See Note 10 for additional information regarding mortgage loan loss settlements. The economic impact of COVID-19 and subsequent government action has increased the potential for losses due to early payoff penalties and potential for losses due to increased delinquency. The unique nature of these current events creates significant difficulty for forecasting potential future losses. The Company will continue to monitor data and economic conditions in order to maintain adequate loss reserves on current production. Thus, the Company believes that the final loan loss reserve as of December 31, 2020, represents its best estimate for adequate loss reserves on loans sold.</w:t>
      </w:r>
    </w:p>
    <w:p>
      <w:pPr>
        <w:spacing w:after="0" w:line="196"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70" w:name="page71"/>
    <w:bookmarkEnd w:id="70"/>
    <w:p>
      <w:pPr>
        <w:jc w:val="center"/>
        <w:ind w:right="33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3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3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3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Receivables</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9"/>
          <w:szCs w:val="19"/>
          <w:color w:val="auto"/>
        </w:rPr>
        <w:t>Receivables consist of the following:</w:t>
      </w: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3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color w:val="auto"/>
              </w:rPr>
              <w:t>December 31</w:t>
            </w:r>
          </w:p>
        </w:tc>
        <w:tc>
          <w:tcPr>
            <w:tcW w:w="960" w:type="dxa"/>
            <w:vAlign w:val="bottom"/>
            <w:tcBorders>
              <w:bottom w:val="single" w:sz="8" w:color="auto"/>
            </w:tcBorders>
          </w:tcPr>
          <w:p>
            <w:pPr>
              <w:spacing w:after="0"/>
              <w:rPr>
                <w:sz w:val="18"/>
                <w:szCs w:val="18"/>
                <w:color w:val="auto"/>
              </w:rPr>
            </w:pPr>
          </w:p>
        </w:tc>
      </w:tr>
      <w:tr>
        <w:trPr>
          <w:trHeight w:val="217"/>
        </w:trPr>
        <w:tc>
          <w:tcPr>
            <w:tcW w:w="3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2019</w:t>
            </w:r>
          </w:p>
        </w:tc>
      </w:tr>
      <w:tr>
        <w:trPr>
          <w:trHeight w:val="224"/>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Trade contracts</w:t>
            </w: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4,119,988</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2,795,471</w:t>
            </w:r>
          </w:p>
        </w:tc>
      </w:tr>
      <w:tr>
        <w:trPr>
          <w:trHeight w:val="214"/>
        </w:trPr>
        <w:tc>
          <w:tcPr>
            <w:tcW w:w="3260" w:type="dxa"/>
            <w:vAlign w:val="bottom"/>
          </w:tcPr>
          <w:p>
            <w:pPr>
              <w:spacing w:after="0"/>
              <w:rPr>
                <w:sz w:val="20"/>
                <w:szCs w:val="20"/>
                <w:color w:val="auto"/>
              </w:rPr>
            </w:pPr>
            <w:r>
              <w:rPr>
                <w:rFonts w:ascii="Arial" w:cs="Arial" w:eastAsia="Arial" w:hAnsi="Arial"/>
                <w:sz w:val="16"/>
                <w:szCs w:val="16"/>
                <w:color w:val="auto"/>
              </w:rPr>
              <w:t>Receivables from sales agents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2,677,774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2,962,571</w:t>
            </w:r>
          </w:p>
        </w:tc>
      </w:tr>
      <w:tr>
        <w:trPr>
          <w:trHeight w:val="234"/>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5,786,827</w:t>
            </w:r>
          </w:p>
        </w:tc>
        <w:tc>
          <w:tcPr>
            <w:tcW w:w="2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5,202,444</w:t>
            </w:r>
          </w:p>
        </w:tc>
      </w:tr>
      <w:tr>
        <w:trPr>
          <w:trHeight w:val="207"/>
        </w:trPr>
        <w:tc>
          <w:tcPr>
            <w:tcW w:w="3260" w:type="dxa"/>
            <w:vAlign w:val="bottom"/>
          </w:tcPr>
          <w:p>
            <w:pPr>
              <w:spacing w:after="0"/>
              <w:rPr>
                <w:sz w:val="20"/>
                <w:szCs w:val="20"/>
                <w:color w:val="auto"/>
              </w:rPr>
            </w:pPr>
            <w:r>
              <w:rPr>
                <w:rFonts w:ascii="Arial" w:cs="Arial" w:eastAsia="Arial" w:hAnsi="Arial"/>
                <w:sz w:val="16"/>
                <w:szCs w:val="16"/>
                <w:color w:val="auto"/>
              </w:rPr>
              <w:t>Total receivables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12,584,589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10,960,486</w:t>
            </w:r>
          </w:p>
        </w:tc>
      </w:tr>
      <w:tr>
        <w:trPr>
          <w:trHeight w:val="227"/>
        </w:trPr>
        <w:tc>
          <w:tcPr>
            <w:tcW w:w="3260" w:type="dxa"/>
            <w:vAlign w:val="bottom"/>
            <w:shd w:val="clear" w:color="auto" w:fill="CCEEFF"/>
          </w:tcPr>
          <w:p>
            <w:pPr>
              <w:spacing w:after="0"/>
              <w:rPr>
                <w:sz w:val="20"/>
                <w:szCs w:val="20"/>
                <w:color w:val="auto"/>
              </w:rPr>
            </w:pPr>
            <w:r>
              <w:rPr>
                <w:rFonts w:ascii="Arial" w:cs="Arial" w:eastAsia="Arial" w:hAnsi="Arial"/>
                <w:sz w:val="16"/>
                <w:szCs w:val="16"/>
                <w:color w:val="auto"/>
              </w:rPr>
              <w:t>Allowance for doubtful accounts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(1,685,382)</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(1,724,156)</w:t>
            </w:r>
          </w:p>
        </w:tc>
      </w:tr>
      <w:tr>
        <w:trPr>
          <w:trHeight w:val="221"/>
        </w:trPr>
        <w:tc>
          <w:tcPr>
            <w:tcW w:w="3260" w:type="dxa"/>
            <w:vAlign w:val="bottom"/>
          </w:tcPr>
          <w:p>
            <w:pPr>
              <w:spacing w:after="0"/>
              <w:rPr>
                <w:sz w:val="20"/>
                <w:szCs w:val="20"/>
                <w:color w:val="auto"/>
              </w:rPr>
            </w:pPr>
            <w:r>
              <w:rPr>
                <w:rFonts w:ascii="Arial" w:cs="Arial" w:eastAsia="Arial" w:hAnsi="Arial"/>
                <w:sz w:val="16"/>
                <w:szCs w:val="16"/>
                <w:color w:val="auto"/>
              </w:rPr>
              <w:t>Net receivables</w:t>
            </w:r>
          </w:p>
        </w:tc>
        <w:tc>
          <w:tcPr>
            <w:tcW w:w="4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10,899,207</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9,236,330</w:t>
            </w:r>
          </w:p>
        </w:tc>
      </w:tr>
      <w:tr>
        <w:trPr>
          <w:trHeight w:val="20"/>
        </w:trPr>
        <w:tc>
          <w:tcPr>
            <w:tcW w:w="3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right="3799" w:hanging="5"/>
        <w:spacing w:after="0" w:line="562" w:lineRule="auto"/>
        <w:tabs>
          <w:tab w:leader="none" w:pos="62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 xml:space="preserve">Value of Business Acquired, Intangible Assets and Goodwill </w:t>
      </w:r>
      <w:r>
        <w:rPr>
          <w:rFonts w:ascii="Arial" w:cs="Arial" w:eastAsia="Arial" w:hAnsi="Arial"/>
          <w:sz w:val="17"/>
          <w:szCs w:val="17"/>
          <w:color w:val="auto"/>
        </w:rPr>
        <w:t>Information with regard to value of business acquired was as follows:</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35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color w:val="auto"/>
                <w:w w:val="89"/>
              </w:rPr>
              <w:t>December 31</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7"/>
        </w:trPr>
        <w:tc>
          <w:tcPr>
            <w:tcW w:w="35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w w:val="84"/>
              </w:rPr>
              <w:t>2020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w w:val="84"/>
              </w:rPr>
              <w:t>2019</w:t>
            </w:r>
          </w:p>
        </w:tc>
        <w:tc>
          <w:tcPr>
            <w:tcW w:w="220" w:type="dxa"/>
            <w:vAlign w:val="bottom"/>
            <w:tcBorders>
              <w:bottom w:val="single" w:sz="8" w:color="CCEEFF"/>
            </w:tcBorders>
          </w:tcPr>
          <w:p>
            <w:pPr>
              <w:spacing w:after="0"/>
              <w:rPr>
                <w:sz w:val="18"/>
                <w:szCs w:val="18"/>
                <w:color w:val="auto"/>
              </w:rPr>
            </w:pPr>
          </w:p>
        </w:tc>
      </w:tr>
      <w:tr>
        <w:trPr>
          <w:trHeight w:val="224"/>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9,876,647</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5,765,190</w:t>
            </w:r>
          </w:p>
        </w:tc>
        <w:tc>
          <w:tcPr>
            <w:tcW w:w="220" w:type="dxa"/>
            <w:vAlign w:val="bottom"/>
            <w:shd w:val="clear" w:color="auto" w:fill="CCEEFF"/>
          </w:tcPr>
          <w:p>
            <w:pPr>
              <w:spacing w:after="0"/>
              <w:rPr>
                <w:sz w:val="19"/>
                <w:szCs w:val="19"/>
                <w:color w:val="auto"/>
              </w:rPr>
            </w:pPr>
          </w:p>
        </w:tc>
      </w:tr>
      <w:tr>
        <w:trPr>
          <w:trHeight w:val="211"/>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Value of business acquired</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4,962,831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1"/>
              </w:rPr>
              <w:t>(1)</w:t>
            </w:r>
          </w:p>
        </w:tc>
      </w:tr>
      <w:tr>
        <w:trPr>
          <w:trHeight w:val="224"/>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Imputed interest at 7% included in earnings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670,565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472,916</w:t>
            </w:r>
          </w:p>
        </w:tc>
        <w:tc>
          <w:tcPr>
            <w:tcW w:w="220" w:type="dxa"/>
            <w:vAlign w:val="bottom"/>
            <w:shd w:val="clear" w:color="auto" w:fill="CCEEFF"/>
          </w:tcPr>
          <w:p>
            <w:pPr>
              <w:spacing w:after="0"/>
              <w:rPr>
                <w:sz w:val="19"/>
                <w:szCs w:val="19"/>
                <w:color w:val="auto"/>
              </w:rPr>
            </w:pPr>
          </w:p>
        </w:tc>
      </w:tr>
      <w:tr>
        <w:trPr>
          <w:trHeight w:val="214"/>
        </w:trPr>
        <w:tc>
          <w:tcPr>
            <w:tcW w:w="3540" w:type="dxa"/>
            <w:vAlign w:val="bottom"/>
          </w:tcPr>
          <w:p>
            <w:pPr>
              <w:spacing w:after="0"/>
              <w:rPr>
                <w:sz w:val="20"/>
                <w:szCs w:val="20"/>
                <w:color w:val="auto"/>
              </w:rPr>
            </w:pPr>
            <w:r>
              <w:rPr>
                <w:rFonts w:ascii="Arial" w:cs="Arial" w:eastAsia="Arial" w:hAnsi="Arial"/>
                <w:sz w:val="16"/>
                <w:szCs w:val="16"/>
                <w:color w:val="auto"/>
              </w:rPr>
              <w:t>Amortization included in earnings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(1,457,390)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(1,320,456)</w:t>
            </w:r>
          </w:p>
        </w:tc>
        <w:tc>
          <w:tcPr>
            <w:tcW w:w="220" w:type="dxa"/>
            <w:vAlign w:val="bottom"/>
          </w:tcPr>
          <w:p>
            <w:pPr>
              <w:spacing w:after="0"/>
              <w:rPr>
                <w:sz w:val="18"/>
                <w:szCs w:val="18"/>
                <w:color w:val="auto"/>
              </w:rPr>
            </w:pPr>
          </w:p>
        </w:tc>
      </w:tr>
      <w:tr>
        <w:trPr>
          <w:trHeight w:val="21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Shadow amortization included in other</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1"/>
        </w:trPr>
        <w:tc>
          <w:tcPr>
            <w:tcW w:w="3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comprehensive income</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(134,573)</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(3,834)</w:t>
            </w:r>
          </w:p>
        </w:tc>
        <w:tc>
          <w:tcPr>
            <w:tcW w:w="220" w:type="dxa"/>
            <w:vAlign w:val="bottom"/>
            <w:shd w:val="clear" w:color="auto" w:fill="CCEEFF"/>
          </w:tcPr>
          <w:p>
            <w:pPr>
              <w:spacing w:after="0"/>
              <w:rPr>
                <w:sz w:val="19"/>
                <w:szCs w:val="19"/>
                <w:color w:val="auto"/>
              </w:rPr>
            </w:pPr>
          </w:p>
        </w:tc>
      </w:tr>
      <w:tr>
        <w:trPr>
          <w:trHeight w:val="211"/>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amortization</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(921,398)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(851,374)</w:t>
            </w:r>
          </w:p>
        </w:tc>
        <w:tc>
          <w:tcPr>
            <w:tcW w:w="220" w:type="dxa"/>
            <w:vAlign w:val="bottom"/>
            <w:tcBorders>
              <w:bottom w:val="single" w:sz="8" w:color="CCEEFF"/>
            </w:tcBorders>
          </w:tcPr>
          <w:p>
            <w:pPr>
              <w:spacing w:after="0"/>
              <w:rPr>
                <w:sz w:val="18"/>
                <w:szCs w:val="18"/>
                <w:color w:val="auto"/>
              </w:rPr>
            </w:pPr>
          </w:p>
        </w:tc>
      </w:tr>
      <w:tr>
        <w:trPr>
          <w:trHeight w:val="217"/>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8,955,249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9,876,647</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5276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7685" cy="8255"/>
                    </a:xfrm>
                    <a:prstGeom prst="rect">
                      <a:avLst/>
                    </a:prstGeom>
                    <a:noFill/>
                  </pic:spPr>
                </pic:pic>
              </a:graphicData>
            </a:graphic>
          </wp:anchor>
        </w:drawing>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(1) See Note 20 regarding the acquisition of Kilpatrick Life Insurance Company</w:t>
      </w:r>
    </w:p>
    <w:p>
      <w:pPr>
        <w:spacing w:after="0" w:line="244" w:lineRule="exact"/>
        <w:rPr>
          <w:sz w:val="20"/>
          <w:szCs w:val="20"/>
          <w:color w:val="auto"/>
        </w:rPr>
      </w:pPr>
    </w:p>
    <w:p>
      <w:pPr>
        <w:jc w:val="both"/>
        <w:ind w:left="5" w:right="339"/>
        <w:spacing w:after="0" w:line="256" w:lineRule="auto"/>
        <w:rPr>
          <w:sz w:val="20"/>
          <w:szCs w:val="20"/>
          <w:color w:val="auto"/>
        </w:rPr>
      </w:pPr>
      <w:r>
        <w:rPr>
          <w:rFonts w:ascii="Arial" w:cs="Arial" w:eastAsia="Arial" w:hAnsi="Arial"/>
          <w:sz w:val="19"/>
          <w:szCs w:val="19"/>
          <w:color w:val="auto"/>
        </w:rPr>
        <w:t>Presuming no additional acquisitions, net amortization charged to income is expected to approximate $1,019,000, $918,000, $854,000, $784,000, and $707,000 for the years 2021 through 2026 . Actual amortization may vary based on changes in assumptions or experience. As of December 31, 2020, value of business acquired is being amortized over a weighted average life of 6.9 years.</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carrying value of the Company’s intangible assets were as follows which is included in other assets:</w:t>
      </w: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3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w w:val="93"/>
              </w:rPr>
              <w:t>December 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7"/>
        </w:trPr>
        <w:tc>
          <w:tcPr>
            <w:tcW w:w="33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Useful Life</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2020</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6"/>
                <w:szCs w:val="16"/>
                <w:color w:val="auto"/>
              </w:rPr>
              <w:t>2019</w:t>
            </w:r>
          </w:p>
        </w:tc>
      </w:tr>
      <w:tr>
        <w:trPr>
          <w:trHeight w:val="224"/>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 customer lists</w:t>
            </w:r>
          </w:p>
        </w:tc>
        <w:tc>
          <w:tcPr>
            <w:tcW w:w="13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7"/>
              </w:rPr>
              <w:t>15 years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890,000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890,000</w:t>
            </w:r>
          </w:p>
        </w:tc>
      </w:tr>
      <w:tr>
        <w:trPr>
          <w:trHeight w:val="214"/>
        </w:trPr>
        <w:tc>
          <w:tcPr>
            <w:tcW w:w="3360" w:type="dxa"/>
            <w:vAlign w:val="bottom"/>
          </w:tcPr>
          <w:p>
            <w:pPr>
              <w:spacing w:after="0"/>
              <w:rPr>
                <w:sz w:val="20"/>
                <w:szCs w:val="20"/>
                <w:color w:val="auto"/>
              </w:rPr>
            </w:pPr>
            <w:r>
              <w:rPr>
                <w:rFonts w:ascii="Arial" w:cs="Arial" w:eastAsia="Arial" w:hAnsi="Arial"/>
                <w:sz w:val="16"/>
                <w:szCs w:val="16"/>
                <w:color w:val="auto"/>
              </w:rPr>
              <w:t>Intangible asset - trade name (1)</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7"/>
              </w:rPr>
              <w:t>15 years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610,000</w:t>
            </w:r>
          </w:p>
        </w:tc>
      </w:tr>
      <w:tr>
        <w:trPr>
          <w:trHeight w:val="234"/>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amortization</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(197,334)</w:t>
            </w:r>
          </w:p>
        </w:tc>
        <w:tc>
          <w:tcPr>
            <w:tcW w:w="3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(98,222)</w:t>
            </w:r>
          </w:p>
        </w:tc>
      </w:tr>
      <w:tr>
        <w:trPr>
          <w:trHeight w:val="211"/>
        </w:trPr>
        <w:tc>
          <w:tcPr>
            <w:tcW w:w="3360" w:type="dxa"/>
            <w:vAlign w:val="bottom"/>
          </w:tcPr>
          <w:p>
            <w:pPr>
              <w:spacing w:after="0"/>
              <w:rPr>
                <w:sz w:val="20"/>
                <w:szCs w:val="20"/>
                <w:color w:val="auto"/>
              </w:rPr>
            </w:pPr>
            <w:r>
              <w:rPr>
                <w:rFonts w:ascii="Arial" w:cs="Arial" w:eastAsia="Arial" w:hAnsi="Arial"/>
                <w:sz w:val="16"/>
                <w:szCs w:val="16"/>
                <w:color w:val="auto"/>
              </w:rPr>
              <w:t>Balance at end of year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1,302,666</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1,401,778</w:t>
            </w:r>
          </w:p>
        </w:tc>
      </w:tr>
      <w:tr>
        <w:trPr>
          <w:trHeight w:val="20"/>
        </w:trPr>
        <w:tc>
          <w:tcPr>
            <w:tcW w:w="3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5276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7685" cy="8255"/>
                    </a:xfrm>
                    <a:prstGeom prst="rect">
                      <a:avLst/>
                    </a:prstGeom>
                    <a:noFill/>
                  </pic:spPr>
                </pic:pic>
              </a:graphicData>
            </a:graphic>
          </wp:anchor>
        </w:drawing>
      </w:r>
    </w:p>
    <w:p>
      <w:pPr>
        <w:spacing w:after="0" w:line="207" w:lineRule="exact"/>
        <w:rPr>
          <w:sz w:val="20"/>
          <w:szCs w:val="20"/>
          <w:color w:val="auto"/>
        </w:rPr>
      </w:pPr>
    </w:p>
    <w:p>
      <w:pPr>
        <w:ind w:left="245" w:hanging="232"/>
        <w:spacing w:after="0"/>
        <w:tabs>
          <w:tab w:leader="none" w:pos="2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See Note 20 regarding the acquisition of Kilpatrick Life Insurance Company</w:t>
      </w:r>
    </w:p>
    <w:p>
      <w:pPr>
        <w:spacing w:after="0" w:line="261" w:lineRule="exact"/>
        <w:rPr>
          <w:rFonts w:ascii="Arial" w:cs="Arial" w:eastAsia="Arial" w:hAnsi="Arial"/>
          <w:sz w:val="16"/>
          <w:szCs w:val="16"/>
          <w:color w:val="auto"/>
        </w:rPr>
      </w:pPr>
    </w:p>
    <w:p>
      <w:pPr>
        <w:ind w:left="4345"/>
        <w:spacing w:after="0"/>
        <w:rPr>
          <w:rFonts w:ascii="Arial" w:cs="Arial" w:eastAsia="Arial" w:hAnsi="Arial"/>
          <w:sz w:val="16"/>
          <w:szCs w:val="16"/>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71" w:name="page72"/>
    <w:bookmarkEnd w:id="7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5" w:right="2879" w:hanging="5"/>
        <w:spacing w:after="0" w:line="518" w:lineRule="auto"/>
        <w:tabs>
          <w:tab w:leader="none" w:pos="638"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Value of Business Acquired, Intangible Assets and Goodwill</w:t>
      </w:r>
      <w:r>
        <w:rPr>
          <w:rFonts w:ascii="Arial" w:cs="Arial" w:eastAsia="Arial" w:hAnsi="Arial"/>
          <w:sz w:val="19"/>
          <w:szCs w:val="19"/>
          <w:color w:val="auto"/>
        </w:rPr>
        <w:t xml:space="preserve"> (Continued) Information regarding goodwill by segment was as follows:</w:t>
      </w:r>
    </w:p>
    <w:tbl>
      <w:tblPr>
        <w:tblLayout w:type="fixed"/>
        <w:tblInd w:w="5" w:type="dxa"/>
        <w:tblCellMar>
          <w:top w:w="0" w:type="dxa"/>
          <w:left w:w="0" w:type="dxa"/>
          <w:bottom w:w="0" w:type="dxa"/>
          <w:right w:w="0" w:type="dxa"/>
        </w:tblCellMar>
      </w:tblPr>
      <w:tr>
        <w:trPr>
          <w:trHeight w:val="214"/>
        </w:trPr>
        <w:tc>
          <w:tcPr>
            <w:tcW w:w="30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color w:val="auto"/>
              </w:rPr>
              <w:t>Life Insurance</w:t>
            </w:r>
          </w:p>
        </w:tc>
        <w:tc>
          <w:tcPr>
            <w:tcW w:w="1720" w:type="dxa"/>
            <w:vAlign w:val="bottom"/>
            <w:gridSpan w:val="3"/>
          </w:tcPr>
          <w:p>
            <w:pPr>
              <w:jc w:val="right"/>
              <w:ind w:right="440"/>
              <w:spacing w:after="0"/>
              <w:rPr>
                <w:sz w:val="20"/>
                <w:szCs w:val="20"/>
                <w:color w:val="auto"/>
              </w:rPr>
            </w:pPr>
            <w:r>
              <w:rPr>
                <w:rFonts w:ascii="Arial" w:cs="Arial" w:eastAsia="Arial" w:hAnsi="Arial"/>
                <w:sz w:val="16"/>
                <w:szCs w:val="16"/>
                <w:color w:val="auto"/>
                <w:w w:val="91"/>
              </w:rPr>
              <w:t>Cemetery/Mortuary</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Total</w:t>
            </w:r>
          </w:p>
        </w:tc>
      </w:tr>
      <w:tr>
        <w:trPr>
          <w:trHeight w:val="224"/>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2019:</w:t>
            </w:r>
          </w:p>
        </w:tc>
        <w:tc>
          <w:tcPr>
            <w:tcW w:w="1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6"/>
                <w:szCs w:val="16"/>
                <w:color w:val="auto"/>
              </w:rPr>
              <w:t>Goodwill</w:t>
            </w:r>
          </w:p>
        </w:tc>
        <w:tc>
          <w:tcPr>
            <w:tcW w:w="1100" w:type="dxa"/>
            <w:vAlign w:val="bottom"/>
          </w:tcPr>
          <w:p>
            <w:pPr>
              <w:jc w:val="right"/>
              <w:spacing w:after="0"/>
              <w:rPr>
                <w:sz w:val="20"/>
                <w:szCs w:val="20"/>
                <w:color w:val="auto"/>
              </w:rPr>
            </w:pPr>
            <w:r>
              <w:rPr>
                <w:rFonts w:ascii="Arial" w:cs="Arial" w:eastAsia="Arial" w:hAnsi="Arial"/>
                <w:sz w:val="16"/>
                <w:szCs w:val="16"/>
                <w:color w:val="auto"/>
              </w:rPr>
              <w:t>$ 2,765,570</w:t>
            </w:r>
          </w:p>
        </w:tc>
        <w:tc>
          <w:tcPr>
            <w:tcW w:w="24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$ 2,765,570</w:t>
            </w:r>
          </w:p>
        </w:tc>
      </w:tr>
      <w:tr>
        <w:trPr>
          <w:trHeight w:val="234"/>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Accumulated impairment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060" w:type="dxa"/>
            <w:vAlign w:val="bottom"/>
          </w:tcPr>
          <w:p>
            <w:pPr>
              <w:ind w:left="40"/>
              <w:spacing w:after="0"/>
              <w:rPr>
                <w:sz w:val="20"/>
                <w:szCs w:val="20"/>
                <w:color w:val="auto"/>
              </w:rPr>
            </w:pPr>
            <w:r>
              <w:rPr>
                <w:rFonts w:ascii="Arial" w:cs="Arial" w:eastAsia="Arial" w:hAnsi="Arial"/>
                <w:sz w:val="16"/>
                <w:szCs w:val="16"/>
                <w:color w:val="auto"/>
              </w:rPr>
              <w:t>Total goodwill, net</w:t>
            </w:r>
          </w:p>
        </w:tc>
        <w:tc>
          <w:tcPr>
            <w:tcW w:w="1100" w:type="dxa"/>
            <w:vAlign w:val="bottom"/>
          </w:tcPr>
          <w:p>
            <w:pPr>
              <w:jc w:val="right"/>
              <w:spacing w:after="0"/>
              <w:rPr>
                <w:sz w:val="20"/>
                <w:szCs w:val="20"/>
                <w:color w:val="auto"/>
              </w:rPr>
            </w:pPr>
            <w:r>
              <w:rPr>
                <w:rFonts w:ascii="Arial" w:cs="Arial" w:eastAsia="Arial" w:hAnsi="Arial"/>
                <w:sz w:val="16"/>
                <w:szCs w:val="16"/>
                <w:color w:val="auto"/>
              </w:rPr>
              <w:t>2,765,570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2,765,570</w:t>
            </w:r>
          </w:p>
        </w:tc>
      </w:tr>
      <w:tr>
        <w:trPr>
          <w:trHeight w:val="234"/>
        </w:trPr>
        <w:tc>
          <w:tcPr>
            <w:tcW w:w="30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6"/>
                <w:szCs w:val="16"/>
                <w:color w:val="auto"/>
              </w:rPr>
              <w:t>Acquisition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6"/>
                <w:szCs w:val="16"/>
                <w:color w:val="auto"/>
              </w:rPr>
              <w:t>754,018(1)</w:t>
            </w:r>
          </w:p>
        </w:tc>
        <w:tc>
          <w:tcPr>
            <w:tcW w:w="1240" w:type="dxa"/>
            <w:vAlign w:val="bottom"/>
          </w:tcPr>
          <w:p>
            <w:pPr>
              <w:jc w:val="right"/>
              <w:spacing w:after="0"/>
              <w:rPr>
                <w:sz w:val="20"/>
                <w:szCs w:val="20"/>
                <w:color w:val="auto"/>
              </w:rPr>
            </w:pPr>
            <w:r>
              <w:rPr>
                <w:rFonts w:ascii="Arial" w:cs="Arial" w:eastAsia="Arial" w:hAnsi="Arial"/>
                <w:sz w:val="16"/>
                <w:szCs w:val="16"/>
                <w:color w:val="auto"/>
              </w:rPr>
              <w:t>754,018</w:t>
            </w:r>
          </w:p>
        </w:tc>
      </w:tr>
      <w:tr>
        <w:trPr>
          <w:trHeight w:val="234"/>
        </w:trPr>
        <w:tc>
          <w:tcPr>
            <w:tcW w:w="306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7"/>
        </w:trPr>
        <w:tc>
          <w:tcPr>
            <w:tcW w:w="306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2,765,570</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754,018</w:t>
            </w: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3,519,588</w:t>
            </w:r>
          </w:p>
        </w:tc>
      </w:tr>
      <w:tr>
        <w:trPr>
          <w:trHeight w:val="217"/>
        </w:trPr>
        <w:tc>
          <w:tcPr>
            <w:tcW w:w="3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 net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2,765,570</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754,018</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3,519,588</w:t>
            </w:r>
          </w:p>
        </w:tc>
      </w:tr>
      <w:tr>
        <w:trPr>
          <w:trHeight w:val="224"/>
        </w:trPr>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Acquisition</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30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17"/>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6"/>
                <w:szCs w:val="16"/>
                <w:color w:val="auto"/>
              </w:rPr>
              <w:t>Goodwill</w:t>
            </w:r>
          </w:p>
        </w:tc>
        <w:tc>
          <w:tcPr>
            <w:tcW w:w="1100" w:type="dxa"/>
            <w:vAlign w:val="bottom"/>
          </w:tcPr>
          <w:p>
            <w:pPr>
              <w:jc w:val="right"/>
              <w:spacing w:after="0"/>
              <w:rPr>
                <w:sz w:val="20"/>
                <w:szCs w:val="20"/>
                <w:color w:val="auto"/>
              </w:rPr>
            </w:pPr>
            <w:r>
              <w:rPr>
                <w:rFonts w:ascii="Arial" w:cs="Arial" w:eastAsia="Arial" w:hAnsi="Arial"/>
                <w:sz w:val="16"/>
                <w:szCs w:val="16"/>
                <w:color w:val="auto"/>
              </w:rPr>
              <w:t>2,765,570</w:t>
            </w: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754,018</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3,519,588</w:t>
            </w:r>
          </w:p>
        </w:tc>
      </w:tr>
      <w:tr>
        <w:trPr>
          <w:trHeight w:val="227"/>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Accumulated impairment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3060" w:type="dxa"/>
            <w:vAlign w:val="bottom"/>
          </w:tcPr>
          <w:p>
            <w:pPr>
              <w:ind w:left="40"/>
              <w:spacing w:after="0"/>
              <w:rPr>
                <w:sz w:val="20"/>
                <w:szCs w:val="20"/>
                <w:color w:val="auto"/>
              </w:rPr>
            </w:pPr>
            <w:r>
              <w:rPr>
                <w:rFonts w:ascii="Arial" w:cs="Arial" w:eastAsia="Arial" w:hAnsi="Arial"/>
                <w:sz w:val="16"/>
                <w:szCs w:val="16"/>
                <w:color w:val="auto"/>
              </w:rPr>
              <w:t>Total goodwill, net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$ 2,765,570</w:t>
            </w:r>
          </w:p>
        </w:tc>
        <w:tc>
          <w:tcPr>
            <w:tcW w:w="240" w:type="dxa"/>
            <w:vAlign w:val="bottom"/>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$ 754,018</w:t>
            </w:r>
          </w:p>
        </w:tc>
        <w:tc>
          <w:tcPr>
            <w:tcW w:w="4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$ 3,519,588</w:t>
            </w:r>
          </w:p>
        </w:tc>
      </w:tr>
      <w:tr>
        <w:trPr>
          <w:trHeight w:val="20"/>
        </w:trPr>
        <w:tc>
          <w:tcPr>
            <w:tcW w:w="3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527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7685" cy="8255"/>
                    </a:xfrm>
                    <a:prstGeom prst="rect">
                      <a:avLst/>
                    </a:prstGeom>
                    <a:noFill/>
                  </pic:spPr>
                </pic:pic>
              </a:graphicData>
            </a:graphic>
          </wp:anchor>
        </w:drawing>
      </w:r>
    </w:p>
    <w:p>
      <w:pPr>
        <w:spacing w:after="0" w:line="207" w:lineRule="exact"/>
        <w:rPr>
          <w:sz w:val="20"/>
          <w:szCs w:val="20"/>
          <w:color w:val="auto"/>
        </w:rPr>
      </w:pPr>
    </w:p>
    <w:p>
      <w:pPr>
        <w:ind w:left="5" w:right="2179" w:firstLine="8"/>
        <w:spacing w:after="0" w:line="280" w:lineRule="auto"/>
        <w:tabs>
          <w:tab w:leader="none" w:pos="229"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Note 20 regarding the acquisition of Probst Family Funerals and Cremations and Heber Valley Funeral Home</w:t>
      </w:r>
    </w:p>
    <w:p>
      <w:pPr>
        <w:spacing w:after="0" w:line="197"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Goodwill of $3,519,588 is not amortized but is tested annually for impairment. The annual impairment tests resulted in no impairment of goodwill for the years ended December 31, 2020 and 2019.</w:t>
      </w:r>
    </w:p>
    <w:p>
      <w:pPr>
        <w:spacing w:after="0" w:line="289" w:lineRule="exact"/>
        <w:rPr>
          <w:sz w:val="20"/>
          <w:szCs w:val="20"/>
          <w:color w:val="auto"/>
        </w:rPr>
      </w:pPr>
    </w:p>
    <w:p>
      <w:pPr>
        <w:ind w:left="625" w:hanging="625"/>
        <w:spacing w:after="0"/>
        <w:tabs>
          <w:tab w:leader="none" w:pos="62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Property and Equipment</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cost of property and equipment is summarized below:</w:t>
      </w:r>
    </w:p>
    <w:p>
      <w:pPr>
        <w:spacing w:after="0" w:line="144"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3"/>
          </w:tcPr>
          <w:p>
            <w:pPr>
              <w:jc w:val="right"/>
              <w:ind w:right="61"/>
              <w:spacing w:after="0"/>
              <w:rPr>
                <w:sz w:val="20"/>
                <w:szCs w:val="20"/>
                <w:color w:val="auto"/>
              </w:rPr>
            </w:pPr>
            <w:r>
              <w:rPr>
                <w:rFonts w:ascii="Arial" w:cs="Arial" w:eastAsia="Arial" w:hAnsi="Arial"/>
                <w:sz w:val="16"/>
                <w:szCs w:val="16"/>
                <w:color w:val="auto"/>
              </w:rPr>
              <w:t>December 31</w:t>
            </w:r>
          </w:p>
        </w:tc>
        <w:tc>
          <w:tcPr>
            <w:tcW w:w="940" w:type="dxa"/>
            <w:vAlign w:val="bottom"/>
          </w:tcPr>
          <w:p>
            <w:pPr>
              <w:spacing w:after="0"/>
              <w:rPr>
                <w:sz w:val="17"/>
                <w:szCs w:val="17"/>
                <w:color w:val="auto"/>
              </w:rPr>
            </w:pPr>
          </w:p>
        </w:tc>
      </w:tr>
      <w:tr>
        <w:trPr>
          <w:trHeight w:val="237"/>
        </w:trPr>
        <w:tc>
          <w:tcPr>
            <w:tcW w:w="3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2019</w:t>
            </w:r>
          </w:p>
        </w:tc>
      </w:tr>
      <w:tr>
        <w:trPr>
          <w:trHeight w:val="224"/>
        </w:trPr>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Land and buildings</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11,972,802</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15,131,301</w:t>
            </w:r>
          </w:p>
        </w:tc>
      </w:tr>
      <w:tr>
        <w:trPr>
          <w:trHeight w:val="217"/>
        </w:trPr>
        <w:tc>
          <w:tcPr>
            <w:tcW w:w="3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Furniture and equipment</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19,679,682</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18,987,984</w:t>
            </w:r>
          </w:p>
        </w:tc>
      </w:tr>
      <w:tr>
        <w:trPr>
          <w:trHeight w:val="224"/>
        </w:trPr>
        <w:tc>
          <w:tcPr>
            <w:tcW w:w="3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31,652,484</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34,119,285</w:t>
            </w:r>
          </w:p>
        </w:tc>
      </w:tr>
      <w:tr>
        <w:trPr>
          <w:trHeight w:val="217"/>
        </w:trPr>
        <w:tc>
          <w:tcPr>
            <w:tcW w:w="3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depreciation</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(19,179,139)</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(19,518,891)</w:t>
            </w:r>
          </w:p>
        </w:tc>
      </w:tr>
      <w:tr>
        <w:trPr>
          <w:trHeight w:val="217"/>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12,473,345</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14,600,394</w:t>
            </w:r>
          </w:p>
        </w:tc>
      </w:tr>
      <w:tr>
        <w:trPr>
          <w:trHeight w:val="20"/>
        </w:trPr>
        <w:tc>
          <w:tcPr>
            <w:tcW w:w="3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left="5" w:right="319"/>
        <w:spacing w:after="0" w:line="267" w:lineRule="auto"/>
        <w:rPr>
          <w:sz w:val="20"/>
          <w:szCs w:val="20"/>
          <w:color w:val="auto"/>
        </w:rPr>
      </w:pPr>
      <w:r>
        <w:rPr>
          <w:rFonts w:ascii="Arial" w:cs="Arial" w:eastAsia="Arial" w:hAnsi="Arial"/>
          <w:sz w:val="18"/>
          <w:szCs w:val="18"/>
          <w:color w:val="auto"/>
        </w:rPr>
        <w:t>Depreciation expense for the years ended December 31, 2020 and 2019 was $2,078,738 and $1,711,369, respectively. During 2020, the Company demolished a building with a gross building cost of $1,723,000 with its associated accumulated depreciation (net book value of $-0-) and transferred land with a cost of $1,516,700 to real estate held for investment to make way for phase 2 of the redevelopment and expansion of Center53. During 2019, the Company transferred $3,261,259 from real estate held for investment to property and equipment. The transfers are shown as a non cash items on the consolidated statements of cash flows. See Note 20 for additional information regarding property and equipment acquired through acquisitions.</w:t>
      </w:r>
    </w:p>
    <w:p>
      <w:pPr>
        <w:spacing w:after="0" w:line="199"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72" w:name="page73"/>
    <w:bookmarkEnd w:id="72"/>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20"/>
                <w:szCs w:val="20"/>
                <w:color w:val="auto"/>
              </w:rPr>
            </w:pPr>
            <w:r>
              <w:rPr>
                <w:rFonts w:ascii="Arial" w:cs="Arial" w:eastAsia="Arial" w:hAnsi="Arial"/>
                <w:sz w:val="19"/>
                <w:szCs w:val="19"/>
                <w:color w:val="auto"/>
                <w:w w:val="82"/>
              </w:rPr>
              <w:t>7)</w:t>
            </w:r>
          </w:p>
        </w:tc>
        <w:tc>
          <w:tcPr>
            <w:tcW w:w="460" w:type="dxa"/>
            <w:vAlign w:val="bottom"/>
          </w:tcPr>
          <w:p>
            <w:pPr>
              <w:spacing w:after="0"/>
              <w:rPr>
                <w:sz w:val="19"/>
                <w:szCs w:val="19"/>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2"/>
              </w:rPr>
              <w:t>Bank and Other Loans Payable</w:t>
            </w: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41"/>
        </w:trPr>
        <w:tc>
          <w:tcPr>
            <w:tcW w:w="6440" w:type="dxa"/>
            <w:vAlign w:val="bottom"/>
            <w:gridSpan w:val="4"/>
          </w:tcPr>
          <w:p>
            <w:pPr>
              <w:spacing w:after="0"/>
              <w:rPr>
                <w:sz w:val="20"/>
                <w:szCs w:val="20"/>
                <w:color w:val="auto"/>
              </w:rPr>
            </w:pPr>
            <w:r>
              <w:rPr>
                <w:rFonts w:ascii="Arial" w:cs="Arial" w:eastAsia="Arial" w:hAnsi="Arial"/>
                <w:sz w:val="19"/>
                <w:szCs w:val="19"/>
                <w:color w:val="auto"/>
              </w:rPr>
              <w:t>Bank and other loans payable are summarized as follows: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1"/>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6"/>
                <w:szCs w:val="16"/>
                <w:color w:val="auto"/>
              </w:rPr>
              <w:t>December 31</w:t>
            </w:r>
          </w:p>
        </w:tc>
      </w:tr>
      <w:tr>
        <w:trPr>
          <w:trHeight w:val="217"/>
        </w:trPr>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2020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2019</w:t>
            </w:r>
          </w:p>
        </w:tc>
      </w:tr>
      <w:tr>
        <w:trPr>
          <w:trHeight w:val="188"/>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8"/>
              </w:rPr>
              <w:t>2.25% above the monthly LIBOR rate plus 1/16th of the monthly LIBOR rate note payable in</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8"/>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w w:val="99"/>
              </w:rPr>
              <w:t>monthly principal payments of $13,167 plus interest, collateralized by real property, paid in</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full November 2020.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2,659,769</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8"/>
              </w:rPr>
              <w:t>4.27% fixed note payable in monthly installments of $53,881 including principal and interest,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64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collateralized by shares of Security National Life Insurance Company stock, due</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December 2021.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1,238,619</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Prime rate note payable in monthly installments of $75,108 including principal and interest,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collateralized by shares of Security National Life Insurance Company stock, due</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December 2024.</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3,257,113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8"/>
              </w:rPr>
              <w:t>4.40% fixed note payable in monthly installments of $46,825 including principal and interest,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collateralized by real property, paid in full April 2020.</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7,247,651</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8"/>
              </w:rPr>
              <w:t>4.329% fixed note payable in monthly installments of $9,775 including principal and interest,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collateralized by real property with a book value of approximately $3,174,000, due</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September 2025.</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1,861,920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1,896,450</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8"/>
              </w:rPr>
              <w:t>2.5% above the monthly LIBOR rate plus 1/16th of the monthly LIBOR rate construction loan</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w w:val="94"/>
              </w:rPr>
              <w:t>payable in monthly principal payments of $113,000 plus interest, collateralized by real property</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with a book value of approximately $50,689,000, due March 2021.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35,091,364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33,811,559</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5"/>
              </w:rPr>
              <w:t>4.7865% fixed interest only note payable in monthly installments, collateralized by real property</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with a book value of approximately $17,655,000, due June 2028.</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9,200,000</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1 month LIBOR rate plus 2.1% loan purchase agreement with a warehouse line availability of</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$150,000,000, matures June 2021.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116,598,834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88,509,536</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9"/>
              </w:rPr>
              <w:t>1 month LIBOR rate plus 3% loan purchase agreement with a warehouse line availability of</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$175,000,000, matures November 2021.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68,766,572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67,537,600</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1 month LIBOR rate plus 2.5% loan purchase agreement with a warehouse line availability of</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$90,000,000, matures May 2021.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60,715,374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1"/>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1 month LIBOR rate plus 2.5% loan purchase agreement with a warehouse line availability of</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6440" w:type="dxa"/>
            <w:vAlign w:val="bottom"/>
            <w:gridSpan w:val="4"/>
            <w:shd w:val="clear" w:color="auto" w:fill="CCEEFF"/>
          </w:tcPr>
          <w:p>
            <w:pPr>
              <w:ind w:left="80"/>
              <w:spacing w:after="0"/>
              <w:rPr>
                <w:sz w:val="20"/>
                <w:szCs w:val="20"/>
                <w:color w:val="auto"/>
              </w:rPr>
            </w:pPr>
            <w:r>
              <w:rPr>
                <w:rFonts w:ascii="Arial" w:cs="Arial" w:eastAsia="Arial" w:hAnsi="Arial"/>
                <w:sz w:val="16"/>
                <w:szCs w:val="16"/>
                <w:color w:val="auto"/>
              </w:rPr>
              <w:t>$5,000,000, matures August 2021.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Other short-term borrowings (1)</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1,250,000</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104,951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153,439</w:t>
            </w:r>
          </w:p>
        </w:tc>
      </w:tr>
      <w:tr>
        <w:trPr>
          <w:trHeight w:val="224"/>
        </w:trPr>
        <w:tc>
          <w:tcPr>
            <w:tcW w:w="620" w:type="dxa"/>
            <w:vAlign w:val="bottom"/>
            <w:gridSpan w:val="2"/>
          </w:tcPr>
          <w:p>
            <w:pPr>
              <w:spacing w:after="0"/>
              <w:rPr>
                <w:sz w:val="19"/>
                <w:szCs w:val="19"/>
                <w:color w:val="auto"/>
              </w:rPr>
            </w:pPr>
          </w:p>
        </w:tc>
        <w:tc>
          <w:tcPr>
            <w:tcW w:w="2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64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Other loans payable</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26,768</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67,989</w:t>
            </w:r>
          </w:p>
        </w:tc>
      </w:tr>
      <w:tr>
        <w:trPr>
          <w:trHeight w:val="207"/>
        </w:trPr>
        <w:tc>
          <w:tcPr>
            <w:tcW w:w="16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6"/>
                <w:szCs w:val="16"/>
                <w:color w:val="auto"/>
              </w:rPr>
              <w:t>Total bank and other loans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297,824,368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5"/>
              </w:rPr>
              <w:t>217,572,612</w:t>
            </w:r>
          </w:p>
        </w:tc>
      </w:tr>
      <w:tr>
        <w:trPr>
          <w:trHeight w:val="234"/>
        </w:trPr>
        <w:tc>
          <w:tcPr>
            <w:tcW w:w="620" w:type="dxa"/>
            <w:vAlign w:val="bottom"/>
            <w:gridSpan w:val="2"/>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7"/>
        </w:trPr>
        <w:tc>
          <w:tcPr>
            <w:tcW w:w="644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Less current installments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284,250,996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192,985,602</w:t>
            </w:r>
          </w:p>
        </w:tc>
      </w:tr>
      <w:tr>
        <w:trPr>
          <w:trHeight w:val="221"/>
        </w:trPr>
        <w:tc>
          <w:tcPr>
            <w:tcW w:w="6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Bank and other loans, excluding current installments</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13,573,372</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24,587,010</w:t>
            </w: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(1) Revolving Line of Credit</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5628005"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73" w:name="page74"/>
    <w:bookmarkEnd w:id="7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Bank and Other Loans Payable</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Sources of Liquidity</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Federal Home Loan Bank Membership</w:t>
      </w:r>
    </w:p>
    <w:p>
      <w:pPr>
        <w:spacing w:after="0" w:line="23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i w:val="1"/>
          <w:iCs w:val="1"/>
          <w:color w:val="auto"/>
        </w:rPr>
        <w:t>Federal Home Loan Bank of Des Moines</w:t>
      </w:r>
    </w:p>
    <w:p>
      <w:pPr>
        <w:spacing w:after="0" w:line="230"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color w:val="auto"/>
        </w:rPr>
        <w:t>At December 31, 2020, the amount available for borrowings from the FHLB of Des Moines was approximately $39,102,336, compared with $57,727,738 at December 31, 2019. United States Treasury fixed maturity securities with an estimated fair value of $40,729,400 at December 31, 2020 have been pledged at the FHLB of Des Moines as collateral for current and potential borrowings compared with $59,877,900 at December 31, 2019. At December 31, 2020 and 2019, the Company had no outstanding FHLB borrowings. At December 31, 2020, the Company’s total investment in FHLB stock was $786,300 compared with $806,500 at December 31, 2019. The Company’s decreased investment in FHLB stock was a result of its decrease in short-term FHLB borrowings during 2020.</w:t>
      </w:r>
    </w:p>
    <w:p>
      <w:pPr>
        <w:spacing w:after="0" w:line="197" w:lineRule="exact"/>
        <w:rPr>
          <w:sz w:val="20"/>
          <w:szCs w:val="20"/>
          <w:color w:val="auto"/>
        </w:rPr>
      </w:pPr>
    </w:p>
    <w:p>
      <w:pPr>
        <w:ind w:left="5"/>
        <w:spacing w:after="0"/>
        <w:rPr>
          <w:sz w:val="20"/>
          <w:szCs w:val="20"/>
          <w:color w:val="auto"/>
        </w:rPr>
      </w:pPr>
      <w:r>
        <w:rPr>
          <w:rFonts w:ascii="Arial" w:cs="Arial" w:eastAsia="Arial" w:hAnsi="Arial"/>
          <w:sz w:val="19"/>
          <w:szCs w:val="19"/>
          <w:i w:val="1"/>
          <w:iCs w:val="1"/>
          <w:color w:val="auto"/>
        </w:rPr>
        <w:t>Federal Home Loan Bank of Dallas</w:t>
      </w:r>
    </w:p>
    <w:p>
      <w:pPr>
        <w:spacing w:after="0" w:line="230"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membership of the FHLB of Dallas was acquired with the acquisition of Kilpatrick Life Insurance Company. See Note 20 regarding this acquisition. At December 31, 2020, the Company’s total investment in FHLB stock was $1,720,300 compared with $87,800 at December 31, 2019. The Company does not have any collateral pledged at the FHLB of Dallas or any outstanding borrowings.</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Revolving Lines of Credit</w:t>
      </w:r>
    </w:p>
    <w:p>
      <w:pPr>
        <w:spacing w:after="0" w:line="230"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color w:val="auto"/>
        </w:rPr>
        <w:t>The Company has a $2,000,000 revolving line-of-credit with a bank with interest payable at the prime rate minus .75%, secured by the capital stock of Security National Life and maturing September 30, 2021, renewable annually. At December 31, 2020, the Company was contingently liable under a standby letter of credit aggregating $348,183, to be used as collateral to cover any contingency related to additional risk assessments pertaining to the Company's captive insurance program and was contingently liable under standby letters of credit aggregating $1,585,063, to be used as collateral for residential subdivision land developments. The standby letters of credit will draw on the line of credit if necessary. The Company does not expect any material losses to result from the issuance of the standby letters of credit. As of December 31, 2020, there were no amounts outstanding under the revolving line-of-credit.</w:t>
      </w:r>
    </w:p>
    <w:p>
      <w:pPr>
        <w:spacing w:after="0" w:line="194"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Company also has a $2,500,000 revolving line-of-credit with a bank with interest payable at the overnight LIBOR rate plus 2.25% maturing September 30, 2021. As of December 31, 2020, there was $1,250,000 outstanding under the revolving line-of-credit.</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Debt Covenants for Mortgage Warehouse Lines of Credit</w:t>
      </w:r>
    </w:p>
    <w:p>
      <w:pPr>
        <w:spacing w:after="0" w:line="23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through its subsidiary SecurityNational Mortgage, has a $150,000,000 line of credit with Wells Fargo Bank N.A. The agreement charges interest at the 1-Month LIBOR rate plus 2.1% and matures on June 24, 2021.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21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74" w:name="page75"/>
    <w:bookmarkEnd w:id="7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Bank and Other Loans Payable</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The Company, through its subsidiary SecurityNational Mortgage, has a line of credit with Texas Capital Bank N.A. This agreement with the bank allows SecurityNational Mortgage to borrow up to $175,000,000 for the sole purpose of funding mortgage loans. The agreement charges interest at the 1-Month LIBOR rate plus 3% and matures on November 15,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78"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The Company through its subsidiary SecurityNational Mortgage, has a line of credit with Comerica Bank. This agreement with the bank allows SecurityNational Mortgage to borrow up to $90,000,000 for the sole purpose of funding mortgage loans. The agreement charges interest at the 1-Month LIBOR rate plus 2.5% and matures on May 27, 2021.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93"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The Company, through its subsidiary EverLEND Mortgage, has a line of credit with Texas Capital Bank N.A. This agreement with the bank allows EverLEND Mortgage to borrow up to $5,000,000 for the sole purpose of funding mortgage loans. The agreement charges interest at the 1-Month LIBOR rate plus 2.5% and matures on August 1,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93" w:lineRule="exact"/>
        <w:rPr>
          <w:sz w:val="20"/>
          <w:szCs w:val="20"/>
          <w:color w:val="auto"/>
        </w:rPr>
      </w:pPr>
    </w:p>
    <w:p>
      <w:pPr>
        <w:jc w:val="both"/>
        <w:ind w:left="5" w:right="339"/>
        <w:spacing w:after="0" w:line="261" w:lineRule="auto"/>
        <w:rPr>
          <w:sz w:val="20"/>
          <w:szCs w:val="20"/>
          <w:color w:val="auto"/>
        </w:rPr>
      </w:pPr>
      <w:r>
        <w:rPr>
          <w:rFonts w:ascii="Arial" w:cs="Arial" w:eastAsia="Arial" w:hAnsi="Arial"/>
          <w:sz w:val="19"/>
          <w:szCs w:val="19"/>
          <w:color w:val="auto"/>
        </w:rPr>
        <w:t>The agreements for warehouse lines include cross default provisions in that a covenant violation under one agreement constitutes a covenant violation under the other agreement. As of December 31, 2020, the Company believes that it was in compliance with all debt covenants.</w:t>
      </w:r>
    </w:p>
    <w:p>
      <w:pPr>
        <w:spacing w:after="0" w:line="184"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tabulation shows the combined maturities of bank and other loans payable:</w:t>
      </w:r>
    </w:p>
    <w:p>
      <w:pPr>
        <w:spacing w:after="0" w:line="247" w:lineRule="exact"/>
        <w:rPr>
          <w:sz w:val="20"/>
          <w:szCs w:val="20"/>
          <w:color w:val="auto"/>
        </w:rPr>
      </w:pPr>
    </w:p>
    <w:tbl>
      <w:tblPr>
        <w:tblLayout w:type="fixed"/>
        <w:tblInd w:w="5" w:type="dxa"/>
        <w:tblCellMar>
          <w:top w:w="0" w:type="dxa"/>
          <w:left w:w="0" w:type="dxa"/>
          <w:bottom w:w="0" w:type="dxa"/>
          <w:right w:w="0" w:type="dxa"/>
        </w:tblCellMar>
      </w:tblPr>
      <w:tr>
        <w:trPr>
          <w:trHeight w:val="22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284,242,327</w:t>
            </w:r>
          </w:p>
        </w:tc>
      </w:tr>
      <w:tr>
        <w:trPr>
          <w:trHeight w:val="214"/>
        </w:trPr>
        <w:tc>
          <w:tcPr>
            <w:tcW w:w="3760" w:type="dxa"/>
            <w:vAlign w:val="bottom"/>
          </w:tcPr>
          <w:p>
            <w:pPr>
              <w:spacing w:after="0"/>
              <w:rPr>
                <w:sz w:val="20"/>
                <w:szCs w:val="20"/>
                <w:color w:val="auto"/>
              </w:rPr>
            </w:pPr>
            <w:r>
              <w:rPr>
                <w:rFonts w:ascii="Arial" w:cs="Arial" w:eastAsia="Arial" w:hAnsi="Arial"/>
                <w:sz w:val="16"/>
                <w:szCs w:val="16"/>
                <w:color w:val="auto"/>
              </w:rPr>
              <w:t>2022</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884,383</w:t>
            </w:r>
          </w:p>
        </w:tc>
      </w:tr>
      <w:tr>
        <w:trPr>
          <w:trHeight w:val="23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926,186</w:t>
            </w:r>
          </w:p>
        </w:tc>
      </w:tr>
      <w:tr>
        <w:trPr>
          <w:trHeight w:val="214"/>
        </w:trPr>
        <w:tc>
          <w:tcPr>
            <w:tcW w:w="3760" w:type="dxa"/>
            <w:vAlign w:val="bottom"/>
          </w:tcPr>
          <w:p>
            <w:pPr>
              <w:spacing w:after="0"/>
              <w:rPr>
                <w:sz w:val="20"/>
                <w:szCs w:val="20"/>
                <w:color w:val="auto"/>
              </w:rPr>
            </w:pPr>
            <w:r>
              <w:rPr>
                <w:rFonts w:ascii="Arial" w:cs="Arial" w:eastAsia="Arial" w:hAnsi="Arial"/>
                <w:sz w:val="16"/>
                <w:szCs w:val="16"/>
                <w:color w:val="auto"/>
              </w:rPr>
              <w:t>2024</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937,315</w:t>
            </w:r>
          </w:p>
        </w:tc>
      </w:tr>
      <w:tr>
        <w:trPr>
          <w:trHeight w:val="234"/>
        </w:trPr>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1,634,157</w:t>
            </w:r>
          </w:p>
        </w:tc>
      </w:tr>
      <w:tr>
        <w:trPr>
          <w:trHeight w:val="217"/>
        </w:trPr>
        <w:tc>
          <w:tcPr>
            <w:tcW w:w="3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9,200,000</w:t>
            </w:r>
          </w:p>
        </w:tc>
      </w:tr>
      <w:tr>
        <w:trPr>
          <w:trHeight w:val="22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297,824,368</w:t>
            </w:r>
          </w:p>
        </w:tc>
      </w:tr>
      <w:tr>
        <w:trPr>
          <w:trHeight w:val="20"/>
        </w:trPr>
        <w:tc>
          <w:tcPr>
            <w:tcW w:w="3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Interest expense in 2020 and 2019 was $8,578,810 and $7,386,688, respectively. Interest paid in 2020 and 2019 was $8,385,270 and $7,284,078, respectively.</w:t>
      </w:r>
    </w:p>
    <w:p>
      <w:pPr>
        <w:spacing w:after="0" w:line="18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75" w:name="page76"/>
    <w:bookmarkEnd w:id="75"/>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Cemetery Perpetual Care Trust Investments and Obligation and Restricted Assets</w:t>
      </w:r>
    </w:p>
    <w:p>
      <w:pPr>
        <w:spacing w:after="0" w:line="230" w:lineRule="exact"/>
        <w:rPr>
          <w:sz w:val="20"/>
          <w:szCs w:val="20"/>
          <w:color w:val="auto"/>
        </w:rPr>
      </w:pPr>
    </w:p>
    <w:p>
      <w:pPr>
        <w:jc w:val="both"/>
        <w:ind w:left="5" w:right="319"/>
        <w:spacing w:after="0" w:line="251" w:lineRule="auto"/>
        <w:rPr>
          <w:sz w:val="20"/>
          <w:szCs w:val="20"/>
          <w:color w:val="auto"/>
        </w:rPr>
      </w:pPr>
      <w:r>
        <w:rPr>
          <w:rFonts w:ascii="Arial" w:cs="Arial" w:eastAsia="Arial" w:hAnsi="Arial"/>
          <w:sz w:val="19"/>
          <w:szCs w:val="19"/>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9"/>
          <w:szCs w:val="19"/>
          <w:i w:val="1"/>
          <w:iCs w:val="1"/>
          <w:color w:val="auto"/>
        </w:rPr>
        <w:t>.</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components of the cemetery perpetual care investments and obligation are as follows: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2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89"/>
              </w:rPr>
              <w:t>2020</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89"/>
              </w:rPr>
              <w:t>2019</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402,913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1,306,740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9"/>
              </w:rPr>
              <w:t>Fixed maturity securities, available for sale, at estimated fair value</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747,767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975,673</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2,062,303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1,605,451</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Commerical mortgage loans held for investment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524,000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Participating interests in residential construction mortgage loans</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held for investment with Security National Life</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1,468,600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1,731,584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receivables from Cottonwood Mortuary, Singing Hills</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Cemetery and Memorial Estates eliminated in consolidation</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1,541,120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cemetery perpetual care trust investments</w:t>
            </w: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6,413,167</w:t>
            </w: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5,952,984</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Cemetery perpetual care obligation</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(4,087,704)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(3,933,719)</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 investments in excess of trust obligations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2,325,463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2,019,265</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4340"/>
              <w:spacing w:after="0"/>
              <w:rPr>
                <w:sz w:val="20"/>
                <w:szCs w:val="20"/>
                <w:color w:val="auto"/>
              </w:rPr>
            </w:pPr>
            <w:r>
              <w:rPr>
                <w:rFonts w:ascii="Arial" w:cs="Arial" w:eastAsia="Arial" w:hAnsi="Arial"/>
                <w:sz w:val="18"/>
                <w:szCs w:val="18"/>
                <w:color w:val="auto"/>
              </w:rPr>
              <w:t>76</w:t>
            </w: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240" w:type="dxa"/>
            <w:vAlign w:val="bottom"/>
            <w:tcBorders>
              <w:bottom w:val="single" w:sz="8" w:color="909090"/>
            </w:tcBorders>
          </w:tcPr>
          <w:p>
            <w:pPr>
              <w:spacing w:after="0"/>
              <w:rPr>
                <w:sz w:val="15"/>
                <w:szCs w:val="15"/>
                <w:color w:val="auto"/>
              </w:rPr>
            </w:pPr>
          </w:p>
        </w:tc>
        <w:tc>
          <w:tcPr>
            <w:tcW w:w="480" w:type="dxa"/>
            <w:vAlign w:val="bottom"/>
            <w:tcBorders>
              <w:bottom w:val="single" w:sz="8" w:color="909090"/>
            </w:tcBorders>
          </w:tcPr>
          <w:p>
            <w:pPr>
              <w:spacing w:after="0"/>
              <w:rPr>
                <w:sz w:val="15"/>
                <w:szCs w:val="15"/>
                <w:color w:val="auto"/>
              </w:rPr>
            </w:pPr>
          </w:p>
        </w:tc>
        <w:tc>
          <w:tcPr>
            <w:tcW w:w="860" w:type="dxa"/>
            <w:vAlign w:val="bottom"/>
            <w:tcBorders>
              <w:bottom w:val="single" w:sz="8" w:color="909090"/>
            </w:tcBorders>
          </w:tcPr>
          <w:p>
            <w:pPr>
              <w:spacing w:after="0"/>
              <w:rPr>
                <w:sz w:val="15"/>
                <w:szCs w:val="15"/>
                <w:color w:val="auto"/>
              </w:rPr>
            </w:pPr>
          </w:p>
        </w:tc>
        <w:tc>
          <w:tcPr>
            <w:tcW w:w="80" w:type="dxa"/>
            <w:vAlign w:val="bottom"/>
            <w:tcBorders>
              <w:bottom w:val="single" w:sz="8" w:color="909090"/>
            </w:tcBorders>
          </w:tcPr>
          <w:p>
            <w:pPr>
              <w:spacing w:after="0"/>
              <w:rPr>
                <w:sz w:val="15"/>
                <w:szCs w:val="15"/>
                <w:color w:val="auto"/>
              </w:rPr>
            </w:pPr>
          </w:p>
        </w:tc>
        <w:tc>
          <w:tcPr>
            <w:tcW w:w="480" w:type="dxa"/>
            <w:vAlign w:val="bottom"/>
            <w:tcBorders>
              <w:bottom w:val="single" w:sz="8" w:color="909090"/>
            </w:tcBorders>
          </w:tcPr>
          <w:p>
            <w:pPr>
              <w:spacing w:after="0"/>
              <w:rPr>
                <w:sz w:val="15"/>
                <w:szCs w:val="15"/>
                <w:color w:val="auto"/>
              </w:rPr>
            </w:pPr>
          </w:p>
        </w:tc>
        <w:tc>
          <w:tcPr>
            <w:tcW w:w="880" w:type="dxa"/>
            <w:vAlign w:val="bottom"/>
            <w:tcBorders>
              <w:bottom w:val="single" w:sz="8" w:color="909090"/>
            </w:tcBorders>
          </w:tcPr>
          <w:p>
            <w:pPr>
              <w:spacing w:after="0"/>
              <w:rPr>
                <w:sz w:val="15"/>
                <w:szCs w:val="15"/>
                <w:color w:val="auto"/>
              </w:rPr>
            </w:pPr>
          </w:p>
        </w:tc>
        <w:tc>
          <w:tcPr>
            <w:tcW w:w="840" w:type="dxa"/>
            <w:vAlign w:val="bottom"/>
            <w:tcBorders>
              <w:bottom w:val="single" w:sz="8" w:color="90909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184"/>
          </w:cols>
          <w:pgMar w:left="1275" w:top="122" w:right="1440" w:bottom="1440" w:gutter="0" w:footer="0" w:header="0"/>
        </w:sectPr>
      </w:pPr>
    </w:p>
    <w:bookmarkStart w:id="76" w:name="page77"/>
    <w:bookmarkEnd w:id="7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Cemetery Perpetual Care Trust Investments and Obligation and Restricted Assets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 has also established certain restricted assets to provide for future merchandise and service obligations incurred in connection with its pre-need sales for its cemetery and mortuary segment.</w:t>
      </w:r>
    </w:p>
    <w:p>
      <w:pPr>
        <w:spacing w:after="0" w:line="170"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9"/>
          <w:szCs w:val="19"/>
          <w:color w:val="auto"/>
        </w:rPr>
        <w:t>Restricted assets are summarized as follows: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19"/>
                <w:szCs w:val="19"/>
                <w:color w:val="auto"/>
              </w:rPr>
            </w:pPr>
          </w:p>
        </w:tc>
      </w:tr>
      <w:tr>
        <w:trPr>
          <w:trHeight w:val="231"/>
        </w:trPr>
        <w:tc>
          <w:tcPr>
            <w:tcW w:w="51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9"/>
              </w:rPr>
              <w:t>2019</w:t>
            </w:r>
          </w:p>
        </w:tc>
      </w:tr>
      <w:tr>
        <w:trPr>
          <w:trHeight w:val="23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8,842,744</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8,674,214</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w w:val="98"/>
              </w:rPr>
              <w:t>Fixed maturity securities, available for sale, at estimated fair value</w:t>
            </w: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1,473,637</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1,008,867</w:t>
            </w:r>
          </w:p>
        </w:tc>
      </w:tr>
      <w:tr>
        <w:trPr>
          <w:trHeight w:val="244"/>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2,515,778</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1,976,480</w:t>
            </w:r>
          </w:p>
        </w:tc>
      </w:tr>
      <w:tr>
        <w:trPr>
          <w:trHeight w:val="212"/>
        </w:trPr>
        <w:tc>
          <w:tcPr>
            <w:tcW w:w="5180" w:type="dxa"/>
            <w:vAlign w:val="bottom"/>
          </w:tcPr>
          <w:p>
            <w:pPr>
              <w:spacing w:after="0"/>
              <w:rPr>
                <w:sz w:val="20"/>
                <w:szCs w:val="20"/>
                <w:color w:val="auto"/>
              </w:rPr>
            </w:pPr>
            <w:r>
              <w:rPr>
                <w:rFonts w:ascii="Arial" w:cs="Arial" w:eastAsia="Arial" w:hAnsi="Arial"/>
                <w:sz w:val="18"/>
                <w:szCs w:val="18"/>
                <w:color w:val="auto"/>
              </w:rPr>
              <w:t>Participating interests in mortgage loans held for investment</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with Security National Life</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3,317,877</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2,275,756</w:t>
            </w:r>
          </w:p>
        </w:tc>
      </w:tr>
      <w:tr>
        <w:trPr>
          <w:trHeight w:val="237"/>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16,150,036</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13,935,317</w:t>
            </w:r>
          </w:p>
        </w:tc>
      </w:tr>
      <w:tr>
        <w:trPr>
          <w:trHeight w:val="20"/>
        </w:trPr>
        <w:tc>
          <w:tcPr>
            <w:tcW w:w="5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7537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5" w:lineRule="exact"/>
        <w:rPr>
          <w:sz w:val="20"/>
          <w:szCs w:val="20"/>
          <w:color w:val="auto"/>
        </w:rPr>
      </w:pPr>
    </w:p>
    <w:p>
      <w:pPr>
        <w:ind w:left="325" w:right="459" w:hanging="325"/>
        <w:spacing w:after="0" w:line="262" w:lineRule="auto"/>
        <w:tabs>
          <w:tab w:leader="none" w:pos="32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Including cash and cash equivalents of $8,524,999 and $7,170,092 as of December 31, 2020 and 2019, respectively, for the life insurance and mortgage segments.</w:t>
      </w:r>
    </w:p>
    <w:p>
      <w:pPr>
        <w:spacing w:after="0" w:line="190"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A surplus note receivable in the amount of $4,000,000 at December 31, 2020 and 2019, from Security National Life, was eliminated in consolidation.</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See Notes 1 and 17 for additional information regarding restricted assets.</w:t>
      </w:r>
    </w:p>
    <w:p>
      <w:pPr>
        <w:spacing w:after="0" w:line="24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77" w:name="page78"/>
    <w:bookmarkEnd w:id="7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Income Taxes</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income tax liability is summarized as follows: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w w:val="85"/>
              </w:rPr>
              <w:t>December 31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31"/>
        </w:trPr>
        <w:tc>
          <w:tcPr>
            <w:tcW w:w="44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4"/>
              </w:rPr>
              <w:t>2019</w:t>
            </w:r>
          </w:p>
        </w:tc>
      </w:tr>
      <w:tr>
        <w:trPr>
          <w:trHeight w:val="237"/>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2,595,877</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1,410,153</w:t>
            </w:r>
          </w:p>
        </w:tc>
      </w:tr>
      <w:tr>
        <w:trPr>
          <w:trHeight w:val="231"/>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22,662,923</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17,276,819</w:t>
            </w:r>
          </w:p>
        </w:tc>
      </w:tr>
      <w:tr>
        <w:trPr>
          <w:trHeight w:val="237"/>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25,258,800</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18,686,972</w:t>
            </w:r>
          </w:p>
        </w:tc>
      </w:tr>
      <w:tr>
        <w:trPr>
          <w:trHeight w:val="20"/>
        </w:trPr>
        <w:tc>
          <w:tcPr>
            <w:tcW w:w="4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8"/>
          <w:szCs w:val="18"/>
          <w:color w:val="auto"/>
        </w:rPr>
        <w:t>Significant components of the Company’s deferred tax (assets) and liabilities are approximately as follows:</w:t>
      </w:r>
    </w:p>
    <w:p>
      <w:pPr>
        <w:spacing w:after="0" w:line="259"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20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19"/>
                <w:szCs w:val="19"/>
                <w:color w:val="auto"/>
              </w:rPr>
            </w:pPr>
          </w:p>
        </w:tc>
      </w:tr>
      <w:tr>
        <w:trPr>
          <w:trHeight w:val="231"/>
        </w:trPr>
        <w:tc>
          <w:tcPr>
            <w:tcW w:w="45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2019</w:t>
            </w:r>
          </w:p>
        </w:tc>
      </w:tr>
      <w:tr>
        <w:trPr>
          <w:trHeight w:val="21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Future policy benefits</w:t>
            </w:r>
          </w:p>
        </w:tc>
        <w:tc>
          <w:tcPr>
            <w:tcW w:w="1400" w:type="dxa"/>
            <w:vAlign w:val="bottom"/>
          </w:tcPr>
          <w:p>
            <w:pPr>
              <w:jc w:val="right"/>
              <w:spacing w:after="0"/>
              <w:rPr>
                <w:sz w:val="20"/>
                <w:szCs w:val="20"/>
                <w:color w:val="auto"/>
              </w:rPr>
            </w:pPr>
            <w:r>
              <w:rPr>
                <w:rFonts w:ascii="Arial" w:cs="Arial" w:eastAsia="Arial" w:hAnsi="Arial"/>
                <w:sz w:val="18"/>
                <w:szCs w:val="18"/>
                <w:color w:val="auto"/>
              </w:rPr>
              <w:t>$ (12,657,045)</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6"/>
              </w:rPr>
              <w:t>(12,450,229)</w:t>
            </w: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 loss reserve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(5,352,942)</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(1,053,256)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Unearned premium</w:t>
            </w:r>
          </w:p>
        </w:tc>
        <w:tc>
          <w:tcPr>
            <w:tcW w:w="1400" w:type="dxa"/>
            <w:vAlign w:val="bottom"/>
          </w:tcPr>
          <w:p>
            <w:pPr>
              <w:jc w:val="right"/>
              <w:spacing w:after="0"/>
              <w:rPr>
                <w:sz w:val="20"/>
                <w:szCs w:val="20"/>
                <w:color w:val="auto"/>
              </w:rPr>
            </w:pPr>
            <w:r>
              <w:rPr>
                <w:rFonts w:ascii="Arial" w:cs="Arial" w:eastAsia="Arial" w:hAnsi="Arial"/>
                <w:sz w:val="18"/>
                <w:szCs w:val="18"/>
                <w:color w:val="auto"/>
              </w:rPr>
              <w:t>(699,011)</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(760,556)</w:t>
            </w: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(334,085)</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(438,420)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Deferred compensation</w:t>
            </w:r>
          </w:p>
        </w:tc>
        <w:tc>
          <w:tcPr>
            <w:tcW w:w="1400" w:type="dxa"/>
            <w:vAlign w:val="bottom"/>
          </w:tcPr>
          <w:p>
            <w:pPr>
              <w:jc w:val="right"/>
              <w:spacing w:after="0"/>
              <w:rPr>
                <w:sz w:val="20"/>
                <w:szCs w:val="20"/>
                <w:color w:val="auto"/>
              </w:rPr>
            </w:pPr>
            <w:r>
              <w:rPr>
                <w:rFonts w:ascii="Arial" w:cs="Arial" w:eastAsia="Arial" w:hAnsi="Arial"/>
                <w:sz w:val="18"/>
                <w:szCs w:val="18"/>
                <w:color w:val="auto"/>
              </w:rPr>
              <w:t>(2,833,298)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(1,996,865)</w:t>
            </w: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 obligations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(610,041)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(619,633)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(1,269,533)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(1,020,718)</w:t>
            </w: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961,920</w:t>
            </w:r>
          </w:p>
        </w:tc>
        <w:tc>
          <w:tcPr>
            <w:tcW w:w="2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2,439,394</w:t>
            </w:r>
          </w:p>
        </w:tc>
      </w:tr>
      <w:tr>
        <w:trPr>
          <w:trHeight w:val="224"/>
        </w:trPr>
        <w:tc>
          <w:tcPr>
            <w:tcW w:w="45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(22,794,035)</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(15,900,283)</w:t>
            </w:r>
          </w:p>
        </w:tc>
      </w:tr>
      <w:tr>
        <w:trPr>
          <w:trHeight w:val="237"/>
        </w:trPr>
        <w:tc>
          <w:tcPr>
            <w:tcW w:w="45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16,430,001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15,536,717</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Basis difference in property, equipment and real estate</w:t>
            </w:r>
          </w:p>
        </w:tc>
        <w:tc>
          <w:tcPr>
            <w:tcW w:w="1400" w:type="dxa"/>
            <w:vAlign w:val="bottom"/>
          </w:tcPr>
          <w:p>
            <w:pPr>
              <w:jc w:val="right"/>
              <w:spacing w:after="0"/>
              <w:rPr>
                <w:sz w:val="20"/>
                <w:szCs w:val="20"/>
                <w:color w:val="auto"/>
              </w:rPr>
            </w:pPr>
            <w:r>
              <w:rPr>
                <w:rFonts w:ascii="Arial" w:cs="Arial" w:eastAsia="Arial" w:hAnsi="Arial"/>
                <w:sz w:val="18"/>
                <w:szCs w:val="18"/>
                <w:color w:val="auto"/>
              </w:rPr>
              <w:t>5,312,787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3,638,512</w:t>
            </w: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1,880,602</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2,074,096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Deferred gains</w:t>
            </w:r>
          </w:p>
        </w:tc>
        <w:tc>
          <w:tcPr>
            <w:tcW w:w="1400" w:type="dxa"/>
            <w:vAlign w:val="bottom"/>
          </w:tcPr>
          <w:p>
            <w:pPr>
              <w:jc w:val="right"/>
              <w:spacing w:after="0"/>
              <w:rPr>
                <w:sz w:val="20"/>
                <w:szCs w:val="20"/>
                <w:color w:val="auto"/>
              </w:rPr>
            </w:pPr>
            <w:r>
              <w:rPr>
                <w:rFonts w:ascii="Arial" w:cs="Arial" w:eastAsia="Arial" w:hAnsi="Arial"/>
                <w:sz w:val="18"/>
                <w:szCs w:val="18"/>
                <w:color w:val="auto"/>
              </w:rPr>
              <w:t>12,124,226</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5,169,104</w:t>
            </w:r>
          </w:p>
        </w:tc>
      </w:tr>
      <w:tr>
        <w:trPr>
          <w:trHeight w:val="24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Trusts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1,064,387</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1,064,387</w:t>
            </w:r>
          </w:p>
        </w:tc>
      </w:tr>
      <w:tr>
        <w:trPr>
          <w:trHeight w:val="231"/>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on unrealized appreciation</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8,644,955</w:t>
            </w: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5,694,286</w:t>
            </w: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45,456,958</w:t>
            </w:r>
          </w:p>
        </w:tc>
        <w:tc>
          <w:tcPr>
            <w:tcW w:w="2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33,177,102</w:t>
            </w:r>
          </w:p>
        </w:tc>
      </w:tr>
      <w:tr>
        <w:trPr>
          <w:trHeight w:val="224"/>
        </w:trPr>
        <w:tc>
          <w:tcPr>
            <w:tcW w:w="4520" w:type="dxa"/>
            <w:vAlign w:val="bottom"/>
          </w:tcPr>
          <w:p>
            <w:pPr>
              <w:spacing w:after="0" w:line="203" w:lineRule="exact"/>
              <w:rPr>
                <w:sz w:val="20"/>
                <w:szCs w:val="20"/>
                <w:color w:val="auto"/>
              </w:rPr>
            </w:pPr>
            <w:r>
              <w:rPr>
                <w:rFonts w:ascii="Arial" w:cs="Arial" w:eastAsia="Arial" w:hAnsi="Arial"/>
                <w:sz w:val="18"/>
                <w:szCs w:val="18"/>
                <w:color w:val="auto"/>
              </w:rPr>
              <w:t>Net deferred tax liability</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$ 22,662,923</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17,276,819</w:t>
            </w:r>
          </w:p>
        </w:tc>
      </w:tr>
      <w:tr>
        <w:trPr>
          <w:trHeight w:val="20"/>
        </w:trPr>
        <w:tc>
          <w:tcPr>
            <w:tcW w:w="4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valuation allowance relates to differences between recorded deferred tax assets and liabilities and ultimate anticipated realization. The Company has recorded a valuation allowance related to Kilpatrick Life Insurance Company that was acquired in December 2019.</w:t>
      </w:r>
    </w:p>
    <w:p>
      <w:pPr>
        <w:spacing w:after="0" w:line="184"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Company paid $11,813,120 and $4,861,318 in income taxes for the years ended December 31, 2020 and 2019, respectively.</w:t>
      </w:r>
    </w:p>
    <w:p>
      <w:pPr>
        <w:spacing w:after="0" w:line="18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78" w:name="page79"/>
    <w:bookmarkEnd w:id="7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485" w:hanging="485"/>
        <w:spacing w:after="0"/>
        <w:tabs>
          <w:tab w:leader="none" w:pos="48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Income Taxes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income tax expense is summarized as follows for the years ended December 31:</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4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84"/>
              </w:rPr>
              <w:t>2020</w:t>
            </w:r>
          </w:p>
        </w:tc>
        <w:tc>
          <w:tcPr>
            <w:tcW w:w="2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84"/>
              </w:rPr>
              <w:t>2019</w:t>
            </w:r>
          </w:p>
        </w:tc>
      </w:tr>
      <w:tr>
        <w:trPr>
          <w:trHeight w:val="23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4140" w:type="dxa"/>
            <w:vAlign w:val="bottom"/>
          </w:tcPr>
          <w:p>
            <w:pPr>
              <w:ind w:left="60"/>
              <w:spacing w:after="0"/>
              <w:rPr>
                <w:sz w:val="20"/>
                <w:szCs w:val="20"/>
                <w:color w:val="auto"/>
              </w:rPr>
            </w:pPr>
            <w:r>
              <w:rPr>
                <w:rFonts w:ascii="Arial" w:cs="Arial" w:eastAsia="Arial" w:hAnsi="Arial"/>
                <w:sz w:val="18"/>
                <w:szCs w:val="18"/>
                <w:color w:val="auto"/>
              </w:rPr>
              <w:t>Federal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10,678,612</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4,404,041</w:t>
            </w:r>
          </w:p>
        </w:tc>
      </w:tr>
      <w:tr>
        <w:trPr>
          <w:trHeight w:val="238"/>
        </w:trPr>
        <w:tc>
          <w:tcPr>
            <w:tcW w:w="4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w:t>
            </w: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2,320,233</w:t>
            </w:r>
          </w:p>
        </w:tc>
        <w:tc>
          <w:tcPr>
            <w:tcW w:w="2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504,272</w:t>
            </w:r>
          </w:p>
        </w:tc>
      </w:tr>
      <w:tr>
        <w:trPr>
          <w:trHeight w:val="230"/>
        </w:trPr>
        <w:tc>
          <w:tcPr>
            <w:tcW w:w="4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12,998,845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4,908,313</w:t>
            </w:r>
          </w:p>
        </w:tc>
      </w:tr>
      <w:tr>
        <w:trPr>
          <w:trHeight w:val="244"/>
        </w:trPr>
        <w:tc>
          <w:tcPr>
            <w:tcW w:w="4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Deferred</w:t>
            </w: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4"/>
        </w:trPr>
        <w:tc>
          <w:tcPr>
            <w:tcW w:w="4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2,677,943</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(1,551,725)</w:t>
            </w:r>
          </w:p>
        </w:tc>
      </w:tr>
      <w:tr>
        <w:trPr>
          <w:trHeight w:val="231"/>
        </w:trPr>
        <w:tc>
          <w:tcPr>
            <w:tcW w:w="41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State</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176,726</w:t>
            </w:r>
          </w:p>
        </w:tc>
        <w:tc>
          <w:tcPr>
            <w:tcW w:w="2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(306,172)</w:t>
            </w:r>
          </w:p>
        </w:tc>
      </w:tr>
      <w:tr>
        <w:trPr>
          <w:trHeight w:val="237"/>
        </w:trPr>
        <w:tc>
          <w:tcPr>
            <w:tcW w:w="4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2,854,669</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(1,857,897)</w:t>
            </w:r>
          </w:p>
        </w:tc>
      </w:tr>
      <w:tr>
        <w:trPr>
          <w:trHeight w:val="237"/>
        </w:trPr>
        <w:tc>
          <w:tcPr>
            <w:tcW w:w="4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15,853,514</w:t>
            </w: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3,050,416</w:t>
            </w:r>
          </w:p>
        </w:tc>
      </w:tr>
      <w:tr>
        <w:trPr>
          <w:trHeight w:val="20"/>
        </w:trPr>
        <w:tc>
          <w:tcPr>
            <w:tcW w:w="4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reconciliation of income tax expense at the U.S. federal statutory rates is as follows: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4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89"/>
              </w:rPr>
              <w:t>2020</w:t>
            </w: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84"/>
              </w:rPr>
              <w:t>2019</w:t>
            </w:r>
          </w:p>
        </w:tc>
      </w:tr>
      <w:tr>
        <w:trPr>
          <w:trHeight w:val="23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Computed expense at statutory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15,004,527</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2,928,226</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State tax expense, net of federal tax benefit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1,972,598</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156,499</w:t>
            </w:r>
          </w:p>
        </w:tc>
      </w:tr>
      <w:tr>
        <w:trPr>
          <w:trHeight w:val="244"/>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(1,477,474)</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194,364</w:t>
            </w:r>
          </w:p>
        </w:tc>
      </w:tr>
      <w:tr>
        <w:trPr>
          <w:trHeight w:val="231"/>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353,863</w:t>
            </w:r>
          </w:p>
        </w:tc>
        <w:tc>
          <w:tcPr>
            <w:tcW w:w="2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(228,673)</w:t>
            </w:r>
          </w:p>
        </w:tc>
      </w:tr>
      <w:tr>
        <w:trPr>
          <w:trHeight w:val="23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15,853,514</w:t>
            </w: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3,050,416</w:t>
            </w:r>
          </w:p>
        </w:tc>
      </w:tr>
      <w:tr>
        <w:trPr>
          <w:trHeight w:val="20"/>
        </w:trPr>
        <w:tc>
          <w:tcPr>
            <w:tcW w:w="4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color w:val="auto"/>
        </w:rPr>
        <w:t>The Company’s overall effective tax rate for the years ended December 31, 2020 and 2019 was 22.2% and 21.9% respectively. The Company’s effective tax rates differ from the U.S. federal statutory rate of 21% partially due to its provision for state income taxes and a decrease to the valuation allowance related to Kilpatrick Life Insurance Company that decreased the effective income tax rate when compared to the prior year.</w:t>
      </w:r>
    </w:p>
    <w:p>
      <w:pPr>
        <w:spacing w:after="0" w:line="157"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At December 31, 2020, the Company had no significant unrecognized tax benefits. As of December 31, 2020, the Company does not expect any material changes to the estimated amount of unrecognized tax benefits in the next twelve months. Federal and state income tax returns for 2017 through 2020 are subject to examination by taxing authorities.</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9"/>
          <w:szCs w:val="19"/>
          <w:color w:val="auto"/>
        </w:rPr>
        <w:t>Net Operating Losses and Tax Credit Carryforwards: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17"/>
        </w:trPr>
        <w:tc>
          <w:tcPr>
            <w:tcW w:w="4300" w:type="dxa"/>
            <w:vAlign w:val="bottom"/>
            <w:gridSpan w:val="3"/>
          </w:tcPr>
          <w:p>
            <w:pPr>
              <w:jc w:val="center"/>
              <w:spacing w:after="0"/>
              <w:rPr>
                <w:sz w:val="20"/>
                <w:szCs w:val="20"/>
                <w:color w:val="auto"/>
              </w:rPr>
            </w:pPr>
            <w:r>
              <w:rPr>
                <w:rFonts w:ascii="Arial" w:cs="Arial" w:eastAsia="Arial" w:hAnsi="Arial"/>
                <w:sz w:val="18"/>
                <w:szCs w:val="18"/>
                <w:color w:val="auto"/>
                <w:w w:val="90"/>
              </w:rPr>
              <w:t>Year of Expiration</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37"/>
        </w:trPr>
        <w:tc>
          <w:tcPr>
            <w:tcW w:w="1500" w:type="dxa"/>
            <w:vAlign w:val="bottom"/>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5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3320" w:type="dxa"/>
            <w:vAlign w:val="bottom"/>
          </w:tcPr>
          <w:p>
            <w:pPr>
              <w:spacing w:after="0"/>
              <w:rPr>
                <w:sz w:val="20"/>
                <w:szCs w:val="20"/>
                <w:color w:val="auto"/>
              </w:rPr>
            </w:pPr>
          </w:p>
        </w:tc>
      </w:tr>
      <w:tr>
        <w:trPr>
          <w:trHeight w:val="230"/>
        </w:trPr>
        <w:tc>
          <w:tcPr>
            <w:tcW w:w="280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2022</w:t>
            </w: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0"/>
                <w:szCs w:val="20"/>
                <w:color w:val="auto"/>
              </w:rPr>
            </w:pPr>
          </w:p>
        </w:tc>
      </w:tr>
      <w:tr>
        <w:trPr>
          <w:trHeight w:val="244"/>
        </w:trPr>
        <w:tc>
          <w:tcPr>
            <w:tcW w:w="280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9"/>
              </w:rPr>
              <w:t>2023</w:t>
            </w: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1"/>
                <w:szCs w:val="21"/>
                <w:color w:val="auto"/>
              </w:rPr>
            </w:pPr>
          </w:p>
        </w:tc>
      </w:tr>
      <w:tr>
        <w:trPr>
          <w:trHeight w:val="230"/>
        </w:trPr>
        <w:tc>
          <w:tcPr>
            <w:tcW w:w="2800" w:type="dxa"/>
            <w:vAlign w:val="bottom"/>
            <w:gridSpan w:val="2"/>
          </w:tcPr>
          <w:p>
            <w:pPr>
              <w:jc w:val="center"/>
              <w:ind w:left="1392"/>
              <w:spacing w:after="0"/>
              <w:rPr>
                <w:sz w:val="20"/>
                <w:szCs w:val="20"/>
                <w:color w:val="auto"/>
              </w:rPr>
            </w:pPr>
            <w:r>
              <w:rPr>
                <w:rFonts w:ascii="Arial" w:cs="Arial" w:eastAsia="Arial" w:hAnsi="Arial"/>
                <w:sz w:val="18"/>
                <w:szCs w:val="18"/>
                <w:color w:val="auto"/>
                <w:w w:val="89"/>
              </w:rPr>
              <w:t>2024</w:t>
            </w: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0"/>
                <w:szCs w:val="20"/>
                <w:color w:val="auto"/>
              </w:rPr>
            </w:pPr>
          </w:p>
        </w:tc>
      </w:tr>
      <w:tr>
        <w:trPr>
          <w:trHeight w:val="244"/>
        </w:trPr>
        <w:tc>
          <w:tcPr>
            <w:tcW w:w="2800" w:type="dxa"/>
            <w:vAlign w:val="bottom"/>
            <w:gridSpan w:val="2"/>
            <w:shd w:val="clear" w:color="auto" w:fill="CCEEFF"/>
          </w:tcPr>
          <w:p>
            <w:pPr>
              <w:jc w:val="center"/>
              <w:ind w:left="1392"/>
              <w:spacing w:after="0"/>
              <w:rPr>
                <w:sz w:val="20"/>
                <w:szCs w:val="20"/>
                <w:color w:val="auto"/>
              </w:rPr>
            </w:pPr>
            <w:r>
              <w:rPr>
                <w:rFonts w:ascii="Arial" w:cs="Arial" w:eastAsia="Arial" w:hAnsi="Arial"/>
                <w:sz w:val="18"/>
                <w:szCs w:val="18"/>
                <w:color w:val="auto"/>
                <w:w w:val="89"/>
              </w:rPr>
              <w:t>2025</w:t>
            </w: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1"/>
                <w:szCs w:val="21"/>
                <w:color w:val="auto"/>
              </w:rPr>
            </w:pPr>
          </w:p>
        </w:tc>
      </w:tr>
      <w:tr>
        <w:trPr>
          <w:trHeight w:val="230"/>
        </w:trPr>
        <w:tc>
          <w:tcPr>
            <w:tcW w:w="4300" w:type="dxa"/>
            <w:vAlign w:val="bottom"/>
            <w:gridSpan w:val="3"/>
          </w:tcPr>
          <w:p>
            <w:pPr>
              <w:jc w:val="center"/>
              <w:spacing w:after="0"/>
              <w:rPr>
                <w:sz w:val="20"/>
                <w:szCs w:val="20"/>
                <w:color w:val="auto"/>
              </w:rPr>
            </w:pPr>
            <w:r>
              <w:rPr>
                <w:rFonts w:ascii="Arial" w:cs="Arial" w:eastAsia="Arial" w:hAnsi="Arial"/>
                <w:sz w:val="18"/>
                <w:szCs w:val="18"/>
                <w:color w:val="auto"/>
                <w:w w:val="88"/>
              </w:rPr>
              <w:t>Thereafter up through 2037</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1,405,155</w:t>
            </w:r>
          </w:p>
        </w:tc>
        <w:tc>
          <w:tcPr>
            <w:tcW w:w="3320" w:type="dxa"/>
            <w:vAlign w:val="bottom"/>
          </w:tcPr>
          <w:p>
            <w:pPr>
              <w:spacing w:after="0"/>
              <w:rPr>
                <w:sz w:val="20"/>
                <w:szCs w:val="20"/>
                <w:color w:val="auto"/>
              </w:rPr>
            </w:pPr>
          </w:p>
        </w:tc>
      </w:tr>
      <w:tr>
        <w:trPr>
          <w:trHeight w:val="244"/>
        </w:trPr>
        <w:tc>
          <w:tcPr>
            <w:tcW w:w="15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3320" w:type="dxa"/>
            <w:vAlign w:val="bottom"/>
          </w:tcPr>
          <w:p>
            <w:pPr>
              <w:spacing w:after="0"/>
              <w:rPr>
                <w:sz w:val="21"/>
                <w:szCs w:val="21"/>
                <w:color w:val="auto"/>
              </w:rPr>
            </w:pPr>
          </w:p>
        </w:tc>
      </w:tr>
      <w:tr>
        <w:trPr>
          <w:trHeight w:val="224"/>
        </w:trPr>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1,422,255</w:t>
            </w:r>
          </w:p>
        </w:tc>
        <w:tc>
          <w:tcPr>
            <w:tcW w:w="33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43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jc w:val="right"/>
              <w:ind w:right="172"/>
              <w:spacing w:after="0"/>
              <w:rPr>
                <w:sz w:val="20"/>
                <w:szCs w:val="20"/>
                <w:color w:val="auto"/>
              </w:rPr>
            </w:pPr>
            <w:r>
              <w:rPr>
                <w:rFonts w:ascii="Arial" w:cs="Arial" w:eastAsia="Arial" w:hAnsi="Arial"/>
                <w:sz w:val="18"/>
                <w:szCs w:val="18"/>
                <w:color w:val="auto"/>
                <w:w w:val="99"/>
              </w:rPr>
              <w:t>79</w:t>
            </w:r>
          </w:p>
        </w:tc>
        <w:tc>
          <w:tcPr>
            <w:tcW w:w="7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9"/>
        </w:trPr>
        <w:tc>
          <w:tcPr>
            <w:tcW w:w="1500" w:type="dxa"/>
            <w:vAlign w:val="bottom"/>
            <w:tcBorders>
              <w:bottom w:val="single" w:sz="8" w:color="909090"/>
            </w:tcBorders>
          </w:tcPr>
          <w:p>
            <w:pPr>
              <w:spacing w:after="0"/>
              <w:rPr>
                <w:sz w:val="15"/>
                <w:szCs w:val="15"/>
                <w:color w:val="auto"/>
              </w:rPr>
            </w:pPr>
          </w:p>
        </w:tc>
        <w:tc>
          <w:tcPr>
            <w:tcW w:w="1300" w:type="dxa"/>
            <w:vAlign w:val="bottom"/>
            <w:tcBorders>
              <w:bottom w:val="single" w:sz="8" w:color="909090"/>
            </w:tcBorders>
          </w:tcPr>
          <w:p>
            <w:pPr>
              <w:spacing w:after="0"/>
              <w:rPr>
                <w:sz w:val="15"/>
                <w:szCs w:val="15"/>
                <w:color w:val="auto"/>
              </w:rPr>
            </w:pPr>
          </w:p>
        </w:tc>
        <w:tc>
          <w:tcPr>
            <w:tcW w:w="1500" w:type="dxa"/>
            <w:vAlign w:val="bottom"/>
            <w:tcBorders>
              <w:bottom w:val="single" w:sz="8" w:color="909090"/>
            </w:tcBorders>
          </w:tcPr>
          <w:p>
            <w:pPr>
              <w:spacing w:after="0"/>
              <w:rPr>
                <w:sz w:val="15"/>
                <w:szCs w:val="15"/>
                <w:color w:val="auto"/>
              </w:rPr>
            </w:pPr>
          </w:p>
        </w:tc>
        <w:tc>
          <w:tcPr>
            <w:tcW w:w="480" w:type="dxa"/>
            <w:vAlign w:val="bottom"/>
            <w:tcBorders>
              <w:bottom w:val="single" w:sz="8" w:color="909090"/>
            </w:tcBorders>
          </w:tcPr>
          <w:p>
            <w:pPr>
              <w:spacing w:after="0"/>
              <w:rPr>
                <w:sz w:val="15"/>
                <w:szCs w:val="15"/>
                <w:color w:val="auto"/>
              </w:rPr>
            </w:pPr>
          </w:p>
        </w:tc>
        <w:tc>
          <w:tcPr>
            <w:tcW w:w="760" w:type="dxa"/>
            <w:vAlign w:val="bottom"/>
            <w:tcBorders>
              <w:bottom w:val="single" w:sz="8" w:color="909090"/>
            </w:tcBorders>
          </w:tcPr>
          <w:p>
            <w:pPr>
              <w:spacing w:after="0"/>
              <w:rPr>
                <w:sz w:val="15"/>
                <w:szCs w:val="15"/>
                <w:color w:val="auto"/>
              </w:rPr>
            </w:pPr>
          </w:p>
        </w:tc>
        <w:tc>
          <w:tcPr>
            <w:tcW w:w="3320" w:type="dxa"/>
            <w:vAlign w:val="bottom"/>
            <w:tcBorders>
              <w:bottom w:val="single" w:sz="8" w:color="909090"/>
            </w:tcBorders>
          </w:tcPr>
          <w:p>
            <w:pPr>
              <w:spacing w:after="0"/>
              <w:rPr>
                <w:sz w:val="15"/>
                <w:szCs w:val="15"/>
                <w:color w:val="auto"/>
              </w:rPr>
            </w:pPr>
          </w:p>
        </w:tc>
      </w:tr>
    </w:tbl>
    <w:p>
      <w:pPr>
        <w:sectPr>
          <w:pgSz w:w="11900" w:h="16838" w:orient="portrait"/>
          <w:cols w:equalWidth="0" w:num="1">
            <w:col w:w="9184"/>
          </w:cols>
          <w:pgMar w:left="1275" w:top="122" w:right="1440" w:bottom="1440" w:gutter="0" w:footer="0" w:header="0"/>
        </w:sectPr>
      </w:pPr>
    </w:p>
    <w:bookmarkStart w:id="79" w:name="page80"/>
    <w:bookmarkEnd w:id="7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p>
    <w:p>
      <w:pPr>
        <w:spacing w:after="0" w:line="118" w:lineRule="exact"/>
        <w:rPr>
          <w:rFonts w:ascii="Arial" w:cs="Arial" w:eastAsia="Arial" w:hAnsi="Arial"/>
          <w:sz w:val="19"/>
          <w:szCs w:val="19"/>
          <w:color w:val="auto"/>
        </w:rPr>
      </w:pPr>
    </w:p>
    <w:p>
      <w:pPr>
        <w:ind w:left="5"/>
        <w:spacing w:after="0"/>
        <w:rPr>
          <w:rFonts w:ascii="Arial" w:cs="Arial" w:eastAsia="Arial" w:hAnsi="Arial"/>
          <w:sz w:val="19"/>
          <w:szCs w:val="19"/>
          <w:color w:val="auto"/>
        </w:rPr>
      </w:pPr>
      <w:r>
        <w:rPr>
          <w:rFonts w:ascii="Arial" w:cs="Arial" w:eastAsia="Arial" w:hAnsi="Arial"/>
          <w:sz w:val="19"/>
          <w:szCs w:val="19"/>
          <w:b w:val="1"/>
          <w:bCs w:val="1"/>
          <w:color w:val="auto"/>
        </w:rPr>
        <w:t>Reinsurance</w:t>
      </w:r>
    </w:p>
    <w:p>
      <w:pPr>
        <w:spacing w:after="0" w:line="23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follows the procedure of reinsuring risks in excess of a specified limit, which ranged from $25,000 to $100,000 during the years 2020 and 2019. The Company is liable for these amounts in the event such reinsurers are unable to pay their portion of the claims. The Company has also assumed insurance from other companies having insurance in force amounting to approximately $96,000,000 and approximately $99,000,000 at December 31, 2020 and 2019, respectively.</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Loan Loss Settlements</w:t>
      </w:r>
    </w:p>
    <w:p>
      <w:pPr>
        <w:spacing w:after="0" w:line="236"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Future loan losses can be extremely difficult to estimate. However, the Company believes that its reserve methodology and its current practice of property preservation allow it to estimate potential losses on loans sold. The estimated liability for indemnification losses is included in other liabilities and accrued expenses and, as of December 31, 2020 and 2019, the balances were $20,584,000 and $4,046,000, respectively. The Company believes that the final loan loss reserve as of December 31, 2020, represents its best estimate for adequate loss reserves on loans sold.</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Loan Loss Litigation</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Settlement Agreement and Mutual Release with Lehman Brothers Holdings Inc.</w:t>
      </w:r>
    </w:p>
    <w:p>
      <w:pPr>
        <w:spacing w:after="0" w:line="249" w:lineRule="exact"/>
        <w:rPr>
          <w:sz w:val="20"/>
          <w:szCs w:val="20"/>
          <w:color w:val="auto"/>
        </w:rPr>
      </w:pPr>
    </w:p>
    <w:p>
      <w:pPr>
        <w:jc w:val="both"/>
        <w:ind w:left="5" w:right="319"/>
        <w:spacing w:after="0" w:line="249" w:lineRule="auto"/>
        <w:rPr>
          <w:sz w:val="20"/>
          <w:szCs w:val="20"/>
          <w:color w:val="auto"/>
        </w:rPr>
      </w:pPr>
      <w:r>
        <w:rPr>
          <w:rFonts w:ascii="Arial" w:cs="Arial" w:eastAsia="Arial" w:hAnsi="Arial"/>
          <w:sz w:val="19"/>
          <w:szCs w:val="19"/>
          <w:color w:val="auto"/>
        </w:rPr>
        <w:t>From 2004 to early 2008, SecurityNational Mortgage Company (“SecurityNational Mortgage”), a wholly owned subsidiary of the Company, originated “limited documentation” or “reduced documentation” loans which were sold to certain affiliates of Lehman Brothers Holdings Inc. (“Lehman Holdings”). Certain of these loans became the subject of disputes between SecurityNational Mortgage and Lehman Holdings and certain Lehman Holdings affiliates. Lehman Holdings filed a Petition for Relief under Chapter 11 of the United States Bankruptcy Code in 2008. In May of 2011, SecurityNational Mortgage filed a complaint in U.S. District Court against certain Lehman Holdings affiliates. In June of 2011, Lehman Holdings filed a complaint in Federal District Court against SecurityNational Mortgage, both of which were later resolved. In 2016, certain other pending loan disputes between SecurityNational Mortgage and Lehman Holdings became the subject of an unsuccessful, non-binding alternate dispute resolution mediation proceeding.</w:t>
      </w:r>
    </w:p>
    <w:p>
      <w:pPr>
        <w:spacing w:after="0" w:line="200" w:lineRule="exact"/>
        <w:rPr>
          <w:sz w:val="20"/>
          <w:szCs w:val="20"/>
          <w:color w:val="auto"/>
        </w:rPr>
      </w:pPr>
    </w:p>
    <w:p>
      <w:pPr>
        <w:jc w:val="both"/>
        <w:ind w:left="5" w:right="319"/>
        <w:spacing w:after="0" w:line="249" w:lineRule="auto"/>
        <w:rPr>
          <w:sz w:val="20"/>
          <w:szCs w:val="20"/>
          <w:color w:val="auto"/>
        </w:rPr>
      </w:pPr>
      <w:r>
        <w:rPr>
          <w:rFonts w:ascii="Arial" w:cs="Arial" w:eastAsia="Arial" w:hAnsi="Arial"/>
          <w:sz w:val="19"/>
          <w:szCs w:val="19"/>
          <w:color w:val="auto"/>
        </w:rPr>
        <w:t>Thereafter, in 2016, Lehman Holdings filed an adversary proceeding complaint against approximately 150 mortgage loan originators, including SecurityNational Mortgage, in the U.S. Bankruptcy Court of the Southern District of New York, which included seeking damages relating to the alleged obligations of the defendants under indemnification provisions of alleged agreements, in amounts to be determined at trial, including interest, attorneys’ fees and costs incurred by Lehman Holdings in enforcing the obligations of the defendants. The complaint was later amended with the latest amended complaint filed against SecurityNational Mortgage on December 27, 2016, seeking damages to be determined at trial, including interest, attorneys’ fees and costs. This complaint involved approximately 135 mortgage loans, there being millions of dollars allegedly in dispute. These claims against SecurityNational Mortgage were asserted as a result of Lehman Holdings’ earlier settlements with the Federal National Mortgage Association (“Fannie Mae”) and the Federal Home Loan Corporation (“Freddie Mac”).</w:t>
      </w:r>
    </w:p>
    <w:p>
      <w:pPr>
        <w:spacing w:after="0" w:line="197"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In 2018, Lehman Holdings filed a separate adversary proceeding complaint against SecurityNational Mortgage. This adversary proceeding allegedly involved approximately 577 mortgage loans relative to private securitization trusts (“RMBS Loans”) and millions of dollars in damages. Thereafter, Lehman Holdings made a filing that effectively reduced the number of RMBS Loans to 248. This proceeding was in addition to the above-referenced proceeding involving the Fannie Mae and Freddie Mac mortgage loans. As with the above-referenced proceeding, damages were sought including interest, costs, and attorneys’ fees.</w:t>
      </w:r>
    </w:p>
    <w:p>
      <w:pPr>
        <w:spacing w:after="0" w:line="19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0" w:name="page81"/>
    <w:bookmarkEnd w:id="80"/>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firstLine="54"/>
        <w:spacing w:after="0" w:line="256" w:lineRule="auto"/>
        <w:rPr>
          <w:sz w:val="20"/>
          <w:szCs w:val="20"/>
          <w:color w:val="auto"/>
        </w:rPr>
      </w:pPr>
      <w:r>
        <w:rPr>
          <w:rFonts w:ascii="Arial" w:cs="Arial" w:eastAsia="Arial" w:hAnsi="Arial"/>
          <w:sz w:val="19"/>
          <w:szCs w:val="19"/>
          <w:color w:val="auto"/>
        </w:rPr>
        <w:t>SecurityNational Mortgage, as well as other defendants, have been involved in written discovery, and production of documents relative to the cases, and the filing of motions. The deposition phase of the cases was yet to begin, as well as the later expert witness phase. Those phases would require substantial expenditures of legal fees and costs.</w:t>
      </w:r>
    </w:p>
    <w:p>
      <w:pPr>
        <w:spacing w:after="0" w:line="189"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On February 1, 2021, SecurityNational Mortgage executed a settlement agreement with Lehman Holdings in relation to these two adversary proceedings wherein all mortgage loan related claims were resolved, thereby ending all liabilities asserted by Lehman Holdings and conclusively ending all proceedings between SecurityNational Mortgage and Lehman Holdings. In accordance with GAAP, the full amount of SecurityNational Mortgage’s settlement payment has been accounted for in the Company’s loan loss reserve as of December 31, 2020.</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Non-Cancelable Leases</w:t>
      </w:r>
    </w:p>
    <w:p>
      <w:pPr>
        <w:spacing w:after="0" w:line="23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 leases office space and equipment under various non-cancelable agreements. See Note 24 regarding leases.</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Other Contingencies and Commitments</w:t>
      </w:r>
    </w:p>
    <w:p>
      <w:pPr>
        <w:spacing w:after="0" w:line="236" w:lineRule="exact"/>
        <w:rPr>
          <w:sz w:val="20"/>
          <w:szCs w:val="20"/>
          <w:color w:val="auto"/>
        </w:rPr>
      </w:pPr>
    </w:p>
    <w:p>
      <w:pPr>
        <w:jc w:val="both"/>
        <w:ind w:left="5" w:right="339"/>
        <w:spacing w:after="0" w:line="251" w:lineRule="auto"/>
        <w:rPr>
          <w:sz w:val="20"/>
          <w:szCs w:val="20"/>
          <w:color w:val="auto"/>
        </w:rPr>
      </w:pPr>
      <w:r>
        <w:rPr>
          <w:rFonts w:ascii="Arial" w:cs="Arial" w:eastAsia="Arial" w:hAnsi="Arial"/>
          <w:sz w:val="19"/>
          <w:szCs w:val="19"/>
          <w:color w:val="auto"/>
        </w:rPr>
        <w:t>The Company has entered into commitments to fund construction and land development loans and has also provided financing for land acquisition and development. As of December 31, 2020, the Company’s commitments were approximately $185,751,000, for these loans of which $115,898,000 had been funded. The Company advances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194" w:lineRule="exact"/>
        <w:rPr>
          <w:sz w:val="20"/>
          <w:szCs w:val="20"/>
          <w:color w:val="auto"/>
        </w:rPr>
      </w:pPr>
    </w:p>
    <w:p>
      <w:pPr>
        <w:jc w:val="both"/>
        <w:ind w:left="5" w:right="319"/>
        <w:spacing w:after="0" w:line="283"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62"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94"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1" w:name="page82"/>
    <w:bookmarkEnd w:id="8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405" w:hanging="405"/>
        <w:spacing w:after="0"/>
        <w:tabs>
          <w:tab w:leader="none" w:pos="405"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Retirement Plans</w:t>
      </w:r>
    </w:p>
    <w:p>
      <w:pPr>
        <w:spacing w:after="0" w:line="230" w:lineRule="exact"/>
        <w:rPr>
          <w:sz w:val="20"/>
          <w:szCs w:val="20"/>
          <w:color w:val="auto"/>
        </w:rPr>
      </w:pPr>
    </w:p>
    <w:p>
      <w:pPr>
        <w:jc w:val="both"/>
        <w:ind w:left="5" w:right="319"/>
        <w:spacing w:after="0" w:line="278" w:lineRule="auto"/>
        <w:rPr>
          <w:sz w:val="20"/>
          <w:szCs w:val="20"/>
          <w:color w:val="auto"/>
        </w:rPr>
      </w:pPr>
      <w:r>
        <w:rPr>
          <w:rFonts w:ascii="Arial" w:cs="Arial" w:eastAsia="Arial" w:hAnsi="Arial"/>
          <w:sz w:val="17"/>
          <w:szCs w:val="17"/>
          <w:color w:val="auto"/>
        </w:rPr>
        <w:t>The Company and its subsidiaries have a noncontributory Employee Stock Ownership Plan (“ESOP”) for all eligible employees. Eligible employees are primarily those with more than one year of service, who work in excess of 1,000 hours per year. Contributions, which may be in cash or stock of the Company, are determined annually by the Board of Directors. The Company’s contributions are allocated to eligible employees based on the ratio of each eligible employee’s compensation to total compensation for all eligible employees during each year. The Company did not make any contributions for the years ended December 31, 2020 and 2019. On November 25, 2019, the Company distributed a “Notice of Intent to Terminate” the ESOP Plan to all current plan participants. The Company also filed Form 5310 “Application for Determination for Terminating Plan”, with the</w:t>
      </w:r>
    </w:p>
    <w:p>
      <w:pPr>
        <w:spacing w:after="0" w:line="1" w:lineRule="exact"/>
        <w:rPr>
          <w:sz w:val="20"/>
          <w:szCs w:val="20"/>
          <w:color w:val="auto"/>
        </w:rPr>
      </w:pPr>
    </w:p>
    <w:p>
      <w:pPr>
        <w:jc w:val="both"/>
        <w:ind w:left="5" w:right="319"/>
        <w:spacing w:after="0" w:line="244" w:lineRule="auto"/>
        <w:rPr>
          <w:sz w:val="20"/>
          <w:szCs w:val="20"/>
          <w:color w:val="auto"/>
        </w:rPr>
      </w:pPr>
      <w:r>
        <w:rPr>
          <w:rFonts w:ascii="Arial" w:cs="Arial" w:eastAsia="Arial" w:hAnsi="Arial"/>
          <w:sz w:val="18"/>
          <w:szCs w:val="18"/>
          <w:color w:val="auto"/>
        </w:rPr>
        <w:t>IRS on December 6, 2019. Beginning in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of 2020, the Company began to distribute the ESOP Plan assets to participants that had made a distribution election. The Company is awaiting approval of its application from the IRS prior to its final distribution of the ESOP Plan assets to the participants. At December 31, 2020, the ESOP held 231,312 shares of Class A and 118,880 shares of Class C common stock of the Company. All shares held by the ESOP have been allocated to the participating employees and all shares held by the ESOP are considered outstanding for purposes of computing earnings per share.</w:t>
      </w:r>
    </w:p>
    <w:p>
      <w:pPr>
        <w:spacing w:after="0" w:line="201"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color w:val="auto"/>
        </w:rPr>
        <w:t>The Company has three 401(k) savings plans covering all eligible employees, as defined above, which includes employer participation in accordance with the provisions of Section 401(k) of the Internal Revenue Code. The plans allow participants to make pretax contributions up to a maximum of $19,500 and $19,000 for the years 2020 and 2019, respectively or the statutory limits. Beginning January 1, 2008, the Company elected to be a “Safe Harbor” Plan for its matching 401(k) contributions. The Company matched 100% of up to 3% of an employee’s total annual compensation and matched 50% of 4% to 5% of an employee’s annual compensation. The match was in Company stock. The Company’s contribution for the years ended December 31, 2020 and 2019 was $1,690,568 and $695,560, respectively under the “Safe Harbor” plan.</w:t>
      </w:r>
    </w:p>
    <w:p>
      <w:pPr>
        <w:spacing w:after="0" w:line="183" w:lineRule="exact"/>
        <w:rPr>
          <w:sz w:val="20"/>
          <w:szCs w:val="20"/>
          <w:color w:val="auto"/>
        </w:rPr>
      </w:pPr>
    </w:p>
    <w:p>
      <w:pPr>
        <w:jc w:val="both"/>
        <w:ind w:left="5" w:right="319"/>
        <w:spacing w:after="0" w:line="266" w:lineRule="auto"/>
        <w:rPr>
          <w:sz w:val="20"/>
          <w:szCs w:val="20"/>
          <w:color w:val="auto"/>
        </w:rPr>
      </w:pPr>
      <w:r>
        <w:rPr>
          <w:rFonts w:ascii="Arial" w:cs="Arial" w:eastAsia="Arial" w:hAnsi="Arial"/>
          <w:sz w:val="18"/>
          <w:szCs w:val="18"/>
          <w:color w:val="auto"/>
        </w:rPr>
        <w:t>In 2001, the Company’s Board of Directors adopted a Non-Qualified Deferred Compensation Plan, and this plan was amended in 2005.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2020 and 2019.</w:t>
      </w:r>
    </w:p>
    <w:p>
      <w:pPr>
        <w:spacing w:after="0" w:line="183" w:lineRule="exact"/>
        <w:rPr>
          <w:sz w:val="20"/>
          <w:szCs w:val="20"/>
          <w:color w:val="auto"/>
        </w:rPr>
      </w:pPr>
    </w:p>
    <w:p>
      <w:pPr>
        <w:jc w:val="both"/>
        <w:ind w:left="5" w:right="319"/>
        <w:spacing w:after="0" w:line="263" w:lineRule="auto"/>
        <w:rPr>
          <w:sz w:val="20"/>
          <w:szCs w:val="20"/>
          <w:color w:val="auto"/>
        </w:rPr>
      </w:pPr>
      <w:r>
        <w:rPr>
          <w:rFonts w:ascii="Arial" w:cs="Arial" w:eastAsia="Arial" w:hAnsi="Arial"/>
          <w:sz w:val="18"/>
          <w:szCs w:val="18"/>
          <w:color w:val="auto"/>
        </w:rPr>
        <w:t>Effective December 4, 2018, the Board members approved a motion to extend the Chief Executive Officer’s employment agreement, dated December 4, 2012, for an additional four-year term ending December 2022.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the Chief Executive Officer dies prior to receiving all retirement benefits thereunder, the remaining benefits are to be paid to his heirs. The Company expensed $900,000 and $660,000 during the years ended December 31, 2020 and 2019, respectively, to cover the present value of anticipated retirement benefits under the employment agreement. The liability accrued was $6,656,363 and $5,722,837 as of December 31, 2020 and 2019, respectively.</w:t>
      </w:r>
    </w:p>
    <w:p>
      <w:pPr>
        <w:spacing w:after="0" w:line="203"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2" w:name="page83"/>
    <w:bookmarkEnd w:id="8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Retirement Plans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64" w:lineRule="auto"/>
        <w:rPr>
          <w:sz w:val="20"/>
          <w:szCs w:val="20"/>
          <w:color w:val="auto"/>
        </w:rPr>
      </w:pPr>
      <w:r>
        <w:rPr>
          <w:rFonts w:ascii="Arial" w:cs="Arial" w:eastAsia="Arial" w:hAnsi="Arial"/>
          <w:sz w:val="18"/>
          <w:szCs w:val="18"/>
          <w:color w:val="auto"/>
        </w:rPr>
        <w:t>The Company, through its wholly owned subsidiary, SecurityNational Mortgage,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Such retirement payments are paid monthly during the ten-year period. In the event that this individual dies prior to receiving all of his retirement benefits under his employment agreement, the remaining benefits will be made to his heirs. The company paid $133,843 and $133,843 in retirement compensation to this individual during the years ended December 31, 2020 and 2019, respectively. The liability accrued was $669,212 and $803,055 as of December 31, 2020 and 2019, respectively and is included in Other liabilities and accrued expenses on the consolidated balance sheets.</w:t>
      </w:r>
    </w:p>
    <w:p>
      <w:pPr>
        <w:spacing w:after="0" w:line="186" w:lineRule="exact"/>
        <w:rPr>
          <w:sz w:val="20"/>
          <w:szCs w:val="20"/>
          <w:color w:val="auto"/>
        </w:rPr>
      </w:pPr>
    </w:p>
    <w:p>
      <w:pPr>
        <w:ind w:left="625" w:hanging="625"/>
        <w:spacing w:after="0"/>
        <w:tabs>
          <w:tab w:leader="none" w:pos="62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Capital Stock</w:t>
      </w:r>
    </w:p>
    <w:p>
      <w:pPr>
        <w:spacing w:after="0" w:line="124"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Company has one class of preferred stock of $1.00 par value, 5,000,000 shares authorized, of which none are issued. The preferred stock is non-voting.</w:t>
      </w:r>
    </w:p>
    <w:p>
      <w:pPr>
        <w:spacing w:after="0" w:line="17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 to one ratio. The decrease in treasury stock was the result of treasury stock being used to fund the company’s 401(k) Plans.</w:t>
      </w:r>
    </w:p>
    <w:p>
      <w:pPr>
        <w:spacing w:after="0" w:line="194" w:lineRule="exact"/>
        <w:rPr>
          <w:sz w:val="20"/>
          <w:szCs w:val="20"/>
          <w:color w:val="auto"/>
        </w:rPr>
      </w:pPr>
    </w:p>
    <w:p>
      <w:pPr>
        <w:jc w:val="both"/>
        <w:ind w:left="5" w:right="339"/>
        <w:spacing w:after="0" w:line="305" w:lineRule="auto"/>
        <w:rPr>
          <w:sz w:val="20"/>
          <w:szCs w:val="20"/>
          <w:color w:val="auto"/>
        </w:rPr>
      </w:pPr>
      <w:r>
        <w:rPr>
          <w:rFonts w:ascii="Arial" w:cs="Arial" w:eastAsia="Arial" w:hAnsi="Arial"/>
          <w:sz w:val="18"/>
          <w:szCs w:val="18"/>
          <w:color w:val="auto"/>
        </w:rPr>
        <w:t>Stockholders of both Class A and Class C common stock have received 5% stock dividends in the years 1990 through 2019, and a 7.5% stock dividend in the year 2020, as authorized by the Company’s Board of Directors.</w:t>
      </w:r>
    </w:p>
    <w:p>
      <w:pPr>
        <w:spacing w:after="0" w:line="14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pacing w:after="0" w:line="18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following table summarizes the activity in shares of capital stock for the two-year period ended December 31, 2020:</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36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Class A</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Class C</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shares at December 31, 2018</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15,304,798</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2,193,643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32,517</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Stock dividends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767,178</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119,087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Outstanding shares at December 31, 2019</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16,107,779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2,500,887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68,970</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130,820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80"/>
              <w:spacing w:after="0"/>
              <w:rPr>
                <w:sz w:val="20"/>
                <w:szCs w:val="20"/>
                <w:color w:val="auto"/>
              </w:rPr>
            </w:pPr>
            <w:r>
              <w:rPr>
                <w:rFonts w:ascii="Arial" w:cs="Arial" w:eastAsia="Arial" w:hAnsi="Arial"/>
                <w:sz w:val="18"/>
                <w:szCs w:val="18"/>
                <w:color w:val="auto"/>
              </w:rPr>
              <w:t>Stock dividends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405,210</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61,720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Outstanding shares at December 31, 2020</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16,595,783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2,679,603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612"/>
              <w:spacing w:after="0"/>
              <w:rPr>
                <w:sz w:val="20"/>
                <w:szCs w:val="20"/>
                <w:color w:val="auto"/>
              </w:rPr>
            </w:pPr>
            <w:r>
              <w:rPr>
                <w:rFonts w:ascii="Arial" w:cs="Arial" w:eastAsia="Arial" w:hAnsi="Arial"/>
                <w:sz w:val="18"/>
                <w:szCs w:val="18"/>
                <w:color w:val="auto"/>
              </w:rPr>
              <w:t>83</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6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640" w:type="dxa"/>
            <w:vAlign w:val="bottom"/>
            <w:tcBorders>
              <w:bottom w:val="single" w:sz="8" w:color="909090"/>
            </w:tcBorders>
          </w:tcPr>
          <w:p>
            <w:pPr>
              <w:spacing w:after="0"/>
              <w:rPr>
                <w:sz w:val="15"/>
                <w:szCs w:val="15"/>
                <w:color w:val="auto"/>
              </w:rPr>
            </w:pPr>
          </w:p>
        </w:tc>
        <w:tc>
          <w:tcPr>
            <w:tcW w:w="1580" w:type="dxa"/>
            <w:vAlign w:val="bottom"/>
            <w:tcBorders>
              <w:bottom w:val="single" w:sz="8" w:color="909090"/>
            </w:tcBorders>
          </w:tcPr>
          <w:p>
            <w:pPr>
              <w:spacing w:after="0"/>
              <w:rPr>
                <w:sz w:val="15"/>
                <w:szCs w:val="15"/>
                <w:color w:val="auto"/>
              </w:rPr>
            </w:pPr>
          </w:p>
        </w:tc>
        <w:tc>
          <w:tcPr>
            <w:tcW w:w="1400" w:type="dxa"/>
            <w:vAlign w:val="bottom"/>
            <w:tcBorders>
              <w:bottom w:val="single" w:sz="8" w:color="909090"/>
            </w:tcBorders>
          </w:tcPr>
          <w:p>
            <w:pPr>
              <w:spacing w:after="0"/>
              <w:rPr>
                <w:sz w:val="15"/>
                <w:szCs w:val="15"/>
                <w:color w:val="auto"/>
              </w:rPr>
            </w:pPr>
          </w:p>
        </w:tc>
        <w:tc>
          <w:tcPr>
            <w:tcW w:w="240" w:type="dxa"/>
            <w:vAlign w:val="bottom"/>
            <w:tcBorders>
              <w:bottom w:val="single" w:sz="8" w:color="909090"/>
            </w:tcBorders>
          </w:tcPr>
          <w:p>
            <w:pPr>
              <w:spacing w:after="0"/>
              <w:rPr>
                <w:sz w:val="15"/>
                <w:szCs w:val="15"/>
                <w:color w:val="auto"/>
              </w:rPr>
            </w:pPr>
          </w:p>
        </w:tc>
        <w:tc>
          <w:tcPr>
            <w:tcW w:w="1440" w:type="dxa"/>
            <w:vAlign w:val="bottom"/>
            <w:tcBorders>
              <w:bottom w:val="single" w:sz="8" w:color="909090"/>
            </w:tcBorders>
          </w:tcPr>
          <w:p>
            <w:pPr>
              <w:spacing w:after="0"/>
              <w:rPr>
                <w:sz w:val="15"/>
                <w:szCs w:val="15"/>
                <w:color w:val="auto"/>
              </w:rPr>
            </w:pPr>
          </w:p>
        </w:tc>
        <w:tc>
          <w:tcPr>
            <w:tcW w:w="560" w:type="dxa"/>
            <w:vAlign w:val="bottom"/>
            <w:tcBorders>
              <w:bottom w:val="single" w:sz="8" w:color="90909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184"/>
          </w:cols>
          <w:pgMar w:left="1275" w:top="122" w:right="1440" w:bottom="1440" w:gutter="0" w:footer="0" w:header="0"/>
        </w:sectPr>
      </w:pPr>
    </w:p>
    <w:bookmarkStart w:id="83" w:name="page84"/>
    <w:bookmarkEnd w:id="8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Capital Stock</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Earnings per share amounts have been retroactively adjusted for the effect of annual stock dividends. In accordance with GAAP, the basic and diluted earnings per share amounts were calculated as follows:</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4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2019</w:t>
            </w:r>
          </w:p>
        </w:tc>
      </w:tr>
      <w:tr>
        <w:trPr>
          <w:trHeight w:val="237"/>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7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earnings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55,596,613</w:t>
            </w:r>
          </w:p>
        </w:tc>
        <w:tc>
          <w:tcPr>
            <w:tcW w:w="6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10,893,519</w:t>
            </w:r>
          </w:p>
        </w:tc>
      </w:tr>
      <w:tr>
        <w:trPr>
          <w:trHeight w:val="217"/>
        </w:trPr>
        <w:tc>
          <w:tcPr>
            <w:tcW w:w="4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Denominator:</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for basic earnings</w:t>
            </w:r>
          </w:p>
        </w:tc>
        <w:tc>
          <w:tcPr>
            <w:tcW w:w="1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1"/>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per share-weighted-average shares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18,831,991</w:t>
            </w:r>
          </w:p>
        </w:tc>
        <w:tc>
          <w:tcPr>
            <w:tcW w:w="6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18,562,056</w:t>
            </w:r>
          </w:p>
        </w:tc>
      </w:tr>
      <w:tr>
        <w:trPr>
          <w:trHeight w:val="237"/>
        </w:trPr>
        <w:tc>
          <w:tcPr>
            <w:tcW w:w="4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stock options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443,260</w:t>
            </w:r>
          </w:p>
        </w:tc>
        <w:tc>
          <w:tcPr>
            <w:tcW w:w="60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127,608</w:t>
            </w:r>
          </w:p>
        </w:tc>
      </w:tr>
      <w:tr>
        <w:trPr>
          <w:trHeight w:val="224"/>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Dilutive potential common shares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443,260</w:t>
            </w:r>
          </w:p>
        </w:tc>
        <w:tc>
          <w:tcPr>
            <w:tcW w:w="6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127,608</w:t>
            </w:r>
          </w:p>
        </w:tc>
      </w:tr>
      <w:tr>
        <w:trPr>
          <w:trHeight w:val="237"/>
        </w:trPr>
        <w:tc>
          <w:tcPr>
            <w:tcW w:w="4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Denominator for diluted earnings</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8"/>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 share-adjusted weighted-average</w:t>
            </w:r>
          </w:p>
        </w:tc>
        <w:tc>
          <w:tcPr>
            <w:tcW w:w="1320" w:type="dxa"/>
            <w:vAlign w:val="bottom"/>
            <w:tcBorders>
              <w:bottom w:val="single" w:sz="8" w:color="auto"/>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r>
      <w:tr>
        <w:trPr>
          <w:trHeight w:val="277"/>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shares and assumed conversions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19,275,251</w:t>
            </w:r>
          </w:p>
        </w:tc>
        <w:tc>
          <w:tcPr>
            <w:tcW w:w="6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18,689,664</w:t>
            </w:r>
          </w:p>
        </w:tc>
      </w:tr>
      <w:tr>
        <w:trPr>
          <w:trHeight w:val="217"/>
        </w:trPr>
        <w:tc>
          <w:tcPr>
            <w:tcW w:w="4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77"/>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6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r>
      <w:tr>
        <w:trPr>
          <w:trHeight w:val="217"/>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4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For the years ended December 31, 2020 and 2019, there were -0- and 382,289 of anti-dilutive employee stock option shares, respectively, that were not included in the computation of diluted net earnings per common share as their effect would be anti-dilutive.</w:t>
      </w: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4" w:name="page85"/>
    <w:bookmarkEnd w:id="8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Stock Compensation Plans</w:t>
      </w:r>
    </w:p>
    <w:p>
      <w:pPr>
        <w:spacing w:after="0" w:line="230"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color w:val="auto"/>
        </w:rPr>
        <w:t>The Company has two fixed option plans (the “2013 Plan” and the “2014 Director Plan”). Compensation expense for options issued of $358,878 and $256,996 has been recognized under these plans for the years ended December 31, 2020 and 2019, respectively, and is included in personnel expenses on the consolidated statements of earnings. As of December 31, 2020, the total unrecognized compensation expense related to the options issued was $39,152, which is expected to be recognized over the vesting period of one year.</w:t>
      </w:r>
    </w:p>
    <w:p>
      <w:pPr>
        <w:spacing w:after="0" w:line="177"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77"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following table summarizes the assumptions used in estimating the fair value of each option granted along with the weighted-average fair value of the options granted:</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1"/>
              </w:rPr>
              <w:t>Assumptions</w:t>
            </w: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1"/>
        </w:trPr>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Weighted-</w:t>
            </w:r>
          </w:p>
        </w:tc>
        <w:tc>
          <w:tcPr>
            <w:tcW w:w="800" w:type="dxa"/>
            <w:vAlign w:val="bottom"/>
          </w:tcPr>
          <w:p>
            <w:pPr>
              <w:spacing w:after="0"/>
              <w:rPr>
                <w:sz w:val="17"/>
                <w:szCs w:val="17"/>
                <w:color w:val="auto"/>
              </w:rPr>
            </w:pPr>
          </w:p>
        </w:tc>
      </w:tr>
      <w:tr>
        <w:trPr>
          <w:trHeight w:val="198"/>
        </w:trPr>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6"/>
                <w:szCs w:val="16"/>
                <w:color w:val="auto"/>
              </w:rPr>
              <w:t>Weighted-</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87"/>
              </w:rPr>
              <w:t>Average</w:t>
            </w:r>
          </w:p>
        </w:tc>
        <w:tc>
          <w:tcPr>
            <w:tcW w:w="800" w:type="dxa"/>
            <w:vAlign w:val="bottom"/>
          </w:tcPr>
          <w:p>
            <w:pPr>
              <w:jc w:val="center"/>
              <w:spacing w:after="0"/>
              <w:rPr>
                <w:sz w:val="20"/>
                <w:szCs w:val="20"/>
                <w:color w:val="auto"/>
              </w:rPr>
            </w:pPr>
            <w:r>
              <w:rPr>
                <w:rFonts w:ascii="Arial" w:cs="Arial" w:eastAsia="Arial" w:hAnsi="Arial"/>
                <w:sz w:val="16"/>
                <w:szCs w:val="16"/>
                <w:color w:val="auto"/>
                <w:w w:val="90"/>
              </w:rPr>
              <w:t>Weighted-</w:t>
            </w:r>
          </w:p>
        </w:tc>
      </w:tr>
      <w:tr>
        <w:trPr>
          <w:trHeight w:val="198"/>
        </w:trPr>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color w:val="auto"/>
                <w:w w:val="89"/>
              </w:rPr>
              <w:t>Average Fair</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Expected</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Weighted-</w:t>
            </w: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Risk-Free</w:t>
            </w:r>
          </w:p>
        </w:tc>
        <w:tc>
          <w:tcPr>
            <w:tcW w:w="800" w:type="dxa"/>
            <w:vAlign w:val="bottom"/>
          </w:tcPr>
          <w:p>
            <w:pPr>
              <w:jc w:val="center"/>
              <w:spacing w:after="0"/>
              <w:rPr>
                <w:sz w:val="20"/>
                <w:szCs w:val="20"/>
                <w:color w:val="auto"/>
              </w:rPr>
            </w:pPr>
            <w:r>
              <w:rPr>
                <w:rFonts w:ascii="Arial" w:cs="Arial" w:eastAsia="Arial" w:hAnsi="Arial"/>
                <w:sz w:val="16"/>
                <w:szCs w:val="16"/>
                <w:color w:val="auto"/>
                <w:w w:val="87"/>
              </w:rPr>
              <w:t>Average</w:t>
            </w:r>
          </w:p>
        </w:tc>
      </w:tr>
      <w:tr>
        <w:trPr>
          <w:trHeight w:val="198"/>
        </w:trPr>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color w:val="auto"/>
                <w:w w:val="88"/>
              </w:rPr>
              <w:t>Value of Each</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Dividend</w:t>
            </w: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w w:val="99"/>
              </w:rPr>
              <w:t>Underlying</w:t>
            </w:r>
          </w:p>
        </w:tc>
        <w:tc>
          <w:tcPr>
            <w:tcW w:w="16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Average</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Interest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Expected</w:t>
            </w:r>
          </w:p>
        </w:tc>
      </w:tr>
      <w:tr>
        <w:trPr>
          <w:trHeight w:val="214"/>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Grant Date</w:t>
            </w:r>
          </w:p>
        </w:tc>
        <w:tc>
          <w:tcPr>
            <w:tcW w:w="1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Plan</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color w:val="auto"/>
                <w:w w:val="93"/>
              </w:rPr>
              <w:t>Option</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Yield</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stock FMV</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Volatility</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Rate</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Life (years)</w:t>
            </w:r>
          </w:p>
        </w:tc>
      </w:tr>
      <w:tr>
        <w:trPr>
          <w:trHeight w:val="224"/>
        </w:trPr>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March 27, 2020</w:t>
            </w: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All Plans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9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2"/>
              </w:rPr>
              <w:t>32.29%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4.82</w:t>
            </w:r>
          </w:p>
        </w:tc>
      </w:tr>
      <w:tr>
        <w:trPr>
          <w:trHeight w:val="224"/>
        </w:trPr>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8"/>
              </w:rPr>
              <w:t>December 6, 2019</w:t>
            </w: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All Plans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9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2"/>
              </w:rPr>
              <w:t>32.79%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4.83</w:t>
            </w:r>
          </w:p>
        </w:tc>
      </w:tr>
      <w:tr>
        <w:trPr>
          <w:trHeight w:val="224"/>
        </w:trPr>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7"/>
              </w:rPr>
              <w:t>January 17, 2019</w:t>
            </w: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All Plans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9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92"/>
              </w:rPr>
              <w:t>36.04%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5.31</w:t>
            </w:r>
          </w:p>
        </w:tc>
      </w:tr>
    </w:tbl>
    <w:p>
      <w:pPr>
        <w:spacing w:after="0" w:line="22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5" w:name="page86"/>
    <w:bookmarkEnd w:id="85"/>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Stock Compensation Plans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Activity of the stock option plans is summarized as follows: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52"/>
              <w:spacing w:after="0"/>
              <w:rPr>
                <w:sz w:val="20"/>
                <w:szCs w:val="20"/>
                <w:color w:val="auto"/>
              </w:rPr>
            </w:pPr>
            <w:r>
              <w:rPr>
                <w:rFonts w:ascii="Arial" w:cs="Arial" w:eastAsia="Arial" w:hAnsi="Arial"/>
                <w:sz w:val="18"/>
                <w:szCs w:val="18"/>
                <w:color w:val="auto"/>
                <w:w w:val="86"/>
              </w:rPr>
              <w:t>Weighted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1"/>
        </w:trPr>
        <w:tc>
          <w:tcPr>
            <w:tcW w:w="4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52"/>
              <w:spacing w:after="0"/>
              <w:rPr>
                <w:sz w:val="20"/>
                <w:szCs w:val="20"/>
                <w:color w:val="auto"/>
              </w:rPr>
            </w:pPr>
            <w:r>
              <w:rPr>
                <w:rFonts w:ascii="Arial" w:cs="Arial" w:eastAsia="Arial" w:hAnsi="Arial"/>
                <w:sz w:val="18"/>
                <w:szCs w:val="18"/>
                <w:color w:val="auto"/>
                <w:w w:val="86"/>
              </w:rPr>
              <w:t>Average</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1"/>
        </w:trPr>
        <w:tc>
          <w:tcPr>
            <w:tcW w:w="418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Number of</w:t>
            </w:r>
          </w:p>
        </w:tc>
        <w:tc>
          <w:tcPr>
            <w:tcW w:w="200" w:type="dxa"/>
            <w:vAlign w:val="bottom"/>
          </w:tcPr>
          <w:p>
            <w:pPr>
              <w:spacing w:after="0"/>
              <w:rPr>
                <w:sz w:val="18"/>
                <w:szCs w:val="18"/>
                <w:color w:val="auto"/>
              </w:rPr>
            </w:pPr>
          </w:p>
        </w:tc>
        <w:tc>
          <w:tcPr>
            <w:tcW w:w="1140" w:type="dxa"/>
            <w:vAlign w:val="bottom"/>
            <w:gridSpan w:val="2"/>
          </w:tcPr>
          <w:p>
            <w:pPr>
              <w:jc w:val="center"/>
              <w:ind w:right="152"/>
              <w:spacing w:after="0"/>
              <w:rPr>
                <w:sz w:val="20"/>
                <w:szCs w:val="20"/>
                <w:color w:val="auto"/>
              </w:rPr>
            </w:pPr>
            <w:r>
              <w:rPr>
                <w:rFonts w:ascii="Arial" w:cs="Arial" w:eastAsia="Arial" w:hAnsi="Arial"/>
                <w:sz w:val="18"/>
                <w:szCs w:val="18"/>
                <w:color w:val="auto"/>
                <w:w w:val="89"/>
              </w:rPr>
              <w:t>Exercise</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Number of</w:t>
            </w:r>
          </w:p>
        </w:tc>
        <w:tc>
          <w:tcPr>
            <w:tcW w:w="1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Class A Shares</w:t>
            </w: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center"/>
              <w:ind w:right="152"/>
              <w:spacing w:after="0"/>
              <w:rPr>
                <w:sz w:val="20"/>
                <w:szCs w:val="20"/>
                <w:color w:val="auto"/>
              </w:rPr>
            </w:pPr>
            <w:r>
              <w:rPr>
                <w:rFonts w:ascii="Arial" w:cs="Arial" w:eastAsia="Arial" w:hAnsi="Arial"/>
                <w:sz w:val="18"/>
                <w:szCs w:val="18"/>
                <w:color w:val="auto"/>
                <w:w w:val="92"/>
              </w:rPr>
              <w:t>Price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Class C Shares</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1,011,274</w:t>
            </w:r>
          </w:p>
        </w:tc>
        <w:tc>
          <w:tcPr>
            <w:tcW w:w="7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577,280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Adjustment for the effect of stock dividends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51,018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28,295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(45,834)</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(191,443)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1,086,053</w:t>
            </w:r>
          </w:p>
        </w:tc>
        <w:tc>
          <w:tcPr>
            <w:tcW w:w="7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594,132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Adjustment for the effect of stock dividends</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27,968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19,354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20" w:type="dxa"/>
            <w:vAlign w:val="bottom"/>
          </w:tcPr>
          <w:p>
            <w:pPr>
              <w:jc w:val="right"/>
              <w:spacing w:after="0"/>
              <w:rPr>
                <w:sz w:val="20"/>
                <w:szCs w:val="20"/>
                <w:color w:val="auto"/>
              </w:rPr>
            </w:pPr>
            <w:r>
              <w:rPr>
                <w:rFonts w:ascii="Arial" w:cs="Arial" w:eastAsia="Arial" w:hAnsi="Arial"/>
                <w:sz w:val="18"/>
                <w:szCs w:val="18"/>
                <w:color w:val="auto"/>
              </w:rPr>
              <w:t>(116,487)</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(130,820)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1,072,863</w:t>
            </w:r>
          </w:p>
        </w:tc>
        <w:tc>
          <w:tcPr>
            <w:tcW w:w="7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4.33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662,666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1,053,903</w:t>
            </w:r>
          </w:p>
        </w:tc>
        <w:tc>
          <w:tcPr>
            <w:tcW w:w="7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616,542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325,372</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266,500</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contractual term of options</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5.50 years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 years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Weighted average contractual term of options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exercisable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 years</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years</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Aggregated intrinsic value of options outstanding</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at December 31, 2020 (1)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$4,311,983</w:t>
            </w: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$2,396,954</w:t>
            </w: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Aggregated intrinsic value of options exercisable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December 31, 2020 (1)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$4,223,251</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$2,183,399</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5276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7685" cy="8255"/>
                    </a:xfrm>
                    <a:prstGeom prst="rect">
                      <a:avLst/>
                    </a:prstGeom>
                    <a:noFill/>
                  </pic:spPr>
                </pic:pic>
              </a:graphicData>
            </a:graphic>
          </wp:anchor>
        </w:drawing>
      </w:r>
    </w:p>
    <w:p>
      <w:pPr>
        <w:spacing w:after="0" w:line="205" w:lineRule="exact"/>
        <w:rPr>
          <w:sz w:val="20"/>
          <w:szCs w:val="20"/>
          <w:color w:val="auto"/>
        </w:rPr>
      </w:pPr>
    </w:p>
    <w:p>
      <w:pPr>
        <w:ind w:left="5"/>
        <w:spacing w:after="0"/>
        <w:rPr>
          <w:sz w:val="20"/>
          <w:szCs w:val="20"/>
          <w:color w:val="auto"/>
        </w:rPr>
      </w:pPr>
      <w:r>
        <w:rPr>
          <w:rFonts w:ascii="Arial" w:cs="Arial" w:eastAsia="Arial" w:hAnsi="Arial"/>
          <w:sz w:val="18"/>
          <w:szCs w:val="18"/>
          <w:color w:val="auto"/>
        </w:rPr>
        <w:t>(1)  The Company used a stock price of $8.35 as of December 31, 2020 to derive intrinsic value.</w:t>
      </w:r>
    </w:p>
    <w:p>
      <w:pPr>
        <w:spacing w:after="0" w:line="224"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total intrinsic value (which is the amount by which the fair value of the underlying stock exceeds the exercise price of an option on the exercise date) of stock options exercised during the years ended December 31, 2020 and 2019 was $663,901 and $271,220, respectively.</w:t>
      </w: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6" w:name="page87"/>
    <w:bookmarkEnd w:id="8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Statutory Financial Information and Dividend Limitations</w:t>
      </w:r>
    </w:p>
    <w:p>
      <w:pPr>
        <w:spacing w:after="0" w:line="23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Company’s insurance subsidiaries prepare their statutory-basis financial statements in conformity with accounting practices prescribed or permitted by the insurance department of the applicable state of domicile. Prescribed statutory accounting practices include a variety of publications of the NAIC, as well as state laws, regulations and general administrative rules. Permitted statutory accounting practices encompass all accounting practices not so prescribed.</w:t>
      </w:r>
    </w:p>
    <w:p>
      <w:pPr>
        <w:spacing w:after="0" w:line="194"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All states require domiciled insurance companies to prepare statutory-basis financial statements in conformity with the NAIC Accounting Practices and Procedures Manual, subject to any deviations prescribed or permitted by the applicable insurance commissioner and/or director. Statutory accounting practices differ from GAAP primarily since they require charging policy acquisition and certain sales inducement costs to expense as incurred, establishing life insurance reserves based on different actuarial assumptions, and valuing certain investments and establishing deferred taxes on a different basis.</w:t>
      </w:r>
    </w:p>
    <w:p>
      <w:pPr>
        <w:spacing w:after="0" w:line="178" w:lineRule="exact"/>
        <w:rPr>
          <w:sz w:val="20"/>
          <w:szCs w:val="20"/>
          <w:color w:val="auto"/>
        </w:rPr>
      </w:pPr>
    </w:p>
    <w:p>
      <w:pPr>
        <w:jc w:val="both"/>
        <w:ind w:left="5" w:right="319"/>
        <w:spacing w:after="0" w:line="337" w:lineRule="auto"/>
        <w:rPr>
          <w:sz w:val="20"/>
          <w:szCs w:val="20"/>
          <w:color w:val="auto"/>
        </w:rPr>
      </w:pPr>
      <w:r>
        <w:rPr>
          <w:rFonts w:ascii="Arial" w:cs="Arial" w:eastAsia="Arial" w:hAnsi="Arial"/>
          <w:sz w:val="17"/>
          <w:szCs w:val="17"/>
          <w:color w:val="auto"/>
        </w:rPr>
        <w:t>Statutory net income and capital and surplus of the Company’s insurance subsidiaries, determined in accordance with statutory accounting practices prescribed or permitted by insurance regulatory authorities are as follows:</w:t>
      </w:r>
    </w:p>
    <w:p>
      <w:pPr>
        <w:spacing w:after="0" w:line="144"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3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6"/>
                <w:szCs w:val="16"/>
                <w:color w:val="auto"/>
                <w:w w:val="97"/>
              </w:rPr>
              <w:t>Statutory Net Income</w:t>
            </w:r>
          </w:p>
        </w:tc>
        <w:tc>
          <w:tcPr>
            <w:tcW w:w="420" w:type="dxa"/>
            <w:vAlign w:val="bottom"/>
          </w:tcPr>
          <w:p>
            <w:pPr>
              <w:spacing w:after="0"/>
              <w:rPr>
                <w:sz w:val="18"/>
                <w:szCs w:val="18"/>
                <w:color w:val="auto"/>
              </w:rPr>
            </w:pPr>
          </w:p>
        </w:tc>
        <w:tc>
          <w:tcPr>
            <w:tcW w:w="244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6"/>
                <w:szCs w:val="16"/>
                <w:color w:val="auto"/>
              </w:rPr>
              <w:t>Statutory Capital and Surplus</w:t>
            </w:r>
          </w:p>
        </w:tc>
      </w:tr>
      <w:tr>
        <w:trPr>
          <w:trHeight w:val="217"/>
        </w:trPr>
        <w:tc>
          <w:tcPr>
            <w:tcW w:w="36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2020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95"/>
              </w:rPr>
              <w:t>2019</w:t>
            </w:r>
          </w:p>
        </w:tc>
        <w:tc>
          <w:tcPr>
            <w:tcW w:w="4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95"/>
              </w:rPr>
              <w:t>2020</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2019</w:t>
            </w:r>
          </w:p>
        </w:tc>
      </w:tr>
      <w:tr>
        <w:trPr>
          <w:trHeight w:val="224"/>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Amounts by insurance subsidiary:</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4"/>
        </w:trPr>
        <w:tc>
          <w:tcPr>
            <w:tcW w:w="3680" w:type="dxa"/>
            <w:vAlign w:val="bottom"/>
          </w:tcPr>
          <w:p>
            <w:pPr>
              <w:spacing w:after="0"/>
              <w:rPr>
                <w:sz w:val="20"/>
                <w:szCs w:val="20"/>
                <w:color w:val="auto"/>
              </w:rPr>
            </w:pPr>
            <w:r>
              <w:rPr>
                <w:rFonts w:ascii="Arial" w:cs="Arial" w:eastAsia="Arial" w:hAnsi="Arial"/>
                <w:sz w:val="16"/>
                <w:szCs w:val="16"/>
                <w:color w:val="auto"/>
              </w:rPr>
              <w:t>Security National Life Insurance Company</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6,054,764</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3,589,552</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9"/>
              </w:rPr>
              <w:t>53,089,185</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9"/>
              </w:rPr>
              <w:t>49,390,181</w:t>
            </w:r>
          </w:p>
        </w:tc>
      </w:tr>
      <w:tr>
        <w:trPr>
          <w:trHeight w:val="234"/>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Kilpatrick Life Insurance Company</w:t>
            </w: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1,574,128</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12,752,100</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15,177,996</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15,208,071</w:t>
            </w:r>
          </w:p>
        </w:tc>
      </w:tr>
      <w:tr>
        <w:trPr>
          <w:trHeight w:val="214"/>
        </w:trPr>
        <w:tc>
          <w:tcPr>
            <w:tcW w:w="3680" w:type="dxa"/>
            <w:vAlign w:val="bottom"/>
          </w:tcPr>
          <w:p>
            <w:pPr>
              <w:spacing w:after="0"/>
              <w:rPr>
                <w:sz w:val="20"/>
                <w:szCs w:val="20"/>
                <w:color w:val="auto"/>
              </w:rPr>
            </w:pPr>
            <w:r>
              <w:rPr>
                <w:rFonts w:ascii="Arial" w:cs="Arial" w:eastAsia="Arial" w:hAnsi="Arial"/>
                <w:sz w:val="16"/>
                <w:szCs w:val="16"/>
                <w:color w:val="auto"/>
              </w:rPr>
              <w:t>First Guaranty Insurance Company</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790,221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1,078,733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7,045,644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6,352,670</w:t>
            </w:r>
          </w:p>
        </w:tc>
      </w:tr>
      <w:tr>
        <w:trPr>
          <w:trHeight w:val="234"/>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Memorial Insurance Company of America</w:t>
            </w: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1,088,034</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1,088,559</w:t>
            </w:r>
          </w:p>
        </w:tc>
      </w:tr>
      <w:tr>
        <w:trPr>
          <w:trHeight w:val="214"/>
        </w:trPr>
        <w:tc>
          <w:tcPr>
            <w:tcW w:w="3680" w:type="dxa"/>
            <w:vAlign w:val="bottom"/>
          </w:tcPr>
          <w:p>
            <w:pPr>
              <w:spacing w:after="0"/>
              <w:rPr>
                <w:sz w:val="20"/>
                <w:szCs w:val="20"/>
                <w:color w:val="auto"/>
              </w:rPr>
            </w:pPr>
            <w:r>
              <w:rPr>
                <w:rFonts w:ascii="Arial" w:cs="Arial" w:eastAsia="Arial" w:hAnsi="Arial"/>
                <w:sz w:val="16"/>
                <w:szCs w:val="16"/>
                <w:color w:val="auto"/>
              </w:rPr>
              <w:t>Southern Security Life Insurance Company, Inc.</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1,581,647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1,588,396</w:t>
            </w:r>
          </w:p>
        </w:tc>
      </w:tr>
      <w:tr>
        <w:trPr>
          <w:trHeight w:val="227"/>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Trans-Western Life Insurance Company</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510,636</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512,163</w:t>
            </w:r>
          </w:p>
        </w:tc>
      </w:tr>
      <w:tr>
        <w:trPr>
          <w:trHeight w:val="221"/>
        </w:trPr>
        <w:tc>
          <w:tcPr>
            <w:tcW w:w="3680" w:type="dxa"/>
            <w:vAlign w:val="bottom"/>
          </w:tcPr>
          <w:p>
            <w:pPr>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8,417,824</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17,424,138</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78,493,142</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74,140,040</w:t>
            </w:r>
          </w:p>
        </w:tc>
      </w:tr>
      <w:tr>
        <w:trPr>
          <w:trHeight w:val="20"/>
        </w:trPr>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7791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194" w:lineRule="exact"/>
        <w:rPr>
          <w:sz w:val="20"/>
          <w:szCs w:val="20"/>
          <w:color w:val="auto"/>
        </w:rPr>
      </w:pPr>
    </w:p>
    <w:p>
      <w:pPr>
        <w:ind w:left="5"/>
        <w:spacing w:after="0"/>
        <w:tabs>
          <w:tab w:leader="none" w:pos="304"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12 months even though Kilpatrick Life Insurance Company wasn't acquired by the Company until December 2019.</w:t>
      </w:r>
    </w:p>
    <w:p>
      <w:pPr>
        <w:spacing w:after="0" w:line="231"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color w:val="auto"/>
        </w:rPr>
        <w:t>The Utah, Arkansas, Louisiana, Mississippi and Texas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2020.</w:t>
      </w:r>
    </w:p>
    <w:p>
      <w:pPr>
        <w:spacing w:after="0" w:line="197"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157"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Under the Utah Insurance Code, Security National Life Insurance Company is permitted to pay a stockholder dividend to the Company as long as the Company provides the Utah Insurance Commissioner (the “Utah Commissioner”) with at least 30 days notice and the aggregate amount of all such dividends in any 12 month period does not exceed the lesser of: (i) 10% of its surplus to policyholders as of the end of the immediately preceding calendar year, or (ii) net gain from operations, not including realized capital gains, for the immediately preceding calendar year, not including</w:t>
      </w:r>
    </w:p>
    <w:p>
      <w:pPr>
        <w:spacing w:after="0" w:line="21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7" w:name="page88"/>
    <w:bookmarkEnd w:id="8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Statutory Financial Information and Dividend Limitations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49" w:lineRule="auto"/>
        <w:rPr>
          <w:sz w:val="20"/>
          <w:szCs w:val="20"/>
          <w:color w:val="auto"/>
        </w:rPr>
      </w:pPr>
      <w:r>
        <w:rPr>
          <w:rFonts w:ascii="Arial" w:cs="Arial" w:eastAsia="Arial" w:hAnsi="Arial"/>
          <w:sz w:val="19"/>
          <w:szCs w:val="19"/>
          <w:color w:val="auto"/>
        </w:rPr>
        <w:t>pro rata distributions of the Company’s own securities. In determining whether a dividend is extraordinary, the Company may include carryforward net income from the previous two calendar years, excluding realized capital gains less dividends paid in the second and immediately preceding calendar years. Security National Life Insurance Company will be permitted to pay a dividend to the Company in excess of the lesser of such two amounts only if it files notice of its intention to declare such a dividend and the amount thereof with the Utah Commissioner and the Utah Commissioner either approves the distribution of the dividend or does not disapprove the distribution within 30 days of its filing. In all cases, a dividend may not be paid that would reduce the insurer’s total adjusted capital below the insurer’s company action level risk-based capital, as defined for statutory reporting purposes. Amounts available to be paid as dividends in the next 12 months totals approximately $5,309,000.</w:t>
      </w:r>
    </w:p>
    <w:p>
      <w:pPr>
        <w:spacing w:after="0" w:line="200" w:lineRule="exact"/>
        <w:rPr>
          <w:sz w:val="20"/>
          <w:szCs w:val="20"/>
          <w:color w:val="auto"/>
        </w:rPr>
      </w:pPr>
    </w:p>
    <w:p>
      <w:pPr>
        <w:jc w:val="both"/>
        <w:ind w:left="5" w:right="319"/>
        <w:spacing w:after="0" w:line="267" w:lineRule="auto"/>
        <w:rPr>
          <w:sz w:val="20"/>
          <w:szCs w:val="20"/>
          <w:color w:val="auto"/>
        </w:rPr>
      </w:pPr>
      <w:r>
        <w:rPr>
          <w:rFonts w:ascii="Arial" w:cs="Arial" w:eastAsia="Arial" w:hAnsi="Arial"/>
          <w:sz w:val="18"/>
          <w:szCs w:val="18"/>
          <w:color w:val="auto"/>
        </w:rPr>
        <w:t>Under the Louisiana Insurance Code, First Guaranty Insurance Company and Kilpatrick Life Insurance Company are permitted to pay a stockholder dividend to Security National Life as long as their capital has been (i) fully paid in cash, (ii) is unimpaired, (iii) has a surplus beyond its capital stock and (iv) has a surplus beyond its minimum required surplus. In 2019, First Guaranty Insurance Company paid to Security National Life a cash dividend of $500,000 and Kilpatrick Life Insurance Company paid a cash dividend of $3,000,000. Amounts available to be paid as dividends at December 31, 2020 totaled approximately $3,146,000 for First Guaranty Insurance Company and totaled approximately $11,478,000 for Kilpatrick Life Insurance Company.</w:t>
      </w:r>
    </w:p>
    <w:p>
      <w:pPr>
        <w:spacing w:after="0" w:line="182" w:lineRule="exact"/>
        <w:rPr>
          <w:sz w:val="20"/>
          <w:szCs w:val="20"/>
          <w:color w:val="auto"/>
        </w:rPr>
      </w:pPr>
    </w:p>
    <w:p>
      <w:pPr>
        <w:ind w:left="625" w:hanging="625"/>
        <w:spacing w:after="0"/>
        <w:tabs>
          <w:tab w:leader="none" w:pos="62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Business Segment Information</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Description of Products and Services by Segment</w:t>
      </w:r>
    </w:p>
    <w:p>
      <w:pPr>
        <w:spacing w:after="0" w:line="236" w:lineRule="exact"/>
        <w:rPr>
          <w:sz w:val="20"/>
          <w:szCs w:val="20"/>
          <w:color w:val="auto"/>
        </w:rPr>
      </w:pPr>
    </w:p>
    <w:p>
      <w:pPr>
        <w:jc w:val="both"/>
        <w:ind w:left="5" w:right="319"/>
        <w:spacing w:after="0" w:line="249" w:lineRule="auto"/>
        <w:rPr>
          <w:sz w:val="20"/>
          <w:szCs w:val="20"/>
          <w:color w:val="auto"/>
        </w:rPr>
      </w:pPr>
      <w:r>
        <w:rPr>
          <w:rFonts w:ascii="Arial" w:cs="Arial" w:eastAsia="Arial" w:hAnsi="Arial"/>
          <w:sz w:val="19"/>
          <w:szCs w:val="19"/>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pre-sold loans before the funds are received from financial institutional investors.</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Measurement of Segment Profit or Loss and Segment Assets</w:t>
      </w:r>
    </w:p>
    <w:p>
      <w:pPr>
        <w:spacing w:after="0" w:line="236"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accounting policies of the reportable segments are the same as those described in the Significant Accounting Principles. Intersegment revenues are recorded at cost plus an agreed upon intercompany profit, and are eliminated upon consolidation.</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Factors Management Used to Identify the Enterprise’s Reportable Segments</w:t>
      </w:r>
    </w:p>
    <w:p>
      <w:pPr>
        <w:spacing w:after="0" w:line="236" w:lineRule="exact"/>
        <w:rPr>
          <w:sz w:val="20"/>
          <w:szCs w:val="20"/>
          <w:color w:val="auto"/>
        </w:rPr>
      </w:pPr>
    </w:p>
    <w:p>
      <w:pPr>
        <w:jc w:val="both"/>
        <w:ind w:left="5" w:right="319"/>
        <w:spacing w:after="0" w:line="306" w:lineRule="auto"/>
        <w:rPr>
          <w:sz w:val="20"/>
          <w:szCs w:val="20"/>
          <w:color w:val="auto"/>
        </w:rPr>
      </w:pPr>
      <w:r>
        <w:rPr>
          <w:rFonts w:ascii="Arial" w:cs="Arial" w:eastAsia="Arial" w:hAnsi="Arial"/>
          <w:sz w:val="17"/>
          <w:szCs w:val="17"/>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67"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8" w:name="page89"/>
    <w:bookmarkEnd w:id="8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35" w:lineRule="exact"/>
        <w:rPr>
          <w:sz w:val="20"/>
          <w:szCs w:val="20"/>
          <w:color w:val="auto"/>
        </w:rPr>
      </w:pPr>
    </w:p>
    <w:p>
      <w:pPr>
        <w:ind w:left="625" w:hanging="625"/>
        <w:spacing w:after="0"/>
        <w:tabs>
          <w:tab w:leader="none" w:pos="62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Business Segment Information</w:t>
      </w:r>
      <w:r>
        <w:rPr>
          <w:rFonts w:ascii="Arial" w:cs="Arial" w:eastAsia="Arial" w:hAnsi="Arial"/>
          <w:sz w:val="19"/>
          <w:szCs w:val="19"/>
          <w:color w:val="auto"/>
        </w:rPr>
        <w:t xml:space="preserve"> (Continued)</w:t>
      </w:r>
    </w:p>
    <w:p>
      <w:pPr>
        <w:spacing w:after="0" w:line="272"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2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2020</w:t>
            </w: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1"/>
        </w:trPr>
        <w:tc>
          <w:tcPr>
            <w:tcW w:w="2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2"/>
                <w:szCs w:val="12"/>
                <w:color w:val="auto"/>
              </w:rPr>
              <w:t>Life</w:t>
            </w:r>
          </w:p>
        </w:tc>
        <w:tc>
          <w:tcPr>
            <w:tcW w:w="1260" w:type="dxa"/>
            <w:vAlign w:val="bottom"/>
            <w:gridSpan w:val="3"/>
          </w:tcPr>
          <w:p>
            <w:pPr>
              <w:jc w:val="center"/>
              <w:ind w:right="160"/>
              <w:spacing w:after="0"/>
              <w:rPr>
                <w:sz w:val="20"/>
                <w:szCs w:val="20"/>
                <w:color w:val="auto"/>
              </w:rPr>
            </w:pPr>
            <w:r>
              <w:rPr>
                <w:rFonts w:ascii="Arial" w:cs="Arial" w:eastAsia="Arial" w:hAnsi="Arial"/>
                <w:sz w:val="12"/>
                <w:szCs w:val="12"/>
                <w:color w:val="auto"/>
                <w:w w:val="90"/>
              </w:rPr>
              <w:t>Cemetery/</w:t>
            </w: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ind w:left="240"/>
              <w:spacing w:after="0"/>
              <w:rPr>
                <w:sz w:val="20"/>
                <w:szCs w:val="20"/>
                <w:color w:val="auto"/>
              </w:rPr>
            </w:pPr>
            <w:r>
              <w:rPr>
                <w:rFonts w:ascii="Arial" w:cs="Arial" w:eastAsia="Arial" w:hAnsi="Arial"/>
                <w:sz w:val="12"/>
                <w:szCs w:val="12"/>
                <w:color w:val="auto"/>
              </w:rPr>
              <w:t>Intercompany</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00" w:type="dxa"/>
            <w:vAlign w:val="bottom"/>
          </w:tcPr>
          <w:p>
            <w:pPr>
              <w:spacing w:after="0"/>
              <w:rPr>
                <w:sz w:val="13"/>
                <w:szCs w:val="13"/>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2"/>
                <w:szCs w:val="12"/>
                <w:color w:val="auto"/>
                <w:w w:val="91"/>
              </w:rPr>
              <w:t>Insurance</w:t>
            </w:r>
          </w:p>
        </w:tc>
        <w:tc>
          <w:tcPr>
            <w:tcW w:w="320" w:type="dxa"/>
            <w:vAlign w:val="bottom"/>
          </w:tcPr>
          <w:p>
            <w:pPr>
              <w:spacing w:after="0"/>
              <w:rPr>
                <w:sz w:val="13"/>
                <w:szCs w:val="13"/>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2"/>
                <w:szCs w:val="12"/>
                <w:color w:val="auto"/>
                <w:w w:val="97"/>
              </w:rPr>
              <w:t>Mortuary</w:t>
            </w:r>
          </w:p>
        </w:tc>
        <w:tc>
          <w:tcPr>
            <w:tcW w:w="1240" w:type="dxa"/>
            <w:vAlign w:val="bottom"/>
            <w:gridSpan w:val="3"/>
          </w:tcPr>
          <w:p>
            <w:pPr>
              <w:ind w:left="300"/>
              <w:spacing w:after="0"/>
              <w:rPr>
                <w:sz w:val="20"/>
                <w:szCs w:val="20"/>
                <w:color w:val="auto"/>
              </w:rPr>
            </w:pPr>
            <w:r>
              <w:rPr>
                <w:rFonts w:ascii="Arial" w:cs="Arial" w:eastAsia="Arial" w:hAnsi="Arial"/>
                <w:sz w:val="12"/>
                <w:szCs w:val="12"/>
                <w:color w:val="auto"/>
              </w:rPr>
              <w:t>Mortgage</w:t>
            </w:r>
          </w:p>
        </w:tc>
        <w:tc>
          <w:tcPr>
            <w:tcW w:w="1320" w:type="dxa"/>
            <w:vAlign w:val="bottom"/>
            <w:gridSpan w:val="3"/>
          </w:tcPr>
          <w:p>
            <w:pPr>
              <w:ind w:left="260"/>
              <w:spacing w:after="0"/>
              <w:rPr>
                <w:sz w:val="20"/>
                <w:szCs w:val="20"/>
                <w:color w:val="auto"/>
              </w:rPr>
            </w:pPr>
            <w:r>
              <w:rPr>
                <w:rFonts w:ascii="Arial" w:cs="Arial" w:eastAsia="Arial" w:hAnsi="Arial"/>
                <w:sz w:val="12"/>
                <w:szCs w:val="12"/>
                <w:color w:val="auto"/>
              </w:rPr>
              <w:t>Eliminations</w:t>
            </w:r>
          </w:p>
        </w:tc>
        <w:tc>
          <w:tcPr>
            <w:tcW w:w="1080" w:type="dxa"/>
            <w:vAlign w:val="bottom"/>
            <w:gridSpan w:val="2"/>
          </w:tcPr>
          <w:p>
            <w:pPr>
              <w:jc w:val="right"/>
              <w:ind w:right="158"/>
              <w:spacing w:after="0"/>
              <w:rPr>
                <w:sz w:val="20"/>
                <w:szCs w:val="20"/>
                <w:color w:val="auto"/>
              </w:rPr>
            </w:pPr>
            <w:r>
              <w:rPr>
                <w:rFonts w:ascii="Arial" w:cs="Arial" w:eastAsia="Arial" w:hAnsi="Arial"/>
                <w:sz w:val="12"/>
                <w:szCs w:val="12"/>
                <w:color w:val="auto"/>
              </w:rPr>
              <w:t>Consolidated</w:t>
            </w:r>
          </w:p>
        </w:tc>
      </w:tr>
      <w:tr>
        <w:trPr>
          <w:trHeight w:val="15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Revenues:</w:t>
            </w: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From external sources:</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Revenue from customers</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93,020,617</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20,307,435</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298,933,110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412,261,162</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Net investment income</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54,811,486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807,695</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710,622</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56,329,803</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Gains on investments and other assets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2,088,541</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(162,652)</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1,925,850</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Other than temporary impairments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(370,975)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(370,975)</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Other revenues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1,491,585</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94,349</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9,731,548</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11,317,482</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Intersegment revenues:</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Net investment income</w:t>
            </w: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8,022,503</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351,505</w:t>
            </w:r>
          </w:p>
        </w:tc>
        <w:tc>
          <w:tcPr>
            <w:tcW w:w="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716,240</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(9,090,248)</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270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Total revenues</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159,063,757</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21,398,332</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310,091,481</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(9,090,248)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481,463,322</w:t>
            </w:r>
          </w:p>
        </w:tc>
      </w:tr>
      <w:tr>
        <w:trPr>
          <w:trHeight w:val="153"/>
        </w:trPr>
        <w:tc>
          <w:tcPr>
            <w:tcW w:w="27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Expenses: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Death, surrenders and other policy benefits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62,841,360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62,841,360</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Increase in future policy benefits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23,568,650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23,568,650</w:t>
            </w:r>
          </w:p>
        </w:tc>
      </w:tr>
      <w:tr>
        <w:trPr>
          <w:trHeight w:val="131"/>
        </w:trPr>
        <w:tc>
          <w:tcPr>
            <w:tcW w:w="2700" w:type="dxa"/>
            <w:vAlign w:val="bottom"/>
          </w:tcPr>
          <w:p>
            <w:pPr>
              <w:spacing w:after="0" w:line="131" w:lineRule="exact"/>
              <w:rPr>
                <w:sz w:val="20"/>
                <w:szCs w:val="20"/>
                <w:color w:val="auto"/>
              </w:rPr>
            </w:pPr>
            <w:r>
              <w:rPr>
                <w:rFonts w:ascii="Arial" w:cs="Arial" w:eastAsia="Arial" w:hAnsi="Arial"/>
                <w:sz w:val="12"/>
                <w:szCs w:val="12"/>
                <w:color w:val="auto"/>
              </w:rPr>
              <w:t>Amortization of deferred policy and pre-need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acquisition costs and value of business acquired</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13,618,204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689,221</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14,307,425</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Commissions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4,149,241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1,506,320</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118,770,736</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124,426,297</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Personnel</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25,449,100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5,669,367</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53,871,504</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84,989,971</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Advertising</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614,114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391,836</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4,374,946</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5,380,896</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Rent and rent related</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861,602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89,253</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5,922,706</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6,873,561</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Depreciation on property and equipment</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843,335</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488,570</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746,833</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2,078,738</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Provision for loan loss reserve</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16,506,030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16,506,030</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Cost related to funding mortgage loans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9,877,700</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9,877,700</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Intersegment</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621,161</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142,999</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580,976</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(1,345,136)</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Other</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11,808,818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4,417,805</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31,104,479</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47,331,102</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Intersegment</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410,024</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152,175</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7,182,913</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(7,745,112)</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2,354,760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198,968</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6,025,082</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8,578,810</w:t>
            </w:r>
          </w:p>
        </w:tc>
      </w:tr>
      <w:tr>
        <w:trPr>
          <w:trHeight w:val="131"/>
        </w:trPr>
        <w:tc>
          <w:tcPr>
            <w:tcW w:w="2700" w:type="dxa"/>
            <w:vAlign w:val="bottom"/>
          </w:tcPr>
          <w:p>
            <w:pPr>
              <w:spacing w:after="0" w:line="131" w:lineRule="exact"/>
              <w:rPr>
                <w:sz w:val="20"/>
                <w:szCs w:val="20"/>
                <w:color w:val="auto"/>
              </w:rPr>
            </w:pPr>
            <w:r>
              <w:rPr>
                <w:rFonts w:ascii="Arial" w:cs="Arial" w:eastAsia="Arial" w:hAnsi="Arial"/>
                <w:sz w:val="12"/>
                <w:szCs w:val="12"/>
                <w:color w:val="auto"/>
              </w:rPr>
              <w:t>Costs of goods and services sold-mortuaries and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7"/>
        </w:trPr>
        <w:tc>
          <w:tcPr>
            <w:tcW w:w="2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cemeteries</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3,252,655</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3,252,655</w:t>
            </w:r>
          </w:p>
        </w:tc>
      </w:tr>
      <w:tr>
        <w:trPr>
          <w:trHeight w:val="153"/>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Total benefits and expenses</w:t>
            </w: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147,140,369</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16,999,169</w:t>
            </w:r>
          </w:p>
        </w:tc>
        <w:tc>
          <w:tcPr>
            <w:tcW w:w="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254,963,905</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(9,090,248)</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410,013,195</w:t>
            </w:r>
          </w:p>
        </w:tc>
      </w:tr>
      <w:tr>
        <w:trPr>
          <w:trHeight w:val="150"/>
        </w:trPr>
        <w:tc>
          <w:tcPr>
            <w:tcW w:w="270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Earnings before income taxes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11,923,388</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4,399,163</w:t>
            </w: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55,127,576</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71,450,127</w:t>
            </w:r>
          </w:p>
        </w:tc>
      </w:tr>
      <w:tr>
        <w:trPr>
          <w:trHeight w:val="153"/>
        </w:trPr>
        <w:tc>
          <w:tcPr>
            <w:tcW w:w="27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Income tax benefit (expense)</w:t>
            </w: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(1,433,901)</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(1,009,137)</w:t>
            </w:r>
          </w:p>
        </w:tc>
        <w:tc>
          <w:tcPr>
            <w:tcW w:w="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(13,410,476)</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(15,853,514)</w:t>
            </w:r>
          </w:p>
        </w:tc>
      </w:tr>
      <w:tr>
        <w:trPr>
          <w:trHeight w:val="190"/>
        </w:trPr>
        <w:tc>
          <w:tcPr>
            <w:tcW w:w="270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Net earnings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10,489,487</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3,390,026</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41,717,100</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55,596,613</w:t>
            </w:r>
          </w:p>
        </w:tc>
      </w:tr>
      <w:tr>
        <w:trPr>
          <w:trHeight w:val="139"/>
        </w:trPr>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97"/>
        </w:trPr>
        <w:tc>
          <w:tcPr>
            <w:tcW w:w="2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Identifiable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1,171,158,235</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56,335,498</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408,325,196</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(90,398,039)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1,545,420,890</w:t>
            </w:r>
          </w:p>
        </w:tc>
      </w:tr>
      <w:tr>
        <w:trPr>
          <w:trHeight w:val="139"/>
        </w:trPr>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Goodwill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2,765,570</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754,018</w:t>
            </w:r>
          </w:p>
        </w:tc>
        <w:tc>
          <w:tcPr>
            <w:tcW w:w="160" w:type="dxa"/>
            <w:vAlign w:val="bottom"/>
          </w:tcPr>
          <w:p>
            <w:pPr>
              <w:spacing w:after="0"/>
              <w:rPr>
                <w:sz w:val="13"/>
                <w:szCs w:val="13"/>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3,519,588</w:t>
            </w:r>
          </w:p>
        </w:tc>
      </w:tr>
      <w:tr>
        <w:trPr>
          <w:trHeight w:val="20"/>
        </w:trPr>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89" w:name="page90"/>
    <w:bookmarkEnd w:id="8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35" w:lineRule="exact"/>
        <w:rPr>
          <w:sz w:val="20"/>
          <w:szCs w:val="20"/>
          <w:color w:val="auto"/>
        </w:rPr>
      </w:pPr>
    </w:p>
    <w:p>
      <w:pPr>
        <w:ind w:left="625" w:hanging="625"/>
        <w:spacing w:after="0"/>
        <w:tabs>
          <w:tab w:leader="none" w:pos="62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Business Segment Information</w:t>
      </w:r>
      <w:r>
        <w:rPr>
          <w:rFonts w:ascii="Arial" w:cs="Arial" w:eastAsia="Arial" w:hAnsi="Arial"/>
          <w:sz w:val="19"/>
          <w:szCs w:val="19"/>
          <w:color w:val="auto"/>
        </w:rPr>
        <w:t xml:space="preserve"> (Continued)</w:t>
      </w:r>
    </w:p>
    <w:p>
      <w:pPr>
        <w:spacing w:after="0" w:line="272"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2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2019</w:t>
            </w: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1"/>
        </w:trPr>
        <w:tc>
          <w:tcPr>
            <w:tcW w:w="2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2"/>
                <w:szCs w:val="12"/>
                <w:color w:val="auto"/>
              </w:rPr>
              <w:t>Life</w:t>
            </w:r>
          </w:p>
        </w:tc>
        <w:tc>
          <w:tcPr>
            <w:tcW w:w="1260" w:type="dxa"/>
            <w:vAlign w:val="bottom"/>
            <w:gridSpan w:val="3"/>
          </w:tcPr>
          <w:p>
            <w:pPr>
              <w:jc w:val="center"/>
              <w:ind w:right="160"/>
              <w:spacing w:after="0"/>
              <w:rPr>
                <w:sz w:val="20"/>
                <w:szCs w:val="20"/>
                <w:color w:val="auto"/>
              </w:rPr>
            </w:pPr>
            <w:r>
              <w:rPr>
                <w:rFonts w:ascii="Arial" w:cs="Arial" w:eastAsia="Arial" w:hAnsi="Arial"/>
                <w:sz w:val="12"/>
                <w:szCs w:val="12"/>
                <w:color w:val="auto"/>
                <w:w w:val="90"/>
              </w:rPr>
              <w:t>Cemetery/</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ind w:left="240"/>
              <w:spacing w:after="0"/>
              <w:rPr>
                <w:sz w:val="20"/>
                <w:szCs w:val="20"/>
                <w:color w:val="auto"/>
              </w:rPr>
            </w:pPr>
            <w:r>
              <w:rPr>
                <w:rFonts w:ascii="Arial" w:cs="Arial" w:eastAsia="Arial" w:hAnsi="Arial"/>
                <w:sz w:val="12"/>
                <w:szCs w:val="12"/>
                <w:color w:val="auto"/>
              </w:rPr>
              <w:t>Intercompany</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2700" w:type="dxa"/>
            <w:vAlign w:val="bottom"/>
          </w:tcPr>
          <w:p>
            <w:pPr>
              <w:spacing w:after="0"/>
              <w:rPr>
                <w:sz w:val="13"/>
                <w:szCs w:val="13"/>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2"/>
                <w:szCs w:val="12"/>
                <w:color w:val="auto"/>
                <w:w w:val="91"/>
              </w:rPr>
              <w:t>Insurance</w:t>
            </w:r>
          </w:p>
        </w:tc>
        <w:tc>
          <w:tcPr>
            <w:tcW w:w="1260" w:type="dxa"/>
            <w:vAlign w:val="bottom"/>
            <w:gridSpan w:val="3"/>
          </w:tcPr>
          <w:p>
            <w:pPr>
              <w:jc w:val="center"/>
              <w:ind w:right="160"/>
              <w:spacing w:after="0"/>
              <w:rPr>
                <w:sz w:val="20"/>
                <w:szCs w:val="20"/>
                <w:color w:val="auto"/>
              </w:rPr>
            </w:pPr>
            <w:r>
              <w:rPr>
                <w:rFonts w:ascii="Arial" w:cs="Arial" w:eastAsia="Arial" w:hAnsi="Arial"/>
                <w:sz w:val="12"/>
                <w:szCs w:val="12"/>
                <w:color w:val="auto"/>
                <w:w w:val="97"/>
              </w:rPr>
              <w:t>Mortuary</w:t>
            </w:r>
          </w:p>
        </w:tc>
        <w:tc>
          <w:tcPr>
            <w:tcW w:w="3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2"/>
                <w:szCs w:val="12"/>
                <w:color w:val="auto"/>
              </w:rPr>
              <w:t>Mortgage</w:t>
            </w:r>
          </w:p>
        </w:tc>
        <w:tc>
          <w:tcPr>
            <w:tcW w:w="1320" w:type="dxa"/>
            <w:vAlign w:val="bottom"/>
            <w:gridSpan w:val="3"/>
          </w:tcPr>
          <w:p>
            <w:pPr>
              <w:ind w:left="260"/>
              <w:spacing w:after="0"/>
              <w:rPr>
                <w:sz w:val="20"/>
                <w:szCs w:val="20"/>
                <w:color w:val="auto"/>
              </w:rPr>
            </w:pPr>
            <w:r>
              <w:rPr>
                <w:rFonts w:ascii="Arial" w:cs="Arial" w:eastAsia="Arial" w:hAnsi="Arial"/>
                <w:sz w:val="12"/>
                <w:szCs w:val="12"/>
                <w:color w:val="auto"/>
              </w:rPr>
              <w:t>Eliminations</w:t>
            </w:r>
          </w:p>
        </w:tc>
        <w:tc>
          <w:tcPr>
            <w:tcW w:w="1080" w:type="dxa"/>
            <w:vAlign w:val="bottom"/>
            <w:gridSpan w:val="2"/>
          </w:tcPr>
          <w:p>
            <w:pPr>
              <w:jc w:val="right"/>
              <w:ind w:right="158"/>
              <w:spacing w:after="0"/>
              <w:rPr>
                <w:sz w:val="20"/>
                <w:szCs w:val="20"/>
                <w:color w:val="auto"/>
              </w:rPr>
            </w:pPr>
            <w:r>
              <w:rPr>
                <w:rFonts w:ascii="Arial" w:cs="Arial" w:eastAsia="Arial" w:hAnsi="Arial"/>
                <w:sz w:val="12"/>
                <w:szCs w:val="12"/>
                <w:color w:val="auto"/>
              </w:rPr>
              <w:t>Consolidated</w:t>
            </w:r>
          </w:p>
        </w:tc>
      </w:tr>
      <w:tr>
        <w:trPr>
          <w:trHeight w:val="15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Revenues:</w:t>
            </w:r>
          </w:p>
        </w:tc>
        <w:tc>
          <w:tcPr>
            <w:tcW w:w="3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From external sources:</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Revenue from customers</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81,860,610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15,296,235</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131,976,082</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229,132,927</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Net investment income</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41,610,831</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579,995</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828,647</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43,019,473</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Gains on investments and other assets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138,330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530,098</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59,939</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728,367</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Other revenues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2,128,961</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95,197</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7,956,005</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10,180,163</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Intersegment revenues: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2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investment income</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4,455,034</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443,548</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508,637</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(5,407,219)</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7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Total revenues</w:t>
            </w: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130,193,766</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16,945,073</w:t>
            </w:r>
          </w:p>
        </w:tc>
        <w:tc>
          <w:tcPr>
            <w:tcW w:w="1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141,329,310</w:t>
            </w:r>
          </w:p>
        </w:tc>
        <w:tc>
          <w:tcPr>
            <w:tcW w:w="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(5,407,219)</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283,060,930</w:t>
            </w:r>
          </w:p>
        </w:tc>
      </w:tr>
      <w:tr>
        <w:trPr>
          <w:trHeight w:val="144"/>
        </w:trPr>
        <w:tc>
          <w:tcPr>
            <w:tcW w:w="2700" w:type="dxa"/>
            <w:vAlign w:val="bottom"/>
          </w:tcPr>
          <w:p>
            <w:pPr>
              <w:spacing w:after="0" w:line="136" w:lineRule="exact"/>
              <w:rPr>
                <w:sz w:val="20"/>
                <w:szCs w:val="20"/>
                <w:color w:val="auto"/>
              </w:rPr>
            </w:pPr>
            <w:r>
              <w:rPr>
                <w:rFonts w:ascii="Arial" w:cs="Arial" w:eastAsia="Arial" w:hAnsi="Arial"/>
                <w:sz w:val="12"/>
                <w:szCs w:val="12"/>
                <w:color w:val="auto"/>
              </w:rPr>
              <w:t>Expenses:</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6"/>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Death, surrenders and other policy benefits</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44,911,805</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44,911,805</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Increase in future policy benefits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23,568,497</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23,568,497</w:t>
            </w:r>
          </w:p>
        </w:tc>
      </w:tr>
      <w:tr>
        <w:trPr>
          <w:trHeight w:val="132"/>
        </w:trPr>
        <w:tc>
          <w:tcPr>
            <w:tcW w:w="2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Amortization of deferred policy and pre-need</w:t>
            </w: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59"/>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acquisition costs and value of business acquired</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14,199,152</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435,425</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14,634,577</w:t>
            </w: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Commissions</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3,632,780</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1,084,079</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52,046,032</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56,762,891</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Personnel</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20,311,591</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5,177,810</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38,731,869</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64,221,270</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Advertising</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595,118</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368,173</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3,821,267</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4,784,558</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Rent and rent related</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451,380</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47,525</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6,556,551</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7,055,456</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on property and equipment</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477,247</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428,633</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805,489</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1,711,369</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Cost related to funding mortgage loans</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6,278,954</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6,278,954</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Intersegment</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412,853</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180,594</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544,463</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(1,137,910)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Other</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11,769,097</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3,241,023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19,912,641</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34,922,761</w:t>
            </w:r>
          </w:p>
        </w:tc>
      </w:tr>
      <w:tr>
        <w:trPr>
          <w:trHeight w:val="160"/>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7"/>
        </w:trPr>
        <w:tc>
          <w:tcPr>
            <w:tcW w:w="2700" w:type="dxa"/>
            <w:vAlign w:val="bottom"/>
          </w:tcPr>
          <w:p>
            <w:pPr>
              <w:ind w:left="140"/>
              <w:spacing w:after="0"/>
              <w:rPr>
                <w:sz w:val="20"/>
                <w:szCs w:val="20"/>
                <w:color w:val="auto"/>
              </w:rPr>
            </w:pPr>
            <w:r>
              <w:rPr>
                <w:rFonts w:ascii="Arial" w:cs="Arial" w:eastAsia="Arial" w:hAnsi="Arial"/>
                <w:sz w:val="12"/>
                <w:szCs w:val="12"/>
                <w:color w:val="auto"/>
              </w:rPr>
              <w:t>Intersegment</w:t>
            </w: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490,756</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154,615</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3,623,938</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(4,269,309)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2,808,081</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288,768</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4,289,839</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7,386,688</w:t>
            </w:r>
          </w:p>
        </w:tc>
      </w:tr>
      <w:tr>
        <w:trPr>
          <w:trHeight w:val="131"/>
        </w:trPr>
        <w:tc>
          <w:tcPr>
            <w:tcW w:w="2700" w:type="dxa"/>
            <w:vAlign w:val="bottom"/>
          </w:tcPr>
          <w:p>
            <w:pPr>
              <w:spacing w:after="0" w:line="131" w:lineRule="exact"/>
              <w:rPr>
                <w:sz w:val="20"/>
                <w:szCs w:val="20"/>
                <w:color w:val="auto"/>
              </w:rPr>
            </w:pPr>
            <w:r>
              <w:rPr>
                <w:rFonts w:ascii="Arial" w:cs="Arial" w:eastAsia="Arial" w:hAnsi="Arial"/>
                <w:sz w:val="12"/>
                <w:szCs w:val="12"/>
                <w:color w:val="auto"/>
              </w:rPr>
              <w:t>Costs of goods and services sold-mortuaries and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7"/>
        </w:trPr>
        <w:tc>
          <w:tcPr>
            <w:tcW w:w="2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cemeteries</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2,878,169</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2,878,169</w:t>
            </w:r>
          </w:p>
        </w:tc>
      </w:tr>
      <w:tr>
        <w:trPr>
          <w:trHeight w:val="153"/>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Total benefits and expenses</w:t>
            </w: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123,628,357</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14,284,814</w:t>
            </w:r>
          </w:p>
        </w:tc>
        <w:tc>
          <w:tcPr>
            <w:tcW w:w="1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136,611,043</w:t>
            </w:r>
          </w:p>
        </w:tc>
        <w:tc>
          <w:tcPr>
            <w:tcW w:w="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(5,407,219)</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269,116,995</w:t>
            </w:r>
          </w:p>
        </w:tc>
      </w:tr>
      <w:tr>
        <w:trPr>
          <w:trHeight w:val="150"/>
        </w:trPr>
        <w:tc>
          <w:tcPr>
            <w:tcW w:w="270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Earnings before income taxes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6,565,409</w:t>
            </w:r>
          </w:p>
        </w:tc>
        <w:tc>
          <w:tcPr>
            <w:tcW w:w="1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2,660,259</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4,718,267</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13,943,935</w:t>
            </w:r>
          </w:p>
        </w:tc>
      </w:tr>
      <w:tr>
        <w:trPr>
          <w:trHeight w:val="153"/>
        </w:trPr>
        <w:tc>
          <w:tcPr>
            <w:tcW w:w="2700" w:type="dxa"/>
            <w:vAlign w:val="bottom"/>
            <w:shd w:val="clear" w:color="auto" w:fill="CCEEFF"/>
          </w:tcPr>
          <w:p>
            <w:pPr>
              <w:spacing w:after="0" w:line="137" w:lineRule="exact"/>
              <w:rPr>
                <w:sz w:val="20"/>
                <w:szCs w:val="20"/>
                <w:color w:val="auto"/>
              </w:rPr>
            </w:pPr>
            <w:r>
              <w:rPr>
                <w:rFonts w:ascii="Arial" w:cs="Arial" w:eastAsia="Arial" w:hAnsi="Arial"/>
                <w:sz w:val="12"/>
                <w:szCs w:val="12"/>
                <w:color w:val="auto"/>
              </w:rPr>
              <w:t>Income tax benefit (expense)</w:t>
            </w:r>
          </w:p>
        </w:tc>
        <w:tc>
          <w:tcPr>
            <w:tcW w:w="3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(1,085,848)</w:t>
            </w:r>
          </w:p>
        </w:tc>
        <w:tc>
          <w:tcPr>
            <w:tcW w:w="1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(649,144)</w:t>
            </w:r>
          </w:p>
        </w:tc>
        <w:tc>
          <w:tcPr>
            <w:tcW w:w="1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(1,315,424)</w:t>
            </w:r>
          </w:p>
        </w:tc>
        <w:tc>
          <w:tcPr>
            <w:tcW w:w="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(3,050,416)</w:t>
            </w:r>
          </w:p>
        </w:tc>
      </w:tr>
      <w:tr>
        <w:trPr>
          <w:trHeight w:val="190"/>
        </w:trPr>
        <w:tc>
          <w:tcPr>
            <w:tcW w:w="270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Net earnings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5,479,561</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2,011,115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3,402,843</w:t>
            </w: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10,893,519</w:t>
            </w:r>
          </w:p>
        </w:tc>
      </w:tr>
      <w:tr>
        <w:trPr>
          <w:trHeight w:val="139"/>
        </w:trPr>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97"/>
        </w:trPr>
        <w:tc>
          <w:tcPr>
            <w:tcW w:w="2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Identifiable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1,110,641,526</w:t>
            </w: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81,014,182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249,970,323</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(110,701,544)</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1,330,924,487</w:t>
            </w:r>
          </w:p>
        </w:tc>
      </w:tr>
      <w:tr>
        <w:trPr>
          <w:trHeight w:val="139"/>
        </w:trPr>
        <w:tc>
          <w:tcPr>
            <w:tcW w:w="2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2"/>
                <w:szCs w:val="12"/>
                <w:color w:val="auto"/>
              </w:rPr>
              <w:t>Goodwill</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2,765,570</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754,018</w:t>
            </w:r>
          </w:p>
        </w:tc>
        <w:tc>
          <w:tcPr>
            <w:tcW w:w="16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3,519,588</w:t>
            </w:r>
          </w:p>
        </w:tc>
      </w:tr>
      <w:tr>
        <w:trPr>
          <w:trHeight w:val="20"/>
        </w:trPr>
        <w:tc>
          <w:tcPr>
            <w:tcW w:w="2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0" w:name="page91"/>
    <w:bookmarkEnd w:id="90"/>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Related Party Transactions</w:t>
      </w:r>
    </w:p>
    <w:p>
      <w:pPr>
        <w:spacing w:after="0" w:line="230"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 The Company and its Board of Directors is unaware of any related party transactions that require disclosure as of December 31, 2020.</w:t>
      </w:r>
    </w:p>
    <w:p>
      <w:pPr>
        <w:spacing w:after="0" w:line="189" w:lineRule="exact"/>
        <w:rPr>
          <w:sz w:val="20"/>
          <w:szCs w:val="20"/>
          <w:color w:val="auto"/>
        </w:rPr>
      </w:pPr>
    </w:p>
    <w:p>
      <w:pPr>
        <w:ind w:left="625" w:hanging="625"/>
        <w:spacing w:after="0"/>
        <w:tabs>
          <w:tab w:leader="none" w:pos="625"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p>
    <w:p>
      <w:pPr>
        <w:spacing w:after="0" w:line="230"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93"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Financial assets and financial liabilities whose values are based on unadjusted quoted prices for identical</w:t>
      </w:r>
      <w:r>
        <w:rPr>
          <w:rFonts w:ascii="Arial" w:cs="Arial" w:eastAsia="Arial" w:hAnsi="Arial"/>
          <w:sz w:val="19"/>
          <w:szCs w:val="19"/>
          <w:i w:val="1"/>
          <w:iCs w:val="1"/>
          <w:color w:val="auto"/>
        </w:rPr>
        <w:t xml:space="preserve"> </w:t>
      </w:r>
      <w:r>
        <w:rPr>
          <w:rFonts w:ascii="Arial" w:cs="Arial" w:eastAsia="Arial" w:hAnsi="Arial"/>
          <w:sz w:val="19"/>
          <w:szCs w:val="19"/>
          <w:color w:val="auto"/>
        </w:rPr>
        <w:t>assets or liabilities in an active market that the Company can access.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Financial assets and financial liabilities whose values are based on the following:</w:t>
      </w:r>
    </w:p>
    <w:p>
      <w:pPr>
        <w:spacing w:after="0" w:line="230" w:lineRule="exact"/>
        <w:rPr>
          <w:sz w:val="20"/>
          <w:szCs w:val="20"/>
          <w:color w:val="auto"/>
        </w:rPr>
      </w:pPr>
    </w:p>
    <w:p>
      <w:pPr>
        <w:ind w:left="945" w:hanging="206"/>
        <w:spacing w:after="0"/>
        <w:tabs>
          <w:tab w:leader="none" w:pos="945" w:val="left"/>
        </w:tabs>
        <w:numPr>
          <w:ilvl w:val="0"/>
          <w:numId w:val="76"/>
        </w:numPr>
        <w:rPr>
          <w:rFonts w:ascii="Arial" w:cs="Arial" w:eastAsia="Arial" w:hAnsi="Arial"/>
          <w:sz w:val="19"/>
          <w:szCs w:val="19"/>
          <w:color w:val="auto"/>
        </w:rPr>
      </w:pPr>
      <w:r>
        <w:rPr>
          <w:rFonts w:ascii="Arial" w:cs="Arial" w:eastAsia="Arial" w:hAnsi="Arial"/>
          <w:sz w:val="19"/>
          <w:szCs w:val="19"/>
          <w:color w:val="auto"/>
        </w:rPr>
        <w:t>Quoted prices for similar assets or liabilities in active markets;</w:t>
      </w:r>
    </w:p>
    <w:p>
      <w:pPr>
        <w:spacing w:after="0" w:line="21" w:lineRule="exact"/>
        <w:rPr>
          <w:rFonts w:ascii="Arial" w:cs="Arial" w:eastAsia="Arial" w:hAnsi="Arial"/>
          <w:sz w:val="19"/>
          <w:szCs w:val="19"/>
          <w:color w:val="auto"/>
        </w:rPr>
      </w:pPr>
    </w:p>
    <w:p>
      <w:pPr>
        <w:ind w:left="945" w:hanging="206"/>
        <w:spacing w:after="0"/>
        <w:tabs>
          <w:tab w:leader="none" w:pos="945" w:val="left"/>
        </w:tabs>
        <w:numPr>
          <w:ilvl w:val="0"/>
          <w:numId w:val="76"/>
        </w:numPr>
        <w:rPr>
          <w:rFonts w:ascii="Arial" w:cs="Arial" w:eastAsia="Arial" w:hAnsi="Arial"/>
          <w:sz w:val="19"/>
          <w:szCs w:val="19"/>
          <w:color w:val="auto"/>
        </w:rPr>
      </w:pPr>
      <w:r>
        <w:rPr>
          <w:rFonts w:ascii="Arial" w:cs="Arial" w:eastAsia="Arial" w:hAnsi="Arial"/>
          <w:sz w:val="19"/>
          <w:szCs w:val="19"/>
          <w:color w:val="auto"/>
        </w:rPr>
        <w:t>Quoted prices for identical or similar assets or liabilities in non-active markets; or</w:t>
      </w:r>
    </w:p>
    <w:p>
      <w:pPr>
        <w:spacing w:after="0" w:line="5" w:lineRule="exact"/>
        <w:rPr>
          <w:rFonts w:ascii="Arial" w:cs="Arial" w:eastAsia="Arial" w:hAnsi="Arial"/>
          <w:sz w:val="19"/>
          <w:szCs w:val="19"/>
          <w:color w:val="auto"/>
        </w:rPr>
      </w:pPr>
    </w:p>
    <w:p>
      <w:pPr>
        <w:ind w:left="945" w:right="319" w:hanging="206"/>
        <w:spacing w:after="0" w:line="259" w:lineRule="auto"/>
        <w:tabs>
          <w:tab w:leader="none" w:pos="945" w:val="left"/>
        </w:tabs>
        <w:numPr>
          <w:ilvl w:val="0"/>
          <w:numId w:val="76"/>
        </w:numPr>
        <w:rPr>
          <w:rFonts w:ascii="Arial" w:cs="Arial" w:eastAsia="Arial" w:hAnsi="Arial"/>
          <w:sz w:val="19"/>
          <w:szCs w:val="19"/>
          <w:color w:val="auto"/>
        </w:rPr>
      </w:pPr>
      <w:r>
        <w:rPr>
          <w:rFonts w:ascii="Arial" w:cs="Arial" w:eastAsia="Arial" w:hAnsi="Arial"/>
          <w:sz w:val="19"/>
          <w:szCs w:val="19"/>
          <w:color w:val="auto"/>
        </w:rPr>
        <w:t>Valuation models whose inputs are observable, directly or indirectly, for substantially the full term of the asset or liability.</w:t>
      </w:r>
    </w:p>
    <w:p>
      <w:pPr>
        <w:spacing w:after="0" w:line="185"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Financial assets and financial liabilities whose values are based on prices or valuation techniques that</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inputs that are both unobservable and significant to the overall fair value measurement. These inputs may reflect the Company’s estimates of the assumptions that market participants would use in valuing the financial assets and financial liabilities.</w:t>
      </w:r>
    </w:p>
    <w:p>
      <w:pPr>
        <w:spacing w:after="0" w:line="189"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 utilizes a combination of third-party valuation service providers, brokers, and internal valuation models to determine fair value.</w:t>
      </w:r>
    </w:p>
    <w:p>
      <w:pPr>
        <w:spacing w:after="0" w:line="170"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following methods and assumptions were used by the Company in estimating the fair value disclosures related to significant financial instruments: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items shown under Level 1 and Level 2 are valued as follows:</w:t>
      </w:r>
    </w:p>
    <w:p>
      <w:pPr>
        <w:spacing w:after="0" w:line="23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i w:val="1"/>
          <w:iCs w:val="1"/>
          <w:u w:val="single" w:color="auto"/>
          <w:color w:val="auto"/>
        </w:rPr>
        <w:t>Fixed Maturity Securities Available for Sale</w:t>
      </w:r>
      <w:r>
        <w:rPr>
          <w:rFonts w:ascii="Arial" w:cs="Arial" w:eastAsia="Arial" w:hAnsi="Arial"/>
          <w:sz w:val="19"/>
          <w:szCs w:val="19"/>
          <w:color w:val="auto"/>
        </w:rPr>
        <w:t>: The fair values of fixed maturity securities are based on quoted</w:t>
      </w:r>
      <w:r>
        <w:rPr>
          <w:rFonts w:ascii="Arial" w:cs="Arial" w:eastAsia="Arial" w:hAnsi="Arial"/>
          <w:sz w:val="19"/>
          <w:szCs w:val="19"/>
          <w:i w:val="1"/>
          <w:iCs w:val="1"/>
          <w:color w:val="auto"/>
        </w:rPr>
        <w:t xml:space="preserve"> </w:t>
      </w:r>
      <w:r>
        <w:rPr>
          <w:rFonts w:ascii="Arial" w:cs="Arial" w:eastAsia="Arial" w:hAnsi="Arial"/>
          <w:sz w:val="19"/>
          <w:szCs w:val="19"/>
          <w:color w:val="auto"/>
        </w:rPr>
        <w:t>market prices, when available. For fixed 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i w:val="1"/>
          <w:iCs w:val="1"/>
          <w:u w:val="single" w:color="auto"/>
          <w:color w:val="auto"/>
        </w:rPr>
        <w:t>Equity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for equity securities are based on quoted market prices.</w:t>
      </w:r>
    </w:p>
    <w:p>
      <w:pPr>
        <w:spacing w:after="0" w:line="230"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i w:val="1"/>
          <w:iCs w:val="1"/>
          <w:u w:val="single" w:color="auto"/>
          <w:color w:val="auto"/>
        </w:rPr>
        <w:t>Loans Held for Sale</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elected the fair value option for loans held for sale. The fair value is based on</w:t>
      </w:r>
      <w:r>
        <w:rPr>
          <w:rFonts w:ascii="Arial" w:cs="Arial" w:eastAsia="Arial" w:hAnsi="Arial"/>
          <w:sz w:val="19"/>
          <w:szCs w:val="19"/>
          <w:i w:val="1"/>
          <w:iCs w:val="1"/>
          <w:color w:val="auto"/>
        </w:rPr>
        <w:t xml:space="preserve"> </w:t>
      </w:r>
      <w:r>
        <w:rPr>
          <w:rFonts w:ascii="Arial" w:cs="Arial" w:eastAsia="Arial" w:hAnsi="Arial"/>
          <w:sz w:val="19"/>
          <w:szCs w:val="19"/>
          <w:color w:val="auto"/>
        </w:rPr>
        <w:t>quoted market prices, when available. When a quoted market price is not readily available, the Company uses the market price from its last sale of similar assets.</w:t>
      </w:r>
    </w:p>
    <w:p>
      <w:pPr>
        <w:spacing w:after="0" w:line="202"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91" w:name="page92"/>
    <w:bookmarkEnd w:id="9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96" w:lineRule="auto"/>
        <w:rPr>
          <w:sz w:val="20"/>
          <w:szCs w:val="20"/>
          <w:color w:val="auto"/>
        </w:rPr>
      </w:pPr>
      <w:r>
        <w:rPr>
          <w:rFonts w:ascii="Arial" w:cs="Arial" w:eastAsia="Arial" w:hAnsi="Arial"/>
          <w:sz w:val="17"/>
          <w:szCs w:val="17"/>
          <w:i w:val="1"/>
          <w:iCs w:val="1"/>
          <w:u w:val="single" w:color="auto"/>
          <w:color w:val="auto"/>
        </w:rPr>
        <w:t>Restricted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mutual funds, equity securities and fixed maturity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have quoted market prices that are 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57" w:lineRule="exact"/>
        <w:rPr>
          <w:sz w:val="20"/>
          <w:szCs w:val="20"/>
          <w:color w:val="auto"/>
        </w:rPr>
      </w:pPr>
    </w:p>
    <w:p>
      <w:pPr>
        <w:jc w:val="both"/>
        <w:ind w:left="5" w:right="339"/>
        <w:spacing w:after="0" w:line="256" w:lineRule="auto"/>
        <w:rPr>
          <w:sz w:val="20"/>
          <w:szCs w:val="20"/>
          <w:color w:val="auto"/>
        </w:rPr>
      </w:pPr>
      <w:r>
        <w:rPr>
          <w:rFonts w:ascii="Arial" w:cs="Arial" w:eastAsia="Arial" w:hAnsi="Arial"/>
          <w:sz w:val="19"/>
          <w:szCs w:val="19"/>
          <w:i w:val="1"/>
          <w:iCs w:val="1"/>
          <w:u w:val="single" w:color="auto"/>
          <w:color w:val="auto"/>
        </w:rPr>
        <w:t>Cemetery Perpetual Care Trust Investments</w:t>
      </w:r>
      <w:r>
        <w:rPr>
          <w:rFonts w:ascii="Arial" w:cs="Arial" w:eastAsia="Arial" w:hAnsi="Arial"/>
          <w:sz w:val="19"/>
          <w:szCs w:val="19"/>
          <w:i w:val="1"/>
          <w:iCs w:val="1"/>
          <w:color w:val="auto"/>
        </w:rPr>
        <w:t xml:space="preserve">: </w:t>
      </w:r>
      <w:r>
        <w:rPr>
          <w:rFonts w:ascii="Arial" w:cs="Arial" w:eastAsia="Arial" w:hAnsi="Arial"/>
          <w:sz w:val="19"/>
          <w:szCs w:val="19"/>
          <w:color w:val="auto"/>
        </w:rPr>
        <w:t>A portion of these assets include equity securities and fixed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that have 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9"/>
          <w:szCs w:val="19"/>
          <w:i w:val="1"/>
          <w:iCs w:val="1"/>
          <w:u w:val="single" w:color="auto"/>
          <w:color w:val="auto"/>
        </w:rPr>
        <w:t>Call and Put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uses quoted market prices to value its call and put options.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color w:val="auto"/>
        </w:rPr>
        <w:t>Additionally, there were no transfers between Level 1 and Level 2 in the fair value hierarchy.</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items shown under Level 3 are valued as follows:</w:t>
      </w:r>
    </w:p>
    <w:p>
      <w:pPr>
        <w:spacing w:after="0" w:line="230" w:lineRule="exact"/>
        <w:rPr>
          <w:sz w:val="20"/>
          <w:szCs w:val="20"/>
          <w:color w:val="auto"/>
        </w:rPr>
      </w:pPr>
    </w:p>
    <w:p>
      <w:pPr>
        <w:jc w:val="both"/>
        <w:ind w:left="5" w:right="319"/>
        <w:spacing w:after="0" w:line="251" w:lineRule="auto"/>
        <w:rPr>
          <w:sz w:val="20"/>
          <w:szCs w:val="20"/>
          <w:color w:val="auto"/>
        </w:rPr>
      </w:pPr>
      <w:r>
        <w:rPr>
          <w:rFonts w:ascii="Arial" w:cs="Arial" w:eastAsia="Arial" w:hAnsi="Arial"/>
          <w:sz w:val="19"/>
          <w:szCs w:val="19"/>
          <w:i w:val="1"/>
          <w:iCs w:val="1"/>
          <w:u w:val="single" w:color="auto"/>
          <w:color w:val="auto"/>
        </w:rPr>
        <w:t>Loan Commitments and Forward Sale Commitments</w:t>
      </w:r>
      <w:r>
        <w:rPr>
          <w:rFonts w:ascii="Arial" w:cs="Arial" w:eastAsia="Arial" w:hAnsi="Arial"/>
          <w:sz w:val="19"/>
          <w:szCs w:val="19"/>
          <w:color w:val="auto"/>
        </w:rPr>
        <w:t>: The Company’s mortgage segment enters into loan</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commitments with potential 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94" w:lineRule="exact"/>
        <w:rPr>
          <w:sz w:val="20"/>
          <w:szCs w:val="20"/>
          <w:color w:val="auto"/>
        </w:rPr>
      </w:pPr>
    </w:p>
    <w:p>
      <w:pPr>
        <w:jc w:val="both"/>
        <w:ind w:left="5" w:right="319"/>
        <w:spacing w:after="0" w:line="250"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7" w:lineRule="exact"/>
        <w:rPr>
          <w:sz w:val="20"/>
          <w:szCs w:val="20"/>
          <w:color w:val="auto"/>
        </w:rPr>
      </w:pPr>
    </w:p>
    <w:p>
      <w:pPr>
        <w:jc w:val="both"/>
        <w:ind w:left="5" w:right="319"/>
        <w:spacing w:after="0" w:line="267" w:lineRule="auto"/>
        <w:rPr>
          <w:sz w:val="20"/>
          <w:szCs w:val="20"/>
          <w:color w:val="auto"/>
        </w:rPr>
      </w:pPr>
      <w:r>
        <w:rPr>
          <w:rFonts w:ascii="Arial" w:cs="Arial" w:eastAsia="Arial" w:hAnsi="Arial"/>
          <w:sz w:val="18"/>
          <w:szCs w:val="18"/>
          <w:i w:val="1"/>
          <w:iCs w:val="1"/>
          <w:u w:val="single" w:color="auto"/>
          <w:color w:val="auto"/>
        </w:rPr>
        <w:t>Impaired Mortgage Loans Held for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believes that the fair value of these nonperforming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loans will 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2" w:lineRule="exact"/>
        <w:rPr>
          <w:sz w:val="20"/>
          <w:szCs w:val="20"/>
          <w:color w:val="auto"/>
        </w:rPr>
      </w:pPr>
    </w:p>
    <w:p>
      <w:pPr>
        <w:jc w:val="both"/>
        <w:ind w:left="5" w:right="299"/>
        <w:spacing w:after="0" w:line="253" w:lineRule="auto"/>
        <w:rPr>
          <w:sz w:val="20"/>
          <w:szCs w:val="20"/>
          <w:color w:val="auto"/>
        </w:rPr>
      </w:pPr>
      <w:r>
        <w:rPr>
          <w:rFonts w:ascii="Arial" w:cs="Arial" w:eastAsia="Arial" w:hAnsi="Arial"/>
          <w:sz w:val="19"/>
          <w:szCs w:val="19"/>
          <w:i w:val="1"/>
          <w:iCs w:val="1"/>
          <w:u w:val="single" w:color="auto"/>
          <w:color w:val="auto"/>
        </w:rPr>
        <w:t>Impaired Real Estate Held for Investment</w:t>
      </w:r>
      <w:r>
        <w:rPr>
          <w:rFonts w:ascii="Arial" w:cs="Arial" w:eastAsia="Arial" w:hAnsi="Arial"/>
          <w:sz w:val="19"/>
          <w:szCs w:val="19"/>
          <w:color w:val="auto"/>
        </w:rPr>
        <w:t>: The Company believes that in an orderly market, fair value will</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 the 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94" w:lineRule="exact"/>
        <w:rPr>
          <w:sz w:val="20"/>
          <w:szCs w:val="20"/>
          <w:color w:val="auto"/>
        </w:rPr>
      </w:pPr>
    </w:p>
    <w:p>
      <w:pPr>
        <w:jc w:val="both"/>
        <w:ind w:left="5" w:right="299"/>
        <w:spacing w:after="0" w:line="306" w:lineRule="auto"/>
        <w:rPr>
          <w:sz w:val="20"/>
          <w:szCs w:val="20"/>
          <w:color w:val="auto"/>
        </w:rPr>
      </w:pPr>
      <w:r>
        <w:rPr>
          <w:rFonts w:ascii="Arial" w:cs="Arial" w:eastAsia="Arial" w:hAnsi="Arial"/>
          <w:sz w:val="17"/>
          <w:szCs w:val="17"/>
          <w:color w:val="auto"/>
        </w:rPr>
        <w:t>It should be noted that for replacement cost, when determining the fair value of real estate held for investment, the Company uses a provider of building cost information to the real estate construction industry. For the investment analysis, the Company used market data based upon its real estate operation experience and projected the present</w:t>
      </w:r>
    </w:p>
    <w:p>
      <w:pPr>
        <w:spacing w:after="0" w:line="167"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2" w:name="page93"/>
    <w:bookmarkEnd w:id="9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299"/>
        <w:spacing w:after="0" w:line="276" w:lineRule="auto"/>
        <w:rPr>
          <w:sz w:val="20"/>
          <w:szCs w:val="20"/>
          <w:color w:val="auto"/>
        </w:rPr>
      </w:pPr>
      <w:r>
        <w:rPr>
          <w:rFonts w:ascii="Arial" w:cs="Arial" w:eastAsia="Arial" w:hAnsi="Arial"/>
          <w:sz w:val="19"/>
          <w:szCs w:val="19"/>
          <w:color w:val="auto"/>
        </w:rPr>
        <w:t>value of the net rental income over seven years. The Company also considers area comparables and property condition when determining fair value.</w:t>
      </w:r>
    </w:p>
    <w:p>
      <w:pPr>
        <w:spacing w:after="0" w:line="170"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84"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i w:val="1"/>
          <w:iCs w:val="1"/>
          <w:u w:val="single" w:color="auto"/>
          <w:color w:val="auto"/>
        </w:rPr>
        <w:t>Mortgage Servicing Rights</w:t>
      </w:r>
      <w:r>
        <w:rPr>
          <w:rFonts w:ascii="Arial" w:cs="Arial" w:eastAsia="Arial" w:hAnsi="Arial"/>
          <w:sz w:val="19"/>
          <w:szCs w:val="19"/>
          <w:color w:val="auto"/>
        </w:rPr>
        <w:t>: The Company initially recognizes MSRs at their estimated fair values derived from</w:t>
      </w:r>
      <w:r>
        <w:rPr>
          <w:rFonts w:ascii="Arial" w:cs="Arial" w:eastAsia="Arial" w:hAnsi="Arial"/>
          <w:sz w:val="19"/>
          <w:szCs w:val="19"/>
          <w:i w:val="1"/>
          <w:iCs w:val="1"/>
          <w:color w:val="auto"/>
        </w:rPr>
        <w:t xml:space="preserve"> </w:t>
      </w:r>
      <w:r>
        <w:rPr>
          <w:rFonts w:ascii="Arial" w:cs="Arial" w:eastAsia="Arial" w:hAnsi="Arial"/>
          <w:sz w:val="19"/>
          <w:szCs w:val="19"/>
          <w:color w:val="auto"/>
        </w:rPr>
        <w:t>the net cash flows associated with the servicing contracts, where the Company assumes the obligation to service the loan in the sale transaction.</w:t>
      </w:r>
    </w:p>
    <w:p>
      <w:pPr>
        <w:spacing w:after="0" w:line="184"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following table summarizes Level 1, 2 and 3 financial assets and financial liabilities measured at fair value on a recurring basis by their classification in the consolidated balance sheet at December 31, 2020.</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Quoted Prices in</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96"/>
              </w:rPr>
              <w:t>Active Markets for</w:t>
            </w:r>
          </w:p>
        </w:tc>
        <w:tc>
          <w:tcPr>
            <w:tcW w:w="142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92"/>
              </w:rPr>
              <w:t>Significant</w:t>
            </w:r>
          </w:p>
        </w:tc>
        <w:tc>
          <w:tcPr>
            <w:tcW w:w="320" w:type="dxa"/>
            <w:vAlign w:val="bottom"/>
          </w:tcPr>
          <w:p>
            <w:pPr>
              <w:spacing w:after="0"/>
              <w:rPr>
                <w:sz w:val="12"/>
                <w:szCs w:val="12"/>
                <w:color w:val="auto"/>
              </w:rPr>
            </w:pPr>
          </w:p>
        </w:tc>
        <w:tc>
          <w:tcPr>
            <w:tcW w:w="920" w:type="dxa"/>
            <w:vAlign w:val="bottom"/>
          </w:tcPr>
          <w:p>
            <w:pPr>
              <w:jc w:val="right"/>
              <w:ind w:right="250"/>
              <w:spacing w:after="0" w:line="145" w:lineRule="exact"/>
              <w:rPr>
                <w:sz w:val="20"/>
                <w:szCs w:val="20"/>
                <w:color w:val="auto"/>
              </w:rPr>
            </w:pPr>
            <w:r>
              <w:rPr>
                <w:rFonts w:ascii="Arial" w:cs="Arial" w:eastAsia="Arial" w:hAnsi="Arial"/>
                <w:sz w:val="14"/>
                <w:szCs w:val="14"/>
                <w:color w:val="auto"/>
                <w:w w:val="89"/>
              </w:rPr>
              <w:t>Significant</w:t>
            </w:r>
          </w:p>
        </w:tc>
        <w:tc>
          <w:tcPr>
            <w:tcW w:w="0" w:type="dxa"/>
            <w:vAlign w:val="bottom"/>
          </w:tcPr>
          <w:p>
            <w:pPr>
              <w:spacing w:after="0"/>
              <w:rPr>
                <w:sz w:val="1"/>
                <w:szCs w:val="1"/>
                <w:color w:val="auto"/>
              </w:rPr>
            </w:pPr>
          </w:p>
        </w:tc>
      </w:tr>
      <w:tr>
        <w:trPr>
          <w:trHeight w:val="145"/>
        </w:trPr>
        <w:tc>
          <w:tcPr>
            <w:tcW w:w="3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ind w:left="160"/>
              <w:spacing w:after="0" w:line="145" w:lineRule="exact"/>
              <w:rPr>
                <w:sz w:val="20"/>
                <w:szCs w:val="20"/>
                <w:color w:val="auto"/>
              </w:rPr>
            </w:pPr>
            <w:r>
              <w:rPr>
                <w:rFonts w:ascii="Arial" w:cs="Arial" w:eastAsia="Arial" w:hAnsi="Arial"/>
                <w:sz w:val="14"/>
                <w:szCs w:val="14"/>
                <w:color w:val="auto"/>
              </w:rPr>
              <w:t>Identical Assets</w:t>
            </w:r>
          </w:p>
        </w:tc>
        <w:tc>
          <w:tcPr>
            <w:tcW w:w="1420" w:type="dxa"/>
            <w:vAlign w:val="bottom"/>
            <w:gridSpan w:val="3"/>
          </w:tcPr>
          <w:p>
            <w:pPr>
              <w:ind w:left="60"/>
              <w:spacing w:after="0" w:line="145" w:lineRule="exact"/>
              <w:rPr>
                <w:sz w:val="20"/>
                <w:szCs w:val="20"/>
                <w:color w:val="auto"/>
              </w:rPr>
            </w:pPr>
            <w:r>
              <w:rPr>
                <w:rFonts w:ascii="Arial" w:cs="Arial" w:eastAsia="Arial" w:hAnsi="Arial"/>
                <w:sz w:val="14"/>
                <w:szCs w:val="14"/>
                <w:color w:val="auto"/>
              </w:rPr>
              <w:t>Observable Inputs</w:t>
            </w:r>
          </w:p>
        </w:tc>
        <w:tc>
          <w:tcPr>
            <w:tcW w:w="124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90"/>
              </w:rPr>
              <w:t>Unobservable Inputs</w:t>
            </w:r>
          </w:p>
        </w:tc>
        <w:tc>
          <w:tcPr>
            <w:tcW w:w="0" w:type="dxa"/>
            <w:vAlign w:val="bottom"/>
          </w:tcPr>
          <w:p>
            <w:pPr>
              <w:spacing w:after="0"/>
              <w:rPr>
                <w:sz w:val="1"/>
                <w:szCs w:val="1"/>
                <w:color w:val="auto"/>
              </w:rPr>
            </w:pPr>
          </w:p>
        </w:tc>
      </w:tr>
      <w:tr>
        <w:trPr>
          <w:trHeight w:val="177"/>
        </w:trPr>
        <w:tc>
          <w:tcPr>
            <w:tcW w:w="32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color w:val="auto"/>
                <w:w w:val="95"/>
              </w:rPr>
              <w:t>(Level 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5"/>
              </w:rPr>
              <w:t>(Level 2)</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120"/>
        </w:trPr>
        <w:tc>
          <w:tcPr>
            <w:tcW w:w="324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Assets accounted for at fair value on a</w:t>
            </w:r>
          </w:p>
        </w:tc>
        <w:tc>
          <w:tcPr>
            <w:tcW w:w="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recurring basis</w:t>
            </w: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Fixed maturity securities available for sale</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294,656,679</w:t>
            </w: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292,455,504</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2,201,175</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11,324,239</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11,324,239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Loans held for sale</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422,772,418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422,772,418</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Restricted assets (1)</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1,473,637</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1,473,637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Restricted assets (2)</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2,515,778</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2,515,778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Cemetery perpetual care trust investments (1)</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747,767</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747,767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Cemetery perpetual care trust investments (2)</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2,062,303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2,062,303</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Derivatives - loan commitments (3)</w:t>
            </w:r>
          </w:p>
        </w:tc>
        <w:tc>
          <w:tcPr>
            <w:tcW w:w="4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12,592,672</w:t>
            </w:r>
          </w:p>
        </w:tc>
        <w:tc>
          <w:tcPr>
            <w:tcW w:w="2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12,592,672</w:t>
            </w:r>
          </w:p>
        </w:tc>
        <w:tc>
          <w:tcPr>
            <w:tcW w:w="0" w:type="dxa"/>
            <w:vAlign w:val="bottom"/>
          </w:tcPr>
          <w:p>
            <w:pPr>
              <w:spacing w:after="0"/>
              <w:rPr>
                <w:sz w:val="1"/>
                <w:szCs w:val="1"/>
                <w:color w:val="auto"/>
              </w:rPr>
            </w:pPr>
          </w:p>
        </w:tc>
      </w:tr>
      <w:tr>
        <w:trPr>
          <w:trHeight w:val="120"/>
        </w:trPr>
        <w:tc>
          <w:tcPr>
            <w:tcW w:w="3240" w:type="dxa"/>
            <w:vAlign w:val="bottom"/>
          </w:tcPr>
          <w:p>
            <w:pPr>
              <w:spacing w:after="0" w:line="120" w:lineRule="exact"/>
              <w:rPr>
                <w:sz w:val="20"/>
                <w:szCs w:val="20"/>
                <w:color w:val="auto"/>
              </w:rPr>
            </w:pPr>
            <w:r>
              <w:rPr>
                <w:rFonts w:ascii="Arial" w:cs="Arial" w:eastAsia="Arial" w:hAnsi="Arial"/>
                <w:sz w:val="13"/>
                <w:szCs w:val="13"/>
                <w:color w:val="auto"/>
              </w:rPr>
              <w:t>Total assets accounted for at fair value on a</w:t>
            </w:r>
          </w:p>
        </w:tc>
        <w:tc>
          <w:tcPr>
            <w:tcW w:w="4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748,145,493</w:t>
            </w:r>
          </w:p>
        </w:tc>
        <w:tc>
          <w:tcPr>
            <w:tcW w:w="22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15,902,320</w:t>
            </w: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294,676,908</w:t>
            </w:r>
          </w:p>
        </w:tc>
        <w:tc>
          <w:tcPr>
            <w:tcW w:w="22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437,566,265</w:t>
            </w:r>
          </w:p>
        </w:tc>
        <w:tc>
          <w:tcPr>
            <w:tcW w:w="0" w:type="dxa"/>
            <w:vAlign w:val="bottom"/>
          </w:tcPr>
          <w:p>
            <w:pPr>
              <w:spacing w:after="0"/>
              <w:rPr>
                <w:sz w:val="1"/>
                <w:szCs w:val="1"/>
                <w:color w:val="auto"/>
              </w:rPr>
            </w:pPr>
          </w:p>
        </w:tc>
      </w:tr>
      <w:tr>
        <w:trPr>
          <w:trHeight w:val="204"/>
        </w:trPr>
        <w:tc>
          <w:tcPr>
            <w:tcW w:w="32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recurring basis</w:t>
            </w:r>
          </w:p>
        </w:tc>
        <w:tc>
          <w:tcPr>
            <w:tcW w:w="4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line="140" w:lineRule="exact"/>
              <w:rPr>
                <w:sz w:val="20"/>
                <w:szCs w:val="20"/>
                <w:color w:val="auto"/>
              </w:rPr>
            </w:pPr>
            <w:r>
              <w:rPr>
                <w:rFonts w:ascii="Arial" w:cs="Arial" w:eastAsia="Arial" w:hAnsi="Arial"/>
                <w:sz w:val="14"/>
                <w:szCs w:val="14"/>
                <w:color w:val="auto"/>
              </w:rPr>
              <w:t>Liabilities accounted for at fair value on a</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40" w:type="dxa"/>
            <w:vAlign w:val="bottom"/>
          </w:tcPr>
          <w:p>
            <w:pPr>
              <w:ind w:left="80"/>
              <w:spacing w:after="0"/>
              <w:rPr>
                <w:sz w:val="20"/>
                <w:szCs w:val="20"/>
                <w:color w:val="auto"/>
              </w:rPr>
            </w:pPr>
            <w:r>
              <w:rPr>
                <w:rFonts w:ascii="Arial" w:cs="Arial" w:eastAsia="Arial" w:hAnsi="Arial"/>
                <w:sz w:val="14"/>
                <w:szCs w:val="14"/>
                <w:color w:val="auto"/>
              </w:rPr>
              <w:t>recurring basis</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Derivatives - call options (4)</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(43,097)</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(43,097)</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Derivatives - loan commitments (4)</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(2,464,062)</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(2,464,062)</w:t>
            </w:r>
          </w:p>
        </w:tc>
        <w:tc>
          <w:tcPr>
            <w:tcW w:w="0" w:type="dxa"/>
            <w:vAlign w:val="bottom"/>
          </w:tcPr>
          <w:p>
            <w:pPr>
              <w:spacing w:after="0"/>
              <w:rPr>
                <w:sz w:val="1"/>
                <w:szCs w:val="1"/>
                <w:color w:val="auto"/>
              </w:rPr>
            </w:pPr>
          </w:p>
        </w:tc>
      </w:tr>
      <w:tr>
        <w:trPr>
          <w:trHeight w:val="120"/>
        </w:trPr>
        <w:tc>
          <w:tcPr>
            <w:tcW w:w="324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Total liabilities accounted for at fair value</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(2,507,159)</w:t>
            </w:r>
          </w:p>
        </w:tc>
        <w:tc>
          <w:tcPr>
            <w:tcW w:w="22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(43,097)</w:t>
            </w: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(2,464,062)</w:t>
            </w:r>
          </w:p>
        </w:tc>
        <w:tc>
          <w:tcPr>
            <w:tcW w:w="0" w:type="dxa"/>
            <w:vAlign w:val="bottom"/>
          </w:tcPr>
          <w:p>
            <w:pPr>
              <w:spacing w:after="0"/>
              <w:rPr>
                <w:sz w:val="1"/>
                <w:szCs w:val="1"/>
                <w:color w:val="auto"/>
              </w:rPr>
            </w:pPr>
          </w:p>
        </w:tc>
      </w:tr>
      <w:tr>
        <w:trPr>
          <w:trHeight w:val="164"/>
        </w:trPr>
        <w:tc>
          <w:tcPr>
            <w:tcW w:w="3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on a recurring basis</w:t>
            </w: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5" w:hanging="325"/>
        <w:spacing w:after="0"/>
        <w:tabs>
          <w:tab w:leader="none" w:pos="325" w:val="left"/>
        </w:tabs>
        <w:numPr>
          <w:ilvl w:val="0"/>
          <w:numId w:val="79"/>
        </w:numPr>
        <w:rPr>
          <w:rFonts w:ascii="Arial" w:cs="Arial" w:eastAsia="Arial" w:hAnsi="Arial"/>
          <w:sz w:val="14"/>
          <w:szCs w:val="14"/>
          <w:color w:val="auto"/>
        </w:rPr>
      </w:pPr>
      <w:r>
        <w:rPr>
          <w:rFonts w:ascii="Arial" w:cs="Arial" w:eastAsia="Arial" w:hAnsi="Arial"/>
          <w:sz w:val="14"/>
          <w:szCs w:val="14"/>
          <w:color w:val="auto"/>
        </w:rPr>
        <w:t>Fixed maturity securities available for sale</w:t>
      </w:r>
    </w:p>
    <w:p>
      <w:pPr>
        <w:ind w:left="325" w:hanging="325"/>
        <w:spacing w:after="0" w:line="216" w:lineRule="auto"/>
        <w:tabs>
          <w:tab w:leader="none" w:pos="325" w:val="left"/>
        </w:tabs>
        <w:numPr>
          <w:ilvl w:val="0"/>
          <w:numId w:val="79"/>
        </w:numPr>
        <w:rPr>
          <w:rFonts w:ascii="Arial" w:cs="Arial" w:eastAsia="Arial" w:hAnsi="Arial"/>
          <w:sz w:val="14"/>
          <w:szCs w:val="14"/>
          <w:color w:val="auto"/>
        </w:rPr>
      </w:pPr>
      <w:r>
        <w:rPr>
          <w:rFonts w:ascii="Arial" w:cs="Arial" w:eastAsia="Arial" w:hAnsi="Arial"/>
          <w:sz w:val="14"/>
          <w:szCs w:val="14"/>
          <w:color w:val="auto"/>
        </w:rPr>
        <w:t>Equity securities</w:t>
      </w:r>
    </w:p>
    <w:p>
      <w:pPr>
        <w:ind w:left="325" w:hanging="325"/>
        <w:spacing w:after="0" w:line="216" w:lineRule="auto"/>
        <w:tabs>
          <w:tab w:leader="none" w:pos="32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Included in other assets on the consolidated balance sheets</w:t>
      </w:r>
    </w:p>
    <w:p>
      <w:pPr>
        <w:ind w:left="325" w:hanging="325"/>
        <w:spacing w:after="0"/>
        <w:tabs>
          <w:tab w:leader="none" w:pos="325"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Included in other liabilities and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-382270</wp:posOffset>
            </wp:positionV>
            <wp:extent cx="64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96"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3" w:name="page94"/>
    <w:bookmarkEnd w:id="9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The following table summarizes Level 1, 2 and 3 financial assets and financial liabilities measured at fair value on a recurring basis by their classification in the consolidated balance sheet at December 31, 2019.</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Quoted Prices in</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96"/>
              </w:rPr>
              <w:t>Active Markets for</w:t>
            </w:r>
          </w:p>
        </w:tc>
        <w:tc>
          <w:tcPr>
            <w:tcW w:w="1300" w:type="dxa"/>
            <w:vAlign w:val="bottom"/>
            <w:gridSpan w:val="3"/>
          </w:tcPr>
          <w:p>
            <w:pPr>
              <w:jc w:val="center"/>
              <w:ind w:right="240"/>
              <w:spacing w:after="0" w:line="145" w:lineRule="exact"/>
              <w:rPr>
                <w:sz w:val="20"/>
                <w:szCs w:val="20"/>
                <w:color w:val="auto"/>
              </w:rPr>
            </w:pPr>
            <w:r>
              <w:rPr>
                <w:rFonts w:ascii="Arial" w:cs="Arial" w:eastAsia="Arial" w:hAnsi="Arial"/>
                <w:sz w:val="14"/>
                <w:szCs w:val="14"/>
                <w:color w:val="auto"/>
                <w:w w:val="95"/>
              </w:rPr>
              <w:t>Significant</w:t>
            </w:r>
          </w:p>
        </w:tc>
        <w:tc>
          <w:tcPr>
            <w:tcW w:w="1300" w:type="dxa"/>
            <w:vAlign w:val="bottom"/>
            <w:gridSpan w:val="2"/>
          </w:tcPr>
          <w:p>
            <w:pPr>
              <w:jc w:val="right"/>
              <w:ind w:right="270"/>
              <w:spacing w:after="0" w:line="145" w:lineRule="exact"/>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ind w:left="200"/>
              <w:spacing w:after="0" w:line="145" w:lineRule="exact"/>
              <w:rPr>
                <w:sz w:val="20"/>
                <w:szCs w:val="20"/>
                <w:color w:val="auto"/>
              </w:rPr>
            </w:pPr>
            <w:r>
              <w:rPr>
                <w:rFonts w:ascii="Arial" w:cs="Arial" w:eastAsia="Arial" w:hAnsi="Arial"/>
                <w:sz w:val="14"/>
                <w:szCs w:val="14"/>
                <w:color w:val="auto"/>
              </w:rPr>
              <w:t>Identical Assets</w:t>
            </w:r>
          </w:p>
        </w:tc>
        <w:tc>
          <w:tcPr>
            <w:tcW w:w="1300" w:type="dxa"/>
            <w:vAlign w:val="bottom"/>
            <w:gridSpan w:val="3"/>
          </w:tcPr>
          <w:p>
            <w:pPr>
              <w:jc w:val="center"/>
              <w:ind w:right="240"/>
              <w:spacing w:after="0" w:line="145" w:lineRule="exact"/>
              <w:rPr>
                <w:sz w:val="20"/>
                <w:szCs w:val="20"/>
                <w:color w:val="auto"/>
              </w:rPr>
            </w:pPr>
            <w:r>
              <w:rPr>
                <w:rFonts w:ascii="Arial" w:cs="Arial" w:eastAsia="Arial" w:hAnsi="Arial"/>
                <w:sz w:val="14"/>
                <w:szCs w:val="14"/>
                <w:color w:val="auto"/>
                <w:w w:val="89"/>
              </w:rPr>
              <w:t>Observable Inputs</w:t>
            </w:r>
          </w:p>
        </w:tc>
        <w:tc>
          <w:tcPr>
            <w:tcW w:w="130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77"/>
        </w:trPr>
        <w:tc>
          <w:tcPr>
            <w:tcW w:w="3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5"/>
              </w:rPr>
              <w:t>(Level 1)</w:t>
            </w:r>
          </w:p>
        </w:tc>
        <w:tc>
          <w:tcPr>
            <w:tcW w:w="13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5"/>
              </w:rPr>
              <w:t>(Level 2)</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20"/>
        </w:trPr>
        <w:tc>
          <w:tcPr>
            <w:tcW w:w="318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Assets accounted for at fair value on a</w:t>
            </w:r>
          </w:p>
        </w:tc>
        <w:tc>
          <w:tcPr>
            <w:tcW w:w="4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recurring basis</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color w:val="auto"/>
              </w:rPr>
              <w:t>Fixed maturity securities available for sale</w:t>
            </w:r>
          </w:p>
        </w:tc>
        <w:tc>
          <w:tcPr>
            <w:tcW w:w="4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355,977,820</w:t>
            </w:r>
          </w:p>
        </w:tc>
        <w:tc>
          <w:tcPr>
            <w:tcW w:w="220" w:type="dxa"/>
            <w:vAlign w:val="bottom"/>
          </w:tcPr>
          <w:p>
            <w:pPr>
              <w:spacing w:after="0"/>
              <w:rPr>
                <w:sz w:val="14"/>
                <w:szCs w:val="14"/>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352,761,438</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3,216,382</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7,271,165</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7,271,165</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color w:val="auto"/>
              </w:rPr>
              <w:t>Loans held for sale</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213,457,632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213,457,632</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Restricted assets (1)</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1,008,867</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1,008,867</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color w:val="auto"/>
              </w:rPr>
              <w:t>Restricted assets (2)</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1,976,480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1,976,480</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Cemetery perpetual care trust investments (1)</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975,673</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975,673</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color w:val="auto"/>
              </w:rPr>
              <w:t>Cemetery perpetual care trust investments (2)</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1,605,451</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1,605,451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Derivatives - loan commitments (3)</w:t>
            </w: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2,722,580</w:t>
            </w:r>
          </w:p>
        </w:tc>
        <w:tc>
          <w:tcPr>
            <w:tcW w:w="2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2,722,580</w:t>
            </w:r>
          </w:p>
        </w:tc>
        <w:tc>
          <w:tcPr>
            <w:tcW w:w="0" w:type="dxa"/>
            <w:vAlign w:val="bottom"/>
          </w:tcPr>
          <w:p>
            <w:pPr>
              <w:spacing w:after="0"/>
              <w:rPr>
                <w:sz w:val="1"/>
                <w:szCs w:val="1"/>
                <w:color w:val="auto"/>
              </w:rPr>
            </w:pPr>
          </w:p>
        </w:tc>
      </w:tr>
      <w:tr>
        <w:trPr>
          <w:trHeight w:val="120"/>
        </w:trPr>
        <w:tc>
          <w:tcPr>
            <w:tcW w:w="3180" w:type="dxa"/>
            <w:vAlign w:val="bottom"/>
          </w:tcPr>
          <w:p>
            <w:pPr>
              <w:spacing w:after="0" w:line="120" w:lineRule="exact"/>
              <w:rPr>
                <w:sz w:val="20"/>
                <w:szCs w:val="20"/>
                <w:color w:val="auto"/>
              </w:rPr>
            </w:pPr>
            <w:r>
              <w:rPr>
                <w:rFonts w:ascii="Arial" w:cs="Arial" w:eastAsia="Arial" w:hAnsi="Arial"/>
                <w:sz w:val="13"/>
                <w:szCs w:val="13"/>
                <w:color w:val="auto"/>
              </w:rPr>
              <w:t>Total assets accounted for at fair value on a</w:t>
            </w:r>
          </w:p>
        </w:tc>
        <w:tc>
          <w:tcPr>
            <w:tcW w:w="4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584,995,668</w:t>
            </w:r>
          </w:p>
        </w:tc>
        <w:tc>
          <w:tcPr>
            <w:tcW w:w="220" w:type="dxa"/>
            <w:vAlign w:val="bottom"/>
          </w:tcPr>
          <w:p>
            <w:pPr>
              <w:spacing w:after="0"/>
              <w:rPr>
                <w:sz w:val="10"/>
                <w:szCs w:val="10"/>
                <w:color w:val="auto"/>
              </w:rPr>
            </w:pPr>
          </w:p>
        </w:tc>
        <w:tc>
          <w:tcPr>
            <w:tcW w:w="5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10,853,096</w:t>
            </w:r>
          </w:p>
        </w:tc>
        <w:tc>
          <w:tcPr>
            <w:tcW w:w="2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89"/>
              </w:rPr>
              <w:t>354,745,978</w:t>
            </w:r>
          </w:p>
        </w:tc>
        <w:tc>
          <w:tcPr>
            <w:tcW w:w="2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219,396,594</w:t>
            </w:r>
          </w:p>
        </w:tc>
        <w:tc>
          <w:tcPr>
            <w:tcW w:w="0" w:type="dxa"/>
            <w:vAlign w:val="bottom"/>
          </w:tcPr>
          <w:p>
            <w:pPr>
              <w:spacing w:after="0"/>
              <w:rPr>
                <w:sz w:val="1"/>
                <w:szCs w:val="1"/>
                <w:color w:val="auto"/>
              </w:rPr>
            </w:pPr>
          </w:p>
        </w:tc>
      </w:tr>
      <w:tr>
        <w:trPr>
          <w:trHeight w:val="204"/>
        </w:trPr>
        <w:tc>
          <w:tcPr>
            <w:tcW w:w="31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recurring basis</w:t>
            </w:r>
          </w:p>
        </w:tc>
        <w:tc>
          <w:tcPr>
            <w:tcW w:w="4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80" w:type="dxa"/>
            <w:vAlign w:val="bottom"/>
          </w:tcPr>
          <w:p>
            <w:pPr>
              <w:spacing w:after="0" w:line="140" w:lineRule="exact"/>
              <w:rPr>
                <w:sz w:val="20"/>
                <w:szCs w:val="20"/>
                <w:color w:val="auto"/>
              </w:rPr>
            </w:pPr>
            <w:r>
              <w:rPr>
                <w:rFonts w:ascii="Arial" w:cs="Arial" w:eastAsia="Arial" w:hAnsi="Arial"/>
                <w:sz w:val="14"/>
                <w:szCs w:val="14"/>
                <w:color w:val="auto"/>
              </w:rPr>
              <w:t>Liabilities accounted for at fair value on a</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180" w:type="dxa"/>
            <w:vAlign w:val="bottom"/>
          </w:tcPr>
          <w:p>
            <w:pPr>
              <w:ind w:left="80"/>
              <w:spacing w:after="0"/>
              <w:rPr>
                <w:sz w:val="20"/>
                <w:szCs w:val="20"/>
                <w:color w:val="auto"/>
              </w:rPr>
            </w:pPr>
            <w:r>
              <w:rPr>
                <w:rFonts w:ascii="Arial" w:cs="Arial" w:eastAsia="Arial" w:hAnsi="Arial"/>
                <w:sz w:val="14"/>
                <w:szCs w:val="14"/>
                <w:color w:val="auto"/>
              </w:rPr>
              <w:t>recurring basis</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Derivatives - call options (4)</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(62,265)</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(62,265)</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color w:val="auto"/>
              </w:rPr>
              <w:t>Derivatives - put options (4)</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(22,282)</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(22,282)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Derivatives - loan commitments (4)</w:t>
            </w: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(231,347)</w:t>
            </w:r>
          </w:p>
        </w:tc>
        <w:tc>
          <w:tcPr>
            <w:tcW w:w="2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(231,347)</w:t>
            </w:r>
          </w:p>
        </w:tc>
        <w:tc>
          <w:tcPr>
            <w:tcW w:w="0" w:type="dxa"/>
            <w:vAlign w:val="bottom"/>
          </w:tcPr>
          <w:p>
            <w:pPr>
              <w:spacing w:after="0"/>
              <w:rPr>
                <w:sz w:val="1"/>
                <w:szCs w:val="1"/>
                <w:color w:val="auto"/>
              </w:rPr>
            </w:pPr>
          </w:p>
        </w:tc>
      </w:tr>
      <w:tr>
        <w:trPr>
          <w:trHeight w:val="120"/>
        </w:trPr>
        <w:tc>
          <w:tcPr>
            <w:tcW w:w="3180" w:type="dxa"/>
            <w:vAlign w:val="bottom"/>
          </w:tcPr>
          <w:p>
            <w:pPr>
              <w:spacing w:after="0" w:line="120" w:lineRule="exact"/>
              <w:rPr>
                <w:sz w:val="20"/>
                <w:szCs w:val="20"/>
                <w:color w:val="auto"/>
              </w:rPr>
            </w:pPr>
            <w:r>
              <w:rPr>
                <w:rFonts w:ascii="Arial" w:cs="Arial" w:eastAsia="Arial" w:hAnsi="Arial"/>
                <w:sz w:val="13"/>
                <w:szCs w:val="13"/>
                <w:color w:val="auto"/>
              </w:rPr>
              <w:t>Total liabilities accounted for at fair value</w:t>
            </w:r>
          </w:p>
        </w:tc>
        <w:tc>
          <w:tcPr>
            <w:tcW w:w="44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(315,894)</w:t>
            </w:r>
          </w:p>
        </w:tc>
        <w:tc>
          <w:tcPr>
            <w:tcW w:w="220" w:type="dxa"/>
            <w:vAlign w:val="bottom"/>
          </w:tcPr>
          <w:p>
            <w:pPr>
              <w:spacing w:after="0"/>
              <w:rPr>
                <w:sz w:val="10"/>
                <w:szCs w:val="10"/>
                <w:color w:val="auto"/>
              </w:rPr>
            </w:pPr>
          </w:p>
        </w:tc>
        <w:tc>
          <w:tcPr>
            <w:tcW w:w="52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(84,547)</w:t>
            </w:r>
          </w:p>
        </w:tc>
        <w:tc>
          <w:tcPr>
            <w:tcW w:w="24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(231,347)</w:t>
            </w:r>
          </w:p>
        </w:tc>
        <w:tc>
          <w:tcPr>
            <w:tcW w:w="0" w:type="dxa"/>
            <w:vAlign w:val="bottom"/>
          </w:tcPr>
          <w:p>
            <w:pPr>
              <w:spacing w:after="0"/>
              <w:rPr>
                <w:sz w:val="1"/>
                <w:szCs w:val="1"/>
                <w:color w:val="auto"/>
              </w:rPr>
            </w:pPr>
          </w:p>
        </w:tc>
      </w:tr>
      <w:tr>
        <w:trPr>
          <w:trHeight w:val="169"/>
        </w:trPr>
        <w:tc>
          <w:tcPr>
            <w:tcW w:w="3180" w:type="dxa"/>
            <w:vAlign w:val="bottom"/>
          </w:tcPr>
          <w:p>
            <w:pPr>
              <w:ind w:left="80"/>
              <w:spacing w:after="0"/>
              <w:rPr>
                <w:sz w:val="20"/>
                <w:szCs w:val="20"/>
                <w:color w:val="auto"/>
              </w:rPr>
            </w:pPr>
            <w:r>
              <w:rPr>
                <w:rFonts w:ascii="Arial" w:cs="Arial" w:eastAsia="Arial" w:hAnsi="Arial"/>
                <w:sz w:val="14"/>
                <w:szCs w:val="14"/>
                <w:color w:val="auto"/>
              </w:rPr>
              <w:t>on a recurring basis</w:t>
            </w:r>
          </w:p>
        </w:tc>
        <w:tc>
          <w:tcPr>
            <w:tcW w:w="4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5" w:hanging="325"/>
        <w:spacing w:after="0"/>
        <w:tabs>
          <w:tab w:leader="none" w:pos="325" w:val="left"/>
        </w:tabs>
        <w:numPr>
          <w:ilvl w:val="0"/>
          <w:numId w:val="81"/>
        </w:numPr>
        <w:rPr>
          <w:rFonts w:ascii="Arial" w:cs="Arial" w:eastAsia="Arial" w:hAnsi="Arial"/>
          <w:sz w:val="14"/>
          <w:szCs w:val="14"/>
          <w:color w:val="auto"/>
        </w:rPr>
      </w:pPr>
      <w:r>
        <w:rPr>
          <w:rFonts w:ascii="Arial" w:cs="Arial" w:eastAsia="Arial" w:hAnsi="Arial"/>
          <w:sz w:val="14"/>
          <w:szCs w:val="14"/>
          <w:color w:val="auto"/>
        </w:rPr>
        <w:t>Fixed maturity securities available for sale</w:t>
      </w:r>
    </w:p>
    <w:p>
      <w:pPr>
        <w:ind w:left="325" w:hanging="325"/>
        <w:spacing w:after="0" w:line="216" w:lineRule="auto"/>
        <w:tabs>
          <w:tab w:leader="none" w:pos="325" w:val="left"/>
        </w:tabs>
        <w:numPr>
          <w:ilvl w:val="0"/>
          <w:numId w:val="81"/>
        </w:numPr>
        <w:rPr>
          <w:rFonts w:ascii="Arial" w:cs="Arial" w:eastAsia="Arial" w:hAnsi="Arial"/>
          <w:sz w:val="14"/>
          <w:szCs w:val="14"/>
          <w:color w:val="auto"/>
        </w:rPr>
      </w:pPr>
      <w:r>
        <w:rPr>
          <w:rFonts w:ascii="Arial" w:cs="Arial" w:eastAsia="Arial" w:hAnsi="Arial"/>
          <w:sz w:val="14"/>
          <w:szCs w:val="14"/>
          <w:color w:val="auto"/>
        </w:rPr>
        <w:t>Mutual funds and equity securities</w:t>
      </w:r>
    </w:p>
    <w:p>
      <w:pPr>
        <w:ind w:left="325" w:hanging="325"/>
        <w:spacing w:after="0" w:line="216" w:lineRule="auto"/>
        <w:tabs>
          <w:tab w:leader="none" w:pos="325"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Included in other assets on the consolidated balance sheets</w:t>
      </w:r>
    </w:p>
    <w:p>
      <w:pPr>
        <w:ind w:left="325" w:hanging="325"/>
        <w:spacing w:after="0"/>
        <w:tabs>
          <w:tab w:leader="none" w:pos="325"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Included in other liabilities and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-382270</wp:posOffset>
            </wp:positionV>
            <wp:extent cx="64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78"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For Level 3 assets and liabilities measured at fair value on a recurring basis as of December 31, 2020, the significant unobservable inputs used in the fair value measurements were as follows:</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Significant</w:t>
            </w:r>
          </w:p>
        </w:tc>
        <w:tc>
          <w:tcPr>
            <w:tcW w:w="1560" w:type="dxa"/>
            <w:vAlign w:val="bottom"/>
            <w:gridSpan w:val="3"/>
          </w:tcPr>
          <w:p>
            <w:pPr>
              <w:ind w:left="320"/>
              <w:spacing w:after="0"/>
              <w:rPr>
                <w:sz w:val="20"/>
                <w:szCs w:val="20"/>
                <w:color w:val="auto"/>
              </w:rPr>
            </w:pPr>
            <w:r>
              <w:rPr>
                <w:rFonts w:ascii="Arial" w:cs="Arial" w:eastAsia="Arial" w:hAnsi="Arial"/>
                <w:sz w:val="12"/>
                <w:szCs w:val="12"/>
                <w:color w:val="auto"/>
              </w:rPr>
              <w:t>Range of Inputs</w:t>
            </w:r>
          </w:p>
        </w:tc>
        <w:tc>
          <w:tcPr>
            <w:tcW w:w="680" w:type="dxa"/>
            <w:vAlign w:val="bottom"/>
          </w:tcPr>
          <w:p>
            <w:pPr>
              <w:spacing w:after="0"/>
              <w:rPr>
                <w:sz w:val="13"/>
                <w:szCs w:val="13"/>
                <w:color w:val="auto"/>
              </w:rPr>
            </w:pPr>
          </w:p>
        </w:tc>
      </w:tr>
      <w:tr>
        <w:trPr>
          <w:trHeight w:val="152"/>
        </w:trPr>
        <w:tc>
          <w:tcPr>
            <w:tcW w:w="254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Fair Value at</w:t>
            </w: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Valuation</w:t>
            </w:r>
          </w:p>
        </w:tc>
        <w:tc>
          <w:tcPr>
            <w:tcW w:w="19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Unobservable</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Minimum</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6"/>
              </w:rPr>
              <w:t>Maximum</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0"/>
              </w:rPr>
              <w:t>Weighted</w:t>
            </w:r>
          </w:p>
        </w:tc>
      </w:tr>
      <w:tr>
        <w:trPr>
          <w:trHeight w:val="159"/>
        </w:trPr>
        <w:tc>
          <w:tcPr>
            <w:tcW w:w="2540" w:type="dxa"/>
            <w:vAlign w:val="bottom"/>
          </w:tcPr>
          <w:p>
            <w:pPr>
              <w:spacing w:after="0"/>
              <w:rPr>
                <w:sz w:val="13"/>
                <w:szCs w:val="13"/>
                <w:color w:val="auto"/>
              </w:rPr>
            </w:pP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12/31/2020</w:t>
            </w: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Technique</w:t>
            </w:r>
          </w:p>
        </w:tc>
        <w:tc>
          <w:tcPr>
            <w:tcW w:w="1900" w:type="dxa"/>
            <w:vAlign w:val="bottom"/>
            <w:gridSpan w:val="2"/>
          </w:tcPr>
          <w:p>
            <w:pPr>
              <w:jc w:val="center"/>
              <w:ind w:right="140"/>
              <w:spacing w:after="0"/>
              <w:rPr>
                <w:sz w:val="20"/>
                <w:szCs w:val="20"/>
                <w:color w:val="auto"/>
              </w:rPr>
            </w:pPr>
            <w:r>
              <w:rPr>
                <w:rFonts w:ascii="Arial" w:cs="Arial" w:eastAsia="Arial" w:hAnsi="Arial"/>
                <w:sz w:val="12"/>
                <w:szCs w:val="12"/>
                <w:color w:val="auto"/>
                <w:w w:val="98"/>
              </w:rPr>
              <w:t>Input(s)</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Value</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Value</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Average</w:t>
            </w:r>
          </w:p>
        </w:tc>
      </w:tr>
      <w:tr>
        <w:trPr>
          <w:trHeight w:val="126"/>
        </w:trPr>
        <w:tc>
          <w:tcPr>
            <w:tcW w:w="254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Loans held for sale</w:t>
            </w:r>
          </w:p>
        </w:tc>
        <w:tc>
          <w:tcPr>
            <w:tcW w:w="8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$422,772,418</w:t>
            </w:r>
          </w:p>
        </w:tc>
        <w:tc>
          <w:tcPr>
            <w:tcW w:w="1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Market approach</w:t>
            </w:r>
          </w:p>
        </w:tc>
        <w:tc>
          <w:tcPr>
            <w:tcW w:w="14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Investor contract pricing as a</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99.0%</w:t>
            </w:r>
          </w:p>
        </w:tc>
        <w:tc>
          <w:tcPr>
            <w:tcW w:w="740" w:type="dxa"/>
            <w:vAlign w:val="bottom"/>
            <w:tcBorders>
              <w:top w:val="single" w:sz="8" w:color="auto"/>
            </w:tcBorders>
            <w:shd w:val="clear" w:color="auto" w:fill="CCEEFF"/>
          </w:tcPr>
          <w:p>
            <w:pPr>
              <w:jc w:val="right"/>
              <w:ind w:right="98"/>
              <w:spacing w:after="0" w:line="126" w:lineRule="exact"/>
              <w:rPr>
                <w:sz w:val="20"/>
                <w:szCs w:val="20"/>
                <w:color w:val="auto"/>
              </w:rPr>
            </w:pPr>
            <w:r>
              <w:rPr>
                <w:rFonts w:ascii="Arial" w:cs="Arial" w:eastAsia="Arial" w:hAnsi="Arial"/>
                <w:sz w:val="12"/>
                <w:szCs w:val="12"/>
                <w:color w:val="auto"/>
              </w:rPr>
              <w:t>110.0%</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104.0%</w:t>
            </w:r>
          </w:p>
        </w:tc>
      </w:tr>
      <w:tr>
        <w:trPr>
          <w:trHeight w:val="132"/>
        </w:trPr>
        <w:tc>
          <w:tcPr>
            <w:tcW w:w="2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percentage of unpaid principal</w:t>
            </w: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59"/>
        </w:trPr>
        <w:tc>
          <w:tcPr>
            <w:tcW w:w="2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8"/>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8"/>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Derivatives - loan commitments (net)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10,128,610</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Market approach</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Pull-through rate</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52.0%</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92.0%</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81.0%</w:t>
            </w:r>
          </w:p>
        </w:tc>
      </w:tr>
      <w:tr>
        <w:trPr>
          <w:trHeight w:val="157"/>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ind w:left="20"/>
              <w:spacing w:after="0"/>
              <w:rPr>
                <w:sz w:val="20"/>
                <w:szCs w:val="20"/>
                <w:color w:val="auto"/>
              </w:rPr>
            </w:pPr>
            <w:r>
              <w:rPr>
                <w:rFonts w:ascii="Arial" w:cs="Arial" w:eastAsia="Arial" w:hAnsi="Arial"/>
                <w:sz w:val="12"/>
                <w:szCs w:val="12"/>
                <w:color w:val="auto"/>
              </w:rPr>
              <w:t>Initial-Value</w:t>
            </w:r>
          </w:p>
        </w:tc>
        <w:tc>
          <w:tcPr>
            <w:tcW w:w="660" w:type="dxa"/>
            <w:vAlign w:val="bottom"/>
          </w:tcPr>
          <w:p>
            <w:pPr>
              <w:jc w:val="center"/>
              <w:spacing w:after="0"/>
              <w:rPr>
                <w:sz w:val="20"/>
                <w:szCs w:val="20"/>
                <w:color w:val="auto"/>
              </w:rPr>
            </w:pPr>
            <w:r>
              <w:rPr>
                <w:rFonts w:ascii="Arial" w:cs="Arial" w:eastAsia="Arial" w:hAnsi="Arial"/>
                <w:sz w:val="12"/>
                <w:szCs w:val="12"/>
                <w:color w:val="auto"/>
              </w:rPr>
              <w:t>N/A</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color w:val="auto"/>
              </w:rPr>
              <w:t>N/A</w:t>
            </w:r>
          </w:p>
        </w:tc>
        <w:tc>
          <w:tcPr>
            <w:tcW w:w="680" w:type="dxa"/>
            <w:vAlign w:val="bottom"/>
          </w:tcPr>
          <w:p>
            <w:pPr>
              <w:jc w:val="center"/>
              <w:spacing w:after="0"/>
              <w:rPr>
                <w:sz w:val="20"/>
                <w:szCs w:val="20"/>
                <w:color w:val="auto"/>
              </w:rPr>
            </w:pPr>
            <w:r>
              <w:rPr>
                <w:rFonts w:ascii="Arial" w:cs="Arial" w:eastAsia="Arial" w:hAnsi="Arial"/>
                <w:sz w:val="12"/>
                <w:szCs w:val="12"/>
                <w:color w:val="auto"/>
              </w:rPr>
              <w:t>N/A</w:t>
            </w:r>
          </w:p>
        </w:tc>
      </w:tr>
      <w:tr>
        <w:trPr>
          <w:trHeight w:val="160"/>
        </w:trPr>
        <w:tc>
          <w:tcPr>
            <w:tcW w:w="2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Servicing</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 bps</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184 bps</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58 bps</w:t>
            </w:r>
          </w:p>
        </w:tc>
      </w:tr>
      <w:tr>
        <w:trPr>
          <w:trHeight w:val="158"/>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8"/>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 for sale</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2,201,175</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 quotes</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Pricing quotes</w:t>
            </w:r>
          </w:p>
        </w:tc>
        <w:tc>
          <w:tcPr>
            <w:tcW w:w="6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  90.83</w:t>
            </w: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$ 119.33</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95"/>
              </w:rPr>
              <w:t>$  113.47</w:t>
            </w:r>
          </w:p>
        </w:tc>
      </w:tr>
    </w:tbl>
    <w:p>
      <w:pPr>
        <w:spacing w:after="0" w:line="22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4" w:name="page95"/>
    <w:bookmarkEnd w:id="9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For Level 3 assets and liabilities measured at fair value on a recurring basis as of December 31, 2019, the significant unobservable inputs used in the fair value measurements were as follows:</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Significant</w:t>
            </w:r>
          </w:p>
        </w:tc>
        <w:tc>
          <w:tcPr>
            <w:tcW w:w="1560" w:type="dxa"/>
            <w:vAlign w:val="bottom"/>
            <w:gridSpan w:val="3"/>
          </w:tcPr>
          <w:p>
            <w:pPr>
              <w:ind w:left="320"/>
              <w:spacing w:after="0"/>
              <w:rPr>
                <w:sz w:val="20"/>
                <w:szCs w:val="20"/>
                <w:color w:val="auto"/>
              </w:rPr>
            </w:pPr>
            <w:r>
              <w:rPr>
                <w:rFonts w:ascii="Arial" w:cs="Arial" w:eastAsia="Arial" w:hAnsi="Arial"/>
                <w:sz w:val="12"/>
                <w:szCs w:val="12"/>
                <w:color w:val="auto"/>
              </w:rPr>
              <w:t>Range of Inputs</w:t>
            </w:r>
          </w:p>
        </w:tc>
        <w:tc>
          <w:tcPr>
            <w:tcW w:w="680" w:type="dxa"/>
            <w:vAlign w:val="bottom"/>
          </w:tcPr>
          <w:p>
            <w:pPr>
              <w:spacing w:after="0"/>
              <w:rPr>
                <w:sz w:val="13"/>
                <w:szCs w:val="13"/>
                <w:color w:val="auto"/>
              </w:rPr>
            </w:pPr>
          </w:p>
        </w:tc>
      </w:tr>
      <w:tr>
        <w:trPr>
          <w:trHeight w:val="152"/>
        </w:trPr>
        <w:tc>
          <w:tcPr>
            <w:tcW w:w="254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Arial" w:cs="Arial" w:eastAsia="Arial" w:hAnsi="Arial"/>
                <w:sz w:val="12"/>
                <w:szCs w:val="12"/>
                <w:color w:val="auto"/>
              </w:rPr>
              <w:t>Fair Value at</w:t>
            </w: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Valuation</w:t>
            </w:r>
          </w:p>
        </w:tc>
        <w:tc>
          <w:tcPr>
            <w:tcW w:w="190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Unobservable</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rPr>
              <w:t>Minimum</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6"/>
              </w:rPr>
              <w:t>Maximum</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90"/>
              </w:rPr>
              <w:t>Weighted</w:t>
            </w:r>
          </w:p>
        </w:tc>
      </w:tr>
      <w:tr>
        <w:trPr>
          <w:trHeight w:val="159"/>
        </w:trPr>
        <w:tc>
          <w:tcPr>
            <w:tcW w:w="2540" w:type="dxa"/>
            <w:vAlign w:val="bottom"/>
          </w:tcPr>
          <w:p>
            <w:pPr>
              <w:spacing w:after="0"/>
              <w:rPr>
                <w:sz w:val="13"/>
                <w:szCs w:val="13"/>
                <w:color w:val="auto"/>
              </w:rPr>
            </w:pPr>
          </w:p>
        </w:tc>
        <w:tc>
          <w:tcPr>
            <w:tcW w:w="880" w:type="dxa"/>
            <w:vAlign w:val="bottom"/>
          </w:tcPr>
          <w:p>
            <w:pPr>
              <w:jc w:val="right"/>
              <w:ind w:right="98"/>
              <w:spacing w:after="0"/>
              <w:rPr>
                <w:sz w:val="20"/>
                <w:szCs w:val="20"/>
                <w:color w:val="auto"/>
              </w:rPr>
            </w:pPr>
            <w:r>
              <w:rPr>
                <w:rFonts w:ascii="Arial" w:cs="Arial" w:eastAsia="Arial" w:hAnsi="Arial"/>
                <w:sz w:val="12"/>
                <w:szCs w:val="12"/>
                <w:color w:val="auto"/>
              </w:rPr>
              <w:t>12/31/2019</w:t>
            </w: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Technique</w:t>
            </w:r>
          </w:p>
        </w:tc>
        <w:tc>
          <w:tcPr>
            <w:tcW w:w="1900" w:type="dxa"/>
            <w:vAlign w:val="bottom"/>
            <w:gridSpan w:val="2"/>
          </w:tcPr>
          <w:p>
            <w:pPr>
              <w:jc w:val="center"/>
              <w:ind w:right="140"/>
              <w:spacing w:after="0"/>
              <w:rPr>
                <w:sz w:val="20"/>
                <w:szCs w:val="20"/>
                <w:color w:val="auto"/>
              </w:rPr>
            </w:pPr>
            <w:r>
              <w:rPr>
                <w:rFonts w:ascii="Arial" w:cs="Arial" w:eastAsia="Arial" w:hAnsi="Arial"/>
                <w:sz w:val="12"/>
                <w:szCs w:val="12"/>
                <w:color w:val="auto"/>
                <w:w w:val="98"/>
              </w:rPr>
              <w:t>Input(s)</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Value</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Value</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Average</w:t>
            </w:r>
          </w:p>
        </w:tc>
      </w:tr>
      <w:tr>
        <w:trPr>
          <w:trHeight w:val="126"/>
        </w:trPr>
        <w:tc>
          <w:tcPr>
            <w:tcW w:w="254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Loans held for sale</w:t>
            </w:r>
          </w:p>
        </w:tc>
        <w:tc>
          <w:tcPr>
            <w:tcW w:w="88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$213,457,632</w:t>
            </w:r>
          </w:p>
        </w:tc>
        <w:tc>
          <w:tcPr>
            <w:tcW w:w="1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Market approach</w:t>
            </w:r>
          </w:p>
        </w:tc>
        <w:tc>
          <w:tcPr>
            <w:tcW w:w="14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Investor contract pricing as a</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98.0%</w:t>
            </w:r>
          </w:p>
        </w:tc>
        <w:tc>
          <w:tcPr>
            <w:tcW w:w="740" w:type="dxa"/>
            <w:vAlign w:val="bottom"/>
            <w:tcBorders>
              <w:top w:val="single" w:sz="8" w:color="auto"/>
            </w:tcBorders>
            <w:shd w:val="clear" w:color="auto" w:fill="CCEEFF"/>
          </w:tcPr>
          <w:p>
            <w:pPr>
              <w:jc w:val="right"/>
              <w:ind w:right="98"/>
              <w:spacing w:after="0" w:line="126" w:lineRule="exact"/>
              <w:rPr>
                <w:sz w:val="20"/>
                <w:szCs w:val="20"/>
                <w:color w:val="auto"/>
              </w:rPr>
            </w:pPr>
            <w:r>
              <w:rPr>
                <w:rFonts w:ascii="Arial" w:cs="Arial" w:eastAsia="Arial" w:hAnsi="Arial"/>
                <w:sz w:val="12"/>
                <w:szCs w:val="12"/>
                <w:color w:val="auto"/>
              </w:rPr>
              <w:t>109.0%</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center"/>
              <w:spacing w:after="0" w:line="126" w:lineRule="exact"/>
              <w:rPr>
                <w:sz w:val="20"/>
                <w:szCs w:val="20"/>
                <w:color w:val="auto"/>
              </w:rPr>
            </w:pPr>
            <w:r>
              <w:rPr>
                <w:rFonts w:ascii="Arial" w:cs="Arial" w:eastAsia="Arial" w:hAnsi="Arial"/>
                <w:sz w:val="12"/>
                <w:szCs w:val="12"/>
                <w:color w:val="auto"/>
                <w:w w:val="93"/>
              </w:rPr>
              <w:t>103.0%</w:t>
            </w:r>
          </w:p>
        </w:tc>
      </w:tr>
      <w:tr>
        <w:trPr>
          <w:trHeight w:val="132"/>
        </w:trPr>
        <w:tc>
          <w:tcPr>
            <w:tcW w:w="2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color w:val="auto"/>
              </w:rPr>
              <w:t>percentage of unpaid principal</w:t>
            </w: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59"/>
        </w:trPr>
        <w:tc>
          <w:tcPr>
            <w:tcW w:w="2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8"/>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8"/>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Derivatives - loan commitments (net)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2,491,233</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Market approach</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Pull-through rate</w:t>
            </w:r>
          </w:p>
        </w:tc>
        <w:tc>
          <w:tcPr>
            <w:tcW w:w="6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1.0%</w:t>
            </w: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92.0%</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81.0%</w:t>
            </w:r>
          </w:p>
        </w:tc>
      </w:tr>
      <w:tr>
        <w:trPr>
          <w:trHeight w:val="157"/>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2"/>
          </w:tcPr>
          <w:p>
            <w:pPr>
              <w:ind w:left="20"/>
              <w:spacing w:after="0"/>
              <w:rPr>
                <w:sz w:val="20"/>
                <w:szCs w:val="20"/>
                <w:color w:val="auto"/>
              </w:rPr>
            </w:pPr>
            <w:r>
              <w:rPr>
                <w:rFonts w:ascii="Arial" w:cs="Arial" w:eastAsia="Arial" w:hAnsi="Arial"/>
                <w:sz w:val="12"/>
                <w:szCs w:val="12"/>
                <w:color w:val="auto"/>
              </w:rPr>
              <w:t>Initial-Value</w:t>
            </w:r>
          </w:p>
        </w:tc>
        <w:tc>
          <w:tcPr>
            <w:tcW w:w="660" w:type="dxa"/>
            <w:vAlign w:val="bottom"/>
          </w:tcPr>
          <w:p>
            <w:pPr>
              <w:jc w:val="center"/>
              <w:spacing w:after="0"/>
              <w:rPr>
                <w:sz w:val="20"/>
                <w:szCs w:val="20"/>
                <w:color w:val="auto"/>
              </w:rPr>
            </w:pPr>
            <w:r>
              <w:rPr>
                <w:rFonts w:ascii="Arial" w:cs="Arial" w:eastAsia="Arial" w:hAnsi="Arial"/>
                <w:sz w:val="12"/>
                <w:szCs w:val="12"/>
                <w:color w:val="auto"/>
              </w:rPr>
              <w:t>N/A</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color w:val="auto"/>
              </w:rPr>
              <w:t>N/A</w:t>
            </w:r>
          </w:p>
        </w:tc>
        <w:tc>
          <w:tcPr>
            <w:tcW w:w="680" w:type="dxa"/>
            <w:vAlign w:val="bottom"/>
          </w:tcPr>
          <w:p>
            <w:pPr>
              <w:jc w:val="center"/>
              <w:spacing w:after="0"/>
              <w:rPr>
                <w:sz w:val="20"/>
                <w:szCs w:val="20"/>
                <w:color w:val="auto"/>
              </w:rPr>
            </w:pPr>
            <w:r>
              <w:rPr>
                <w:rFonts w:ascii="Arial" w:cs="Arial" w:eastAsia="Arial" w:hAnsi="Arial"/>
                <w:sz w:val="12"/>
                <w:szCs w:val="12"/>
                <w:color w:val="auto"/>
              </w:rPr>
              <w:t>N/A</w:t>
            </w:r>
          </w:p>
        </w:tc>
      </w:tr>
      <w:tr>
        <w:trPr>
          <w:trHeight w:val="160"/>
        </w:trPr>
        <w:tc>
          <w:tcPr>
            <w:tcW w:w="2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Servicing</w:t>
            </w:r>
          </w:p>
        </w:tc>
        <w:tc>
          <w:tcPr>
            <w:tcW w:w="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 bps</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8"/>
              </w:rPr>
              <w:t>318 bps</w:t>
            </w:r>
          </w:p>
        </w:tc>
        <w:tc>
          <w:tcPr>
            <w:tcW w:w="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79 bps</w:t>
            </w:r>
          </w:p>
        </w:tc>
      </w:tr>
      <w:tr>
        <w:trPr>
          <w:trHeight w:val="158"/>
        </w:trPr>
        <w:tc>
          <w:tcPr>
            <w:tcW w:w="2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8"/>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Fixed maturity securities available for sale</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3,216,382</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Broker quotes</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Pricing quotes</w:t>
            </w:r>
          </w:p>
        </w:tc>
        <w:tc>
          <w:tcPr>
            <w:tcW w:w="6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  95.02</w:t>
            </w:r>
          </w:p>
        </w:tc>
        <w:tc>
          <w:tcPr>
            <w:tcW w:w="7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$ 115.80</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95"/>
              </w:rPr>
              <w:t>$  107.98</w:t>
            </w: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8"/>
          <w:szCs w:val="18"/>
          <w:color w:val="auto"/>
        </w:rPr>
        <w:t>Following is a summary of changes in the consolidated balance sheet line items measured using level 3 inputs:</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3"/>
              </w:rPr>
              <w:t>Net Derivatives Loan</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w w:val="92"/>
              </w:rPr>
              <w:t>Fixed Maturity Securities</w:t>
            </w:r>
          </w:p>
        </w:tc>
        <w:tc>
          <w:tcPr>
            <w:tcW w:w="380" w:type="dxa"/>
            <w:vAlign w:val="bottom"/>
          </w:tcPr>
          <w:p>
            <w:pPr>
              <w:spacing w:after="0"/>
              <w:rPr>
                <w:sz w:val="14"/>
                <w:szCs w:val="14"/>
                <w:color w:val="auto"/>
              </w:rPr>
            </w:pPr>
          </w:p>
        </w:tc>
      </w:tr>
      <w:tr>
        <w:trPr>
          <w:trHeight w:val="177"/>
        </w:trPr>
        <w:tc>
          <w:tcPr>
            <w:tcW w:w="3700" w:type="dxa"/>
            <w:vAlign w:val="bottom"/>
          </w:tcPr>
          <w:p>
            <w:pPr>
              <w:spacing w:after="0"/>
              <w:rPr>
                <w:sz w:val="15"/>
                <w:szCs w:val="15"/>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Commitments</w:t>
            </w:r>
          </w:p>
        </w:tc>
        <w:tc>
          <w:tcPr>
            <w:tcW w:w="36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97"/>
              </w:rPr>
              <w:t>Loans Held for Sale</w:t>
            </w:r>
          </w:p>
        </w:tc>
        <w:tc>
          <w:tcPr>
            <w:tcW w:w="38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Available for Sale</w:t>
            </w:r>
          </w:p>
        </w:tc>
        <w:tc>
          <w:tcPr>
            <w:tcW w:w="380" w:type="dxa"/>
            <w:vAlign w:val="bottom"/>
          </w:tcPr>
          <w:p>
            <w:pPr>
              <w:spacing w:after="0"/>
              <w:rPr>
                <w:sz w:val="15"/>
                <w:szCs w:val="15"/>
                <w:color w:val="auto"/>
              </w:rPr>
            </w:pPr>
          </w:p>
        </w:tc>
      </w:tr>
      <w:tr>
        <w:trPr>
          <w:trHeight w:val="165"/>
        </w:trPr>
        <w:tc>
          <w:tcPr>
            <w:tcW w:w="3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Balance - December 31, 2019</w:t>
            </w:r>
          </w:p>
        </w:tc>
        <w:tc>
          <w:tcPr>
            <w:tcW w:w="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2,491,233</w:t>
            </w: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213,457,632</w:t>
            </w: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3,216,382</w:t>
            </w:r>
          </w:p>
        </w:tc>
        <w:tc>
          <w:tcPr>
            <w:tcW w:w="380" w:type="dxa"/>
            <w:vAlign w:val="bottom"/>
            <w:shd w:val="clear" w:color="auto" w:fill="CCEEFF"/>
          </w:tcPr>
          <w:p>
            <w:pPr>
              <w:spacing w:after="0"/>
              <w:rPr>
                <w:sz w:val="14"/>
                <w:szCs w:val="14"/>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color w:val="auto"/>
              </w:rPr>
              <w:t>Originations/purchases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w w:val="98"/>
              </w:rPr>
              <w:t>5,627,013,749</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r>
      <w:tr>
        <w:trPr>
          <w:trHeight w:val="171"/>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Sales, maturities and paydowns</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(5,600,045,285)</w:t>
            </w: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(1,042,400)</w:t>
            </w:r>
          </w:p>
        </w:tc>
        <w:tc>
          <w:tcPr>
            <w:tcW w:w="380" w:type="dxa"/>
            <w:vAlign w:val="bottom"/>
            <w:shd w:val="clear" w:color="auto" w:fill="CCEEFF"/>
          </w:tcPr>
          <w:p>
            <w:pPr>
              <w:spacing w:after="0"/>
              <w:rPr>
                <w:sz w:val="14"/>
                <w:szCs w:val="14"/>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color w:val="auto"/>
              </w:rPr>
              <w:t>Transfer to mortgage loans held for investment</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(16,960,549)</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r>
      <w:tr>
        <w:trPr>
          <w:trHeight w:val="171"/>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Total gains (losses):</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1"/>
        </w:trPr>
        <w:tc>
          <w:tcPr>
            <w:tcW w:w="3700" w:type="dxa"/>
            <w:vAlign w:val="bottom"/>
          </w:tcPr>
          <w:p>
            <w:pPr>
              <w:ind w:left="140"/>
              <w:spacing w:after="0"/>
              <w:rPr>
                <w:sz w:val="20"/>
                <w:szCs w:val="20"/>
                <w:color w:val="auto"/>
              </w:rPr>
            </w:pPr>
            <w:r>
              <w:rPr>
                <w:rFonts w:ascii="Arial" w:cs="Arial" w:eastAsia="Arial" w:hAnsi="Arial"/>
                <w:sz w:val="14"/>
                <w:szCs w:val="14"/>
                <w:color w:val="auto"/>
              </w:rPr>
              <w:t>Included in earnings</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7,637,377</w:t>
            </w:r>
          </w:p>
        </w:tc>
        <w:tc>
          <w:tcPr>
            <w:tcW w:w="3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199,306,871</w:t>
            </w:r>
          </w:p>
        </w:tc>
        <w:tc>
          <w:tcPr>
            <w:tcW w:w="38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3,408</w:t>
            </w:r>
          </w:p>
        </w:tc>
        <w:tc>
          <w:tcPr>
            <w:tcW w:w="380" w:type="dxa"/>
            <w:vAlign w:val="bottom"/>
          </w:tcPr>
          <w:p>
            <w:pPr>
              <w:jc w:val="right"/>
              <w:ind w:right="50"/>
              <w:spacing w:after="0"/>
              <w:rPr>
                <w:sz w:val="20"/>
                <w:szCs w:val="20"/>
                <w:color w:val="auto"/>
              </w:rPr>
            </w:pPr>
            <w:r>
              <w:rPr>
                <w:rFonts w:ascii="Arial" w:cs="Arial" w:eastAsia="Arial" w:hAnsi="Arial"/>
                <w:sz w:val="14"/>
                <w:szCs w:val="14"/>
                <w:color w:val="auto"/>
              </w:rPr>
              <w:t>(2)</w:t>
            </w:r>
          </w:p>
        </w:tc>
      </w:tr>
      <w:tr>
        <w:trPr>
          <w:trHeight w:val="171"/>
        </w:trPr>
        <w:tc>
          <w:tcPr>
            <w:tcW w:w="3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Included in other comprehensive income</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23,785</w:t>
            </w:r>
          </w:p>
        </w:tc>
        <w:tc>
          <w:tcPr>
            <w:tcW w:w="380" w:type="dxa"/>
            <w:vAlign w:val="bottom"/>
            <w:shd w:val="clear" w:color="auto" w:fill="CCEEFF"/>
          </w:tcPr>
          <w:p>
            <w:pPr>
              <w:spacing w:after="0"/>
              <w:rPr>
                <w:sz w:val="14"/>
                <w:szCs w:val="14"/>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r>
      <w:tr>
        <w:trPr>
          <w:trHeight w:val="165"/>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 December 31, 2020</w:t>
            </w: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10,128,610</w:t>
            </w:r>
          </w:p>
        </w:tc>
        <w:tc>
          <w:tcPr>
            <w:tcW w:w="3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422,772,418</w:t>
            </w:r>
          </w:p>
        </w:tc>
        <w:tc>
          <w:tcPr>
            <w:tcW w:w="3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2,201,175</w:t>
            </w:r>
          </w:p>
        </w:tc>
        <w:tc>
          <w:tcPr>
            <w:tcW w:w="380" w:type="dxa"/>
            <w:vAlign w:val="bottom"/>
            <w:tcBorders>
              <w:bottom w:val="single" w:sz="8" w:color="CCEEFF"/>
            </w:tcBorders>
            <w:shd w:val="clear" w:color="auto" w:fill="CCEEFF"/>
          </w:tcPr>
          <w:p>
            <w:pPr>
              <w:spacing w:after="0"/>
              <w:rPr>
                <w:sz w:val="14"/>
                <w:szCs w:val="14"/>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5" w:hanging="325"/>
        <w:spacing w:after="0"/>
        <w:tabs>
          <w:tab w:leader="none" w:pos="325"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a component of mortgage fee income on the consolidated statements of earnings</w:t>
      </w:r>
    </w:p>
    <w:p>
      <w:pPr>
        <w:ind w:left="325" w:hanging="325"/>
        <w:spacing w:after="0"/>
        <w:tabs>
          <w:tab w:leader="none" w:pos="325"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a component of net investment income on the consolidated statements of earnings</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8"/>
          <w:szCs w:val="18"/>
          <w:color w:val="auto"/>
        </w:rPr>
        <w:t>Following is a summary of changes in the consolidated balance sheet line items measured using level 3 inputs:</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Net Derivatives Loan</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w w:val="93"/>
              </w:rPr>
              <w:t>Fixed Maturity Securities</w:t>
            </w:r>
          </w:p>
        </w:tc>
      </w:tr>
      <w:tr>
        <w:trPr>
          <w:trHeight w:val="177"/>
        </w:trPr>
        <w:tc>
          <w:tcPr>
            <w:tcW w:w="4200" w:type="dxa"/>
            <w:vAlign w:val="bottom"/>
          </w:tcPr>
          <w:p>
            <w:pPr>
              <w:spacing w:after="0"/>
              <w:rPr>
                <w:sz w:val="15"/>
                <w:szCs w:val="15"/>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Commitments</w:t>
            </w:r>
          </w:p>
        </w:tc>
        <w:tc>
          <w:tcPr>
            <w:tcW w:w="1580" w:type="dxa"/>
            <w:vAlign w:val="bottom"/>
            <w:gridSpan w:val="3"/>
          </w:tcPr>
          <w:p>
            <w:pPr>
              <w:ind w:left="120"/>
              <w:spacing w:after="0"/>
              <w:rPr>
                <w:sz w:val="20"/>
                <w:szCs w:val="20"/>
                <w:color w:val="auto"/>
              </w:rPr>
            </w:pPr>
            <w:r>
              <w:rPr>
                <w:rFonts w:ascii="Arial" w:cs="Arial" w:eastAsia="Arial" w:hAnsi="Arial"/>
                <w:sz w:val="14"/>
                <w:szCs w:val="14"/>
                <w:color w:val="auto"/>
              </w:rPr>
              <w:t>Loans Held for Sale</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Available for Sale</w:t>
            </w:r>
          </w:p>
        </w:tc>
      </w:tr>
      <w:tr>
        <w:trPr>
          <w:trHeight w:val="165"/>
        </w:trPr>
        <w:tc>
          <w:tcPr>
            <w:tcW w:w="42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71"/>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Balance - December 31, 2018</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1,591,816</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136,210,853</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Originations/purchases</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w w:val="98"/>
              </w:rPr>
              <w:t>2,606,839,175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Sales, maturities and paydowns</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(2,580,875,055)</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Transfer to mortgage loans held for investment</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(31,881,851)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Transfer from fixed maturity securities held to maturity</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3,216,382</w:t>
            </w: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Total gains (losses):</w:t>
            </w: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Included in earnings (1)</w:t>
            </w:r>
          </w:p>
        </w:tc>
        <w:tc>
          <w:tcPr>
            <w:tcW w:w="6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899,417</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83,164,510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5"/>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 December 31, 2019</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2,491,233</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213,457,632</w:t>
            </w: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3,216,382</w:t>
            </w:r>
          </w:p>
        </w:tc>
      </w:tr>
      <w:tr>
        <w:trPr>
          <w:trHeight w:val="20"/>
        </w:trPr>
        <w:tc>
          <w:tcPr>
            <w:tcW w:w="4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25" w:hanging="325"/>
        <w:spacing w:after="0"/>
        <w:tabs>
          <w:tab w:leader="none" w:pos="325"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a component of mortgage fee income on the consolidated statements of earnings</w:t>
      </w:r>
    </w:p>
    <w:p>
      <w:pPr>
        <w:spacing w:after="0" w:line="22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5" w:name="page96"/>
    <w:bookmarkEnd w:id="95"/>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39"/>
        <w:spacing w:after="0" w:line="305"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consolidated balance sheet at December 31, 2020.</w:t>
      </w:r>
    </w:p>
    <w:p>
      <w:pPr>
        <w:spacing w:after="0" w:line="37"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left="10"/>
              <w:spacing w:after="0"/>
              <w:rPr>
                <w:sz w:val="20"/>
                <w:szCs w:val="20"/>
                <w:color w:val="auto"/>
              </w:rPr>
            </w:pPr>
            <w:r>
              <w:rPr>
                <w:rFonts w:ascii="Arial" w:cs="Arial" w:eastAsia="Arial" w:hAnsi="Arial"/>
                <w:sz w:val="14"/>
                <w:szCs w:val="14"/>
                <w:color w:val="auto"/>
                <w:w w:val="90"/>
              </w:rPr>
              <w:t>Quoted Prices in</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left="30"/>
              <w:spacing w:after="0"/>
              <w:rPr>
                <w:sz w:val="20"/>
                <w:szCs w:val="20"/>
                <w:color w:val="auto"/>
              </w:rPr>
            </w:pPr>
            <w:r>
              <w:rPr>
                <w:rFonts w:ascii="Arial" w:cs="Arial" w:eastAsia="Arial" w:hAnsi="Arial"/>
                <w:sz w:val="14"/>
                <w:szCs w:val="14"/>
                <w:color w:val="auto"/>
                <w:w w:val="92"/>
              </w:rPr>
              <w:t>Significant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left="10"/>
              <w:spacing w:after="0" w:line="145" w:lineRule="exact"/>
              <w:rPr>
                <w:sz w:val="20"/>
                <w:szCs w:val="20"/>
                <w:color w:val="auto"/>
              </w:rPr>
            </w:pPr>
            <w:r>
              <w:rPr>
                <w:rFonts w:ascii="Arial" w:cs="Arial" w:eastAsia="Arial" w:hAnsi="Arial"/>
                <w:sz w:val="14"/>
                <w:szCs w:val="14"/>
                <w:color w:val="auto"/>
                <w:w w:val="94"/>
              </w:rPr>
              <w:t>Active Markets for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left="30"/>
              <w:spacing w:after="0" w:line="145" w:lineRule="exact"/>
              <w:rPr>
                <w:sz w:val="20"/>
                <w:szCs w:val="20"/>
                <w:color w:val="auto"/>
              </w:rPr>
            </w:pPr>
            <w:r>
              <w:rPr>
                <w:rFonts w:ascii="Arial" w:cs="Arial" w:eastAsia="Arial" w:hAnsi="Arial"/>
                <w:sz w:val="14"/>
                <w:szCs w:val="14"/>
                <w:color w:val="auto"/>
                <w:w w:val="89"/>
              </w:rPr>
              <w:t>Observable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50"/>
              <w:spacing w:after="0" w:line="145" w:lineRule="exact"/>
              <w:rPr>
                <w:sz w:val="20"/>
                <w:szCs w:val="20"/>
                <w:color w:val="auto"/>
              </w:rPr>
            </w:pPr>
            <w:r>
              <w:rPr>
                <w:rFonts w:ascii="Arial" w:cs="Arial" w:eastAsia="Arial" w:hAnsi="Arial"/>
                <w:sz w:val="14"/>
                <w:szCs w:val="14"/>
                <w:color w:val="auto"/>
              </w:rPr>
              <w:t>Identical Assets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ind w:left="280"/>
              <w:spacing w:after="0" w:line="145" w:lineRule="exact"/>
              <w:rPr>
                <w:sz w:val="20"/>
                <w:szCs w:val="20"/>
                <w:color w:val="auto"/>
              </w:rPr>
            </w:pPr>
            <w:r>
              <w:rPr>
                <w:rFonts w:ascii="Arial" w:cs="Arial" w:eastAsia="Arial" w:hAnsi="Arial"/>
                <w:sz w:val="14"/>
                <w:szCs w:val="14"/>
                <w:color w:val="auto"/>
              </w:rPr>
              <w:t>Inputs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70"/>
              <w:spacing w:after="0" w:line="145" w:lineRule="exact"/>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77"/>
        </w:trPr>
        <w:tc>
          <w:tcPr>
            <w:tcW w:w="3600" w:type="dxa"/>
            <w:vAlign w:val="bottom"/>
            <w:vMerge w:val="restart"/>
          </w:tcPr>
          <w:p>
            <w:pPr>
              <w:spacing w:after="0"/>
              <w:rPr>
                <w:sz w:val="20"/>
                <w:szCs w:val="20"/>
                <w:color w:val="auto"/>
              </w:rPr>
            </w:pPr>
            <w:r>
              <w:rPr>
                <w:rFonts w:ascii="Arial" w:cs="Arial" w:eastAsia="Arial" w:hAnsi="Arial"/>
                <w:sz w:val="14"/>
                <w:szCs w:val="14"/>
                <w:color w:val="auto"/>
              </w:rPr>
              <w:t>Assets accounted for at fair value on a</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 1)</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95"/>
              </w:rPr>
              <w:t>(Level 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20"/>
        </w:trPr>
        <w:tc>
          <w:tcPr>
            <w:tcW w:w="36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600" w:type="dxa"/>
            <w:vAlign w:val="bottom"/>
          </w:tcPr>
          <w:p>
            <w:pPr>
              <w:ind w:left="80"/>
              <w:spacing w:after="0"/>
              <w:rPr>
                <w:sz w:val="20"/>
                <w:szCs w:val="20"/>
                <w:color w:val="auto"/>
              </w:rPr>
            </w:pPr>
            <w:r>
              <w:rPr>
                <w:rFonts w:ascii="Arial" w:cs="Arial" w:eastAsia="Arial" w:hAnsi="Arial"/>
                <w:sz w:val="14"/>
                <w:szCs w:val="14"/>
                <w:color w:val="auto"/>
              </w:rPr>
              <w:t>nonrecurring basis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Impaired mortgage loans held for investment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1,297,356</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1,297,356</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Impaired real estate held for sale</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4,249,000</w:t>
            </w:r>
          </w:p>
        </w:tc>
        <w:tc>
          <w:tcPr>
            <w:tcW w:w="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4,249,000</w:t>
            </w:r>
          </w:p>
        </w:tc>
        <w:tc>
          <w:tcPr>
            <w:tcW w:w="0" w:type="dxa"/>
            <w:vAlign w:val="bottom"/>
          </w:tcPr>
          <w:p>
            <w:pPr>
              <w:spacing w:after="0"/>
              <w:rPr>
                <w:sz w:val="1"/>
                <w:szCs w:val="1"/>
                <w:color w:val="auto"/>
              </w:rPr>
            </w:pPr>
          </w:p>
        </w:tc>
      </w:tr>
      <w:tr>
        <w:trPr>
          <w:trHeight w:val="120"/>
        </w:trPr>
        <w:tc>
          <w:tcPr>
            <w:tcW w:w="360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Total assets accounted for at fair value on</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5,546,356</w:t>
            </w:r>
          </w:p>
        </w:tc>
        <w:tc>
          <w:tcPr>
            <w:tcW w:w="22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5,546,356</w:t>
            </w: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 nonrecurring basis</w:t>
            </w: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both"/>
        <w:ind w:left="5" w:right="339"/>
        <w:spacing w:after="0" w:line="305"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consolidated balance sheet at December 31, 2019.</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left="10"/>
              <w:spacing w:after="0"/>
              <w:rPr>
                <w:sz w:val="20"/>
                <w:szCs w:val="20"/>
                <w:color w:val="auto"/>
              </w:rPr>
            </w:pPr>
            <w:r>
              <w:rPr>
                <w:rFonts w:ascii="Arial" w:cs="Arial" w:eastAsia="Arial" w:hAnsi="Arial"/>
                <w:sz w:val="14"/>
                <w:szCs w:val="14"/>
                <w:color w:val="auto"/>
                <w:w w:val="90"/>
              </w:rPr>
              <w:t>Quoted Prices in</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left="30"/>
              <w:spacing w:after="0"/>
              <w:rPr>
                <w:sz w:val="20"/>
                <w:szCs w:val="20"/>
                <w:color w:val="auto"/>
              </w:rPr>
            </w:pPr>
            <w:r>
              <w:rPr>
                <w:rFonts w:ascii="Arial" w:cs="Arial" w:eastAsia="Arial" w:hAnsi="Arial"/>
                <w:sz w:val="14"/>
                <w:szCs w:val="14"/>
                <w:color w:val="auto"/>
                <w:w w:val="92"/>
              </w:rPr>
              <w:t>Significant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left="10"/>
              <w:spacing w:after="0" w:line="145" w:lineRule="exact"/>
              <w:rPr>
                <w:sz w:val="20"/>
                <w:szCs w:val="20"/>
                <w:color w:val="auto"/>
              </w:rPr>
            </w:pPr>
            <w:r>
              <w:rPr>
                <w:rFonts w:ascii="Arial" w:cs="Arial" w:eastAsia="Arial" w:hAnsi="Arial"/>
                <w:sz w:val="14"/>
                <w:szCs w:val="14"/>
                <w:color w:val="auto"/>
                <w:w w:val="94"/>
              </w:rPr>
              <w:t>Active Markets for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left="30"/>
              <w:spacing w:after="0" w:line="145" w:lineRule="exact"/>
              <w:rPr>
                <w:sz w:val="20"/>
                <w:szCs w:val="20"/>
                <w:color w:val="auto"/>
              </w:rPr>
            </w:pPr>
            <w:r>
              <w:rPr>
                <w:rFonts w:ascii="Arial" w:cs="Arial" w:eastAsia="Arial" w:hAnsi="Arial"/>
                <w:sz w:val="14"/>
                <w:szCs w:val="14"/>
                <w:color w:val="auto"/>
                <w:w w:val="89"/>
              </w:rPr>
              <w:t>Observable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50"/>
              <w:spacing w:after="0" w:line="145" w:lineRule="exact"/>
              <w:rPr>
                <w:sz w:val="20"/>
                <w:szCs w:val="20"/>
                <w:color w:val="auto"/>
              </w:rPr>
            </w:pPr>
            <w:r>
              <w:rPr>
                <w:rFonts w:ascii="Arial" w:cs="Arial" w:eastAsia="Arial" w:hAnsi="Arial"/>
                <w:sz w:val="14"/>
                <w:szCs w:val="14"/>
                <w:color w:val="auto"/>
              </w:rPr>
              <w:t>Identical Assets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ind w:left="280"/>
              <w:spacing w:after="0" w:line="145" w:lineRule="exact"/>
              <w:rPr>
                <w:sz w:val="20"/>
                <w:szCs w:val="20"/>
                <w:color w:val="auto"/>
              </w:rPr>
            </w:pPr>
            <w:r>
              <w:rPr>
                <w:rFonts w:ascii="Arial" w:cs="Arial" w:eastAsia="Arial" w:hAnsi="Arial"/>
                <w:sz w:val="14"/>
                <w:szCs w:val="14"/>
                <w:color w:val="auto"/>
              </w:rPr>
              <w:t>Inputs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70"/>
              <w:spacing w:after="0" w:line="145" w:lineRule="exact"/>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77"/>
        </w:trPr>
        <w:tc>
          <w:tcPr>
            <w:tcW w:w="3600" w:type="dxa"/>
            <w:vAlign w:val="bottom"/>
            <w:vMerge w:val="restart"/>
          </w:tcPr>
          <w:p>
            <w:pPr>
              <w:spacing w:after="0"/>
              <w:rPr>
                <w:sz w:val="20"/>
                <w:szCs w:val="20"/>
                <w:color w:val="auto"/>
              </w:rPr>
            </w:pPr>
            <w:r>
              <w:rPr>
                <w:rFonts w:ascii="Arial" w:cs="Arial" w:eastAsia="Arial" w:hAnsi="Arial"/>
                <w:sz w:val="14"/>
                <w:szCs w:val="14"/>
                <w:color w:val="auto"/>
              </w:rPr>
              <w:t>Assets accounted for at fair value on a</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(Level 1)</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w w:val="95"/>
              </w:rPr>
              <w:t>(Level 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20"/>
        </w:trPr>
        <w:tc>
          <w:tcPr>
            <w:tcW w:w="36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600" w:type="dxa"/>
            <w:vAlign w:val="bottom"/>
          </w:tcPr>
          <w:p>
            <w:pPr>
              <w:ind w:left="80"/>
              <w:spacing w:after="0"/>
              <w:rPr>
                <w:sz w:val="20"/>
                <w:szCs w:val="20"/>
                <w:color w:val="auto"/>
              </w:rPr>
            </w:pPr>
            <w:r>
              <w:rPr>
                <w:rFonts w:ascii="Arial" w:cs="Arial" w:eastAsia="Arial" w:hAnsi="Arial"/>
                <w:sz w:val="14"/>
                <w:szCs w:val="14"/>
                <w:color w:val="auto"/>
              </w:rPr>
              <w:t>nonrecurring basis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Impaired mortgage loans held for investment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1,302,025</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1,302,025</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Impaired real estate held for investment</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8,375,884</w:t>
            </w:r>
          </w:p>
        </w:tc>
        <w:tc>
          <w:tcPr>
            <w:tcW w:w="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8,375,884</w:t>
            </w:r>
          </w:p>
        </w:tc>
        <w:tc>
          <w:tcPr>
            <w:tcW w:w="0" w:type="dxa"/>
            <w:vAlign w:val="bottom"/>
          </w:tcPr>
          <w:p>
            <w:pPr>
              <w:spacing w:after="0"/>
              <w:rPr>
                <w:sz w:val="1"/>
                <w:szCs w:val="1"/>
                <w:color w:val="auto"/>
              </w:rPr>
            </w:pPr>
          </w:p>
        </w:tc>
      </w:tr>
      <w:tr>
        <w:trPr>
          <w:trHeight w:val="120"/>
        </w:trPr>
        <w:tc>
          <w:tcPr>
            <w:tcW w:w="3600" w:type="dxa"/>
            <w:vAlign w:val="bottom"/>
            <w:shd w:val="clear" w:color="auto" w:fill="CCEEFF"/>
          </w:tcPr>
          <w:p>
            <w:pPr>
              <w:spacing w:after="0" w:line="120" w:lineRule="exact"/>
              <w:rPr>
                <w:sz w:val="20"/>
                <w:szCs w:val="20"/>
                <w:color w:val="auto"/>
              </w:rPr>
            </w:pPr>
            <w:r>
              <w:rPr>
                <w:rFonts w:ascii="Arial" w:cs="Arial" w:eastAsia="Arial" w:hAnsi="Arial"/>
                <w:sz w:val="13"/>
                <w:szCs w:val="13"/>
                <w:color w:val="auto"/>
              </w:rPr>
              <w:t>Total assets accounted for at fair value on</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9,677,909</w:t>
            </w:r>
          </w:p>
        </w:tc>
        <w:tc>
          <w:tcPr>
            <w:tcW w:w="22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9,677,909</w:t>
            </w: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 nonrecurring basis</w:t>
            </w: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96" w:name="page97"/>
    <w:bookmarkEnd w:id="9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Fair Value of Financial Instruments Carried at Other Than Fair Value</w:t>
      </w:r>
    </w:p>
    <w:p>
      <w:pPr>
        <w:spacing w:after="0" w:line="23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December 31, 2020 and 2019.</w:t>
      </w:r>
    </w:p>
    <w:p>
      <w:pPr>
        <w:spacing w:after="0" w:line="189"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carrying values and estimated fair values for such financial instruments, and their corresponding placement in the fair value hierarchy, are summarized as follows as of December 31, 2020:</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Total Estimated</w:t>
            </w:r>
          </w:p>
        </w:tc>
      </w:tr>
      <w:tr>
        <w:trPr>
          <w:trHeight w:val="177"/>
        </w:trPr>
        <w:tc>
          <w:tcPr>
            <w:tcW w:w="25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Carrying Value</w:t>
            </w: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Level 1</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Level 3</w:t>
            </w:r>
          </w:p>
        </w:tc>
        <w:tc>
          <w:tcPr>
            <w:tcW w:w="1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Fair Value</w:t>
            </w:r>
          </w:p>
        </w:tc>
      </w:tr>
      <w:tr>
        <w:trPr>
          <w:trHeight w:val="165"/>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4"/>
                <w:szCs w:val="14"/>
                <w:color w:val="auto"/>
              </w:rPr>
              <w:t>Mortgage loans held for investment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92,757,613</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100,384,283</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100,384,283</w:t>
            </w:r>
          </w:p>
        </w:tc>
      </w:tr>
      <w:tr>
        <w:trPr>
          <w:trHeight w:val="171"/>
        </w:trPr>
        <w:tc>
          <w:tcPr>
            <w:tcW w:w="250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110,849,864</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110,849,864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110,849,864</w:t>
            </w:r>
          </w:p>
        </w:tc>
      </w:tr>
      <w:tr>
        <w:trPr>
          <w:trHeight w:val="171"/>
        </w:trPr>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45,736,459</w:t>
            </w:r>
          </w:p>
        </w:tc>
        <w:tc>
          <w:tcPr>
            <w:tcW w:w="2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45,259,425</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45,259,425</w:t>
            </w:r>
          </w:p>
        </w:tc>
      </w:tr>
      <w:tr>
        <w:trPr>
          <w:trHeight w:val="165"/>
        </w:trPr>
        <w:tc>
          <w:tcPr>
            <w:tcW w:w="2500" w:type="dxa"/>
            <w:vAlign w:val="bottom"/>
          </w:tcPr>
          <w:p>
            <w:pPr>
              <w:spacing w:after="0"/>
              <w:rPr>
                <w:sz w:val="20"/>
                <w:szCs w:val="20"/>
                <w:color w:val="auto"/>
              </w:rPr>
            </w:pPr>
            <w:r>
              <w:rPr>
                <w:rFonts w:ascii="Arial" w:cs="Arial" w:eastAsia="Arial" w:hAnsi="Arial"/>
                <w:sz w:val="14"/>
                <w:szCs w:val="14"/>
                <w:color w:val="auto"/>
              </w:rPr>
              <w:t>Mortgage loans held for investment, net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249,343,936</w:t>
            </w:r>
          </w:p>
        </w:tc>
        <w:tc>
          <w:tcPr>
            <w:tcW w:w="24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256,493,572</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256,493,572</w:t>
            </w: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Policy loans</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14,171,589</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14,171,589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14,171,589</w:t>
            </w:r>
          </w:p>
        </w:tc>
      </w:tr>
      <w:tr>
        <w:trPr>
          <w:trHeight w:val="171"/>
        </w:trPr>
        <w:tc>
          <w:tcPr>
            <w:tcW w:w="2500" w:type="dxa"/>
            <w:vAlign w:val="bottom"/>
          </w:tcPr>
          <w:p>
            <w:pPr>
              <w:spacing w:after="0"/>
              <w:rPr>
                <w:sz w:val="20"/>
                <w:szCs w:val="20"/>
                <w:color w:val="auto"/>
              </w:rPr>
            </w:pPr>
            <w:r>
              <w:rPr>
                <w:rFonts w:ascii="Arial" w:cs="Arial" w:eastAsia="Arial" w:hAnsi="Arial"/>
                <w:sz w:val="14"/>
                <w:szCs w:val="14"/>
                <w:color w:val="auto"/>
              </w:rPr>
              <w:t>Insurance assignments, net (1)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51,585,656</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51,585,656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51,585,656</w:t>
            </w: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Restricted assets (2)</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3,317,877</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3,317,877</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3,317,877</w:t>
            </w:r>
          </w:p>
        </w:tc>
      </w:tr>
      <w:tr>
        <w:trPr>
          <w:trHeight w:val="140"/>
        </w:trPr>
        <w:tc>
          <w:tcPr>
            <w:tcW w:w="2500" w:type="dxa"/>
            <w:vAlign w:val="bottom"/>
          </w:tcPr>
          <w:p>
            <w:pPr>
              <w:spacing w:after="0" w:line="140" w:lineRule="exact"/>
              <w:rPr>
                <w:sz w:val="20"/>
                <w:szCs w:val="20"/>
                <w:color w:val="auto"/>
              </w:rPr>
            </w:pPr>
            <w:r>
              <w:rPr>
                <w:rFonts w:ascii="Arial" w:cs="Arial" w:eastAsia="Arial" w:hAnsi="Arial"/>
                <w:sz w:val="14"/>
                <w:szCs w:val="14"/>
                <w:color w:val="auto"/>
                <w:w w:val="94"/>
              </w:rPr>
              <w:t>Cemetery perpetual care trust investments</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7"/>
        </w:trPr>
        <w:tc>
          <w:tcPr>
            <w:tcW w:w="2500" w:type="dxa"/>
            <w:vAlign w:val="bottom"/>
          </w:tcPr>
          <w:p>
            <w:pPr>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1,468,600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1,468,600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1,468,600</w:t>
            </w: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rights, net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35,210,516</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38,702,358</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38,702,358</w:t>
            </w:r>
          </w:p>
        </w:tc>
      </w:tr>
      <w:tr>
        <w:trPr>
          <w:trHeight w:val="171"/>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4"/>
                <w:szCs w:val="14"/>
                <w:color w:val="auto"/>
              </w:rPr>
              <w:t>Bank and other loans payable</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$(297,824,368)</w:t>
            </w:r>
          </w:p>
        </w:tc>
        <w:tc>
          <w:tcPr>
            <w:tcW w:w="24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89"/>
              </w:rPr>
              <w:t>(297,824,368)</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89"/>
              </w:rPr>
              <w:t>(297,824,368)</w:t>
            </w: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Policyholder account balances (3)</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(44,026,809)</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(42,220,725)</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(42,220,725)</w:t>
            </w:r>
          </w:p>
        </w:tc>
      </w:tr>
      <w:tr>
        <w:trPr>
          <w:trHeight w:val="179"/>
        </w:trPr>
        <w:tc>
          <w:tcPr>
            <w:tcW w:w="2500" w:type="dxa"/>
            <w:vAlign w:val="bottom"/>
          </w:tcPr>
          <w:p>
            <w:pPr>
              <w:spacing w:after="0"/>
              <w:rPr>
                <w:sz w:val="20"/>
                <w:szCs w:val="20"/>
                <w:color w:val="auto"/>
              </w:rPr>
            </w:pPr>
            <w:r>
              <w:rPr>
                <w:rFonts w:ascii="Arial" w:cs="Arial" w:eastAsia="Arial" w:hAnsi="Arial"/>
                <w:sz w:val="14"/>
                <w:szCs w:val="14"/>
                <w:color w:val="auto"/>
              </w:rPr>
              <w:t>Future policy benefits - annuities (3)</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89"/>
              </w:rPr>
              <w:t>(106,522,113)</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(112,354,186)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(112,354,186)</w:t>
            </w:r>
          </w:p>
        </w:tc>
      </w:tr>
    </w:tbl>
    <w:p>
      <w:pPr>
        <w:spacing w:after="0" w:line="141" w:lineRule="exact"/>
        <w:rPr>
          <w:sz w:val="20"/>
          <w:szCs w:val="20"/>
          <w:color w:val="auto"/>
        </w:rPr>
      </w:pPr>
    </w:p>
    <w:p>
      <w:pPr>
        <w:ind w:left="325" w:hanging="325"/>
        <w:spacing w:after="0"/>
        <w:tabs>
          <w:tab w:leader="none" w:pos="325"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Included in other investments and policy loans on the consolidated balance sheets</w:t>
      </w:r>
    </w:p>
    <w:p>
      <w:pPr>
        <w:ind w:left="325" w:hanging="325"/>
        <w:spacing w:after="0" w:line="216" w:lineRule="auto"/>
        <w:tabs>
          <w:tab w:leader="none" w:pos="325" w:val="left"/>
        </w:tabs>
        <w:numPr>
          <w:ilvl w:val="0"/>
          <w:numId w:val="87"/>
        </w:numPr>
        <w:rPr>
          <w:rFonts w:ascii="Arial" w:cs="Arial" w:eastAsia="Arial" w:hAnsi="Arial"/>
          <w:sz w:val="14"/>
          <w:szCs w:val="14"/>
          <w:color w:val="auto"/>
        </w:rPr>
      </w:pPr>
      <w:r>
        <w:rPr>
          <w:rFonts w:ascii="Arial" w:cs="Arial" w:eastAsia="Arial" w:hAnsi="Arial"/>
          <w:sz w:val="14"/>
          <w:szCs w:val="14"/>
          <w:color w:val="auto"/>
        </w:rPr>
        <w:t>Mortgage loans held for investment</w:t>
      </w:r>
    </w:p>
    <w:p>
      <w:pPr>
        <w:ind w:left="325" w:hanging="325"/>
        <w:spacing w:after="0"/>
        <w:tabs>
          <w:tab w:leader="none" w:pos="325"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Included in future policy benefits and unpaid claims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95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196"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7" w:name="page98"/>
    <w:bookmarkEnd w:id="9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carrying values and estimated fair values for such financial instruments, and their corresponding placement in the fair value hierarchy, are summarized as follows as of December 31, 2019:</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4"/>
                <w:szCs w:val="14"/>
                <w:color w:val="auto"/>
              </w:rPr>
              <w:t>Total Estimated</w:t>
            </w:r>
          </w:p>
        </w:tc>
      </w:tr>
      <w:tr>
        <w:trPr>
          <w:trHeight w:val="177"/>
        </w:trPr>
        <w:tc>
          <w:tcPr>
            <w:tcW w:w="24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Carrying Value</w:t>
            </w: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Level 1</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Level 2</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Level 3</w:t>
            </w:r>
          </w:p>
        </w:tc>
        <w:tc>
          <w:tcPr>
            <w:tcW w:w="1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Fair Value</w:t>
            </w:r>
          </w:p>
        </w:tc>
      </w:tr>
      <w:tr>
        <w:trPr>
          <w:trHeight w:val="165"/>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4"/>
                <w:szCs w:val="14"/>
                <w:color w:val="auto"/>
              </w:rPr>
              <w:t>Mortgage loans held for investment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110,253,678</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115,320,638</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115,320,638</w:t>
            </w:r>
          </w:p>
        </w:tc>
      </w:tr>
      <w:tr>
        <w:trPr>
          <w:trHeight w:val="171"/>
        </w:trPr>
        <w:tc>
          <w:tcPr>
            <w:tcW w:w="248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88,651,967</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88,651,967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88,651,967</w:t>
            </w:r>
          </w:p>
        </w:tc>
      </w:tr>
      <w:tr>
        <w:trPr>
          <w:trHeight w:val="171"/>
        </w:trPr>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37,788,901</w:t>
            </w:r>
          </w:p>
        </w:tc>
        <w:tc>
          <w:tcPr>
            <w:tcW w:w="2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39,289,462</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39,289,462</w:t>
            </w:r>
          </w:p>
        </w:tc>
      </w:tr>
      <w:tr>
        <w:trPr>
          <w:trHeight w:val="165"/>
        </w:trPr>
        <w:tc>
          <w:tcPr>
            <w:tcW w:w="2480" w:type="dxa"/>
            <w:vAlign w:val="bottom"/>
          </w:tcPr>
          <w:p>
            <w:pPr>
              <w:spacing w:after="0"/>
              <w:rPr>
                <w:sz w:val="20"/>
                <w:szCs w:val="20"/>
                <w:color w:val="auto"/>
              </w:rPr>
            </w:pPr>
            <w:r>
              <w:rPr>
                <w:rFonts w:ascii="Arial" w:cs="Arial" w:eastAsia="Arial" w:hAnsi="Arial"/>
                <w:sz w:val="14"/>
                <w:szCs w:val="14"/>
                <w:color w:val="auto"/>
              </w:rPr>
              <w:t>Mortgage loans held for investment, net</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236,694,546</w:t>
            </w:r>
          </w:p>
        </w:tc>
        <w:tc>
          <w:tcPr>
            <w:tcW w:w="24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243,262,067</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243,262,067</w:t>
            </w: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Policy loans</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14,762,805</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14,762,805</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14,762,805</w:t>
            </w:r>
          </w:p>
        </w:tc>
      </w:tr>
      <w:tr>
        <w:trPr>
          <w:trHeight w:val="171"/>
        </w:trPr>
        <w:tc>
          <w:tcPr>
            <w:tcW w:w="2480" w:type="dxa"/>
            <w:vAlign w:val="bottom"/>
          </w:tcPr>
          <w:p>
            <w:pPr>
              <w:spacing w:after="0"/>
              <w:rPr>
                <w:sz w:val="20"/>
                <w:szCs w:val="20"/>
                <w:color w:val="auto"/>
              </w:rPr>
            </w:pPr>
            <w:r>
              <w:rPr>
                <w:rFonts w:ascii="Arial" w:cs="Arial" w:eastAsia="Arial" w:hAnsi="Arial"/>
                <w:sz w:val="14"/>
                <w:szCs w:val="14"/>
                <w:color w:val="auto"/>
              </w:rPr>
              <w:t>Insurance assignments, net (1)</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39,614,939</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39,614,939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39,614,939</w:t>
            </w: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Restricted assets (2)</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2,275,756</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2,289,679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2,289,679</w:t>
            </w:r>
          </w:p>
        </w:tc>
      </w:tr>
      <w:tr>
        <w:trPr>
          <w:trHeight w:val="140"/>
        </w:trPr>
        <w:tc>
          <w:tcPr>
            <w:tcW w:w="2480" w:type="dxa"/>
            <w:vAlign w:val="bottom"/>
          </w:tcPr>
          <w:p>
            <w:pPr>
              <w:spacing w:after="0" w:line="140" w:lineRule="exact"/>
              <w:rPr>
                <w:sz w:val="20"/>
                <w:szCs w:val="20"/>
                <w:color w:val="auto"/>
              </w:rPr>
            </w:pPr>
            <w:r>
              <w:rPr>
                <w:rFonts w:ascii="Arial" w:cs="Arial" w:eastAsia="Arial" w:hAnsi="Arial"/>
                <w:sz w:val="14"/>
                <w:szCs w:val="14"/>
                <w:color w:val="auto"/>
                <w:w w:val="93"/>
              </w:rPr>
              <w:t>Cemetery perpetual care trust investments</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7"/>
        </w:trPr>
        <w:tc>
          <w:tcPr>
            <w:tcW w:w="2480" w:type="dxa"/>
            <w:vAlign w:val="bottom"/>
          </w:tcPr>
          <w:p>
            <w:pPr>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524,000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536,553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536,553</w:t>
            </w: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rights, net</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17,155,529</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22,784,571</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22,784,571</w:t>
            </w:r>
          </w:p>
        </w:tc>
      </w:tr>
      <w:tr>
        <w:trPr>
          <w:trHeight w:val="171"/>
        </w:trPr>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4"/>
                <w:szCs w:val="14"/>
                <w:color w:val="auto"/>
              </w:rPr>
              <w:t>Bank and other loans payable</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89"/>
              </w:rPr>
              <w:t>(217,572,612)</w:t>
            </w:r>
          </w:p>
        </w:tc>
        <w:tc>
          <w:tcPr>
            <w:tcW w:w="240" w:type="dxa"/>
            <w:vAlign w:val="bottom"/>
          </w:tcPr>
          <w:p>
            <w:pPr>
              <w:spacing w:after="0"/>
              <w:rPr>
                <w:sz w:val="14"/>
                <w:szCs w:val="14"/>
                <w:color w:val="auto"/>
              </w:rPr>
            </w:pPr>
          </w:p>
        </w:tc>
        <w:tc>
          <w:tcPr>
            <w:tcW w:w="780" w:type="dxa"/>
            <w:vAlign w:val="bottom"/>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 (217,572,612)</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89"/>
              </w:rPr>
              <w:t>(217,572,612)</w:t>
            </w: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Policyholder account balances (3)</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(45,154,180)</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(41,828,469)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(41,828,469)</w:t>
            </w:r>
          </w:p>
        </w:tc>
      </w:tr>
      <w:tr>
        <w:trPr>
          <w:trHeight w:val="179"/>
        </w:trPr>
        <w:tc>
          <w:tcPr>
            <w:tcW w:w="2480" w:type="dxa"/>
            <w:vAlign w:val="bottom"/>
          </w:tcPr>
          <w:p>
            <w:pPr>
              <w:spacing w:after="0"/>
              <w:rPr>
                <w:sz w:val="20"/>
                <w:szCs w:val="20"/>
                <w:color w:val="auto"/>
              </w:rPr>
            </w:pPr>
            <w:r>
              <w:rPr>
                <w:rFonts w:ascii="Arial" w:cs="Arial" w:eastAsia="Arial" w:hAnsi="Arial"/>
                <w:sz w:val="14"/>
                <w:szCs w:val="14"/>
                <w:color w:val="auto"/>
              </w:rPr>
              <w:t>Future policy benefits - annuities (3)</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(113,579,830)</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(117,304,614)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(117,304,614)</w:t>
            </w:r>
          </w:p>
        </w:tc>
      </w:tr>
    </w:tbl>
    <w:p>
      <w:pPr>
        <w:spacing w:after="0" w:line="141" w:lineRule="exact"/>
        <w:rPr>
          <w:sz w:val="20"/>
          <w:szCs w:val="20"/>
          <w:color w:val="auto"/>
        </w:rPr>
      </w:pPr>
    </w:p>
    <w:p>
      <w:pPr>
        <w:ind w:left="325" w:hanging="325"/>
        <w:spacing w:after="0"/>
        <w:tabs>
          <w:tab w:leader="none" w:pos="325"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Included in other investments and policy loans on the consolidated balance sheets</w:t>
      </w:r>
    </w:p>
    <w:p>
      <w:pPr>
        <w:ind w:left="325" w:hanging="325"/>
        <w:spacing w:after="0" w:line="216" w:lineRule="auto"/>
        <w:tabs>
          <w:tab w:leader="none" w:pos="325" w:val="left"/>
        </w:tabs>
        <w:numPr>
          <w:ilvl w:val="0"/>
          <w:numId w:val="89"/>
        </w:numPr>
        <w:rPr>
          <w:rFonts w:ascii="Arial" w:cs="Arial" w:eastAsia="Arial" w:hAnsi="Arial"/>
          <w:sz w:val="14"/>
          <w:szCs w:val="14"/>
          <w:color w:val="auto"/>
        </w:rPr>
      </w:pPr>
      <w:r>
        <w:rPr>
          <w:rFonts w:ascii="Arial" w:cs="Arial" w:eastAsia="Arial" w:hAnsi="Arial"/>
          <w:sz w:val="14"/>
          <w:szCs w:val="14"/>
          <w:color w:val="auto"/>
        </w:rPr>
        <w:t>Mortgage loans held for investment</w:t>
      </w:r>
    </w:p>
    <w:p>
      <w:pPr>
        <w:ind w:left="325" w:hanging="325"/>
        <w:spacing w:after="0"/>
        <w:tabs>
          <w:tab w:leader="none" w:pos="325"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Included in future policy benefits and unpaid claims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95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178"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methods, assumptions and significant valuation techniques and inputs used to estimate the fair value of financial instruments are summarized as follows:</w:t>
      </w:r>
    </w:p>
    <w:p>
      <w:pPr>
        <w:spacing w:after="0" w:line="17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i w:val="1"/>
          <w:iCs w:val="1"/>
          <w:u w:val="single" w:color="auto"/>
          <w:color w:val="auto"/>
        </w:rPr>
        <w:t>Mortgage Loans Held for Investment</w:t>
      </w:r>
      <w:r>
        <w:rPr>
          <w:rFonts w:ascii="Arial" w:cs="Arial" w:eastAsia="Arial" w:hAnsi="Arial"/>
          <w:sz w:val="19"/>
          <w:szCs w:val="19"/>
          <w:color w:val="auto"/>
        </w:rPr>
        <w:t>: The estimated fair value of the Company’s mortgage loans held for</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is determined 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94" w:lineRule="exact"/>
        <w:rPr>
          <w:sz w:val="20"/>
          <w:szCs w:val="20"/>
          <w:color w:val="auto"/>
        </w:rPr>
      </w:pPr>
    </w:p>
    <w:p>
      <w:pPr>
        <w:jc w:val="both"/>
        <w:ind w:left="625" w:right="319"/>
        <w:spacing w:after="0" w:line="256" w:lineRule="auto"/>
        <w:rPr>
          <w:sz w:val="20"/>
          <w:szCs w:val="20"/>
          <w:color w:val="auto"/>
        </w:rPr>
      </w:pPr>
      <w:r>
        <w:rPr>
          <w:rFonts w:ascii="Arial" w:cs="Arial" w:eastAsia="Arial" w:hAnsi="Arial"/>
          <w:sz w:val="19"/>
          <w:szCs w:val="19"/>
          <w:color w:val="auto"/>
        </w:rPr>
        <w:t>Residential – The estimated fair value of mortgage loans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89" w:lineRule="exact"/>
        <w:rPr>
          <w:sz w:val="20"/>
          <w:szCs w:val="20"/>
          <w:color w:val="auto"/>
        </w:rPr>
      </w:pPr>
    </w:p>
    <w:p>
      <w:pPr>
        <w:jc w:val="both"/>
        <w:ind w:left="625" w:right="339"/>
        <w:spacing w:after="0" w:line="276" w:lineRule="auto"/>
        <w:rPr>
          <w:sz w:val="20"/>
          <w:szCs w:val="20"/>
          <w:color w:val="auto"/>
        </w:rPr>
      </w:pPr>
      <w:r>
        <w:rPr>
          <w:rFonts w:ascii="Arial" w:cs="Arial" w:eastAsia="Arial" w:hAnsi="Arial"/>
          <w:sz w:val="19"/>
          <w:szCs w:val="19"/>
          <w:color w:val="auto"/>
        </w:rPr>
        <w:t>Residential Construction – These loans are primarily short in maturity. Accordingly, the estimated fair value is determined to be the carrying value.</w:t>
      </w:r>
    </w:p>
    <w:p>
      <w:pPr>
        <w:spacing w:after="0" w:line="170" w:lineRule="exact"/>
        <w:rPr>
          <w:sz w:val="20"/>
          <w:szCs w:val="20"/>
          <w:color w:val="auto"/>
        </w:rPr>
      </w:pPr>
    </w:p>
    <w:p>
      <w:pPr>
        <w:jc w:val="both"/>
        <w:ind w:left="625" w:right="319"/>
        <w:spacing w:after="0" w:line="276" w:lineRule="auto"/>
        <w:rPr>
          <w:sz w:val="20"/>
          <w:szCs w:val="20"/>
          <w:color w:val="auto"/>
        </w:rPr>
      </w:pPr>
      <w:r>
        <w:rPr>
          <w:rFonts w:ascii="Arial" w:cs="Arial" w:eastAsia="Arial" w:hAnsi="Arial"/>
          <w:sz w:val="19"/>
          <w:szCs w:val="19"/>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i w:val="1"/>
          <w:iCs w:val="1"/>
          <w:u w:val="single" w:color="auto"/>
          <w:color w:val="auto"/>
        </w:rPr>
        <w:t>Policy Loans</w:t>
      </w:r>
      <w:r>
        <w:rPr>
          <w:rFonts w:ascii="Arial" w:cs="Arial" w:eastAsia="Arial" w:hAnsi="Arial"/>
          <w:sz w:val="19"/>
          <w:szCs w:val="19"/>
          <w:color w:val="auto"/>
        </w:rPr>
        <w:t>: The carrying amounts reported in the accompanying consolidated balance sheet for these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instruments approximate their fair values because they are fully collateralized by the cash surrender value of the underlying insurance policies.</w:t>
      </w:r>
    </w:p>
    <w:p>
      <w:pPr>
        <w:spacing w:after="0" w:line="184" w:lineRule="exact"/>
        <w:rPr>
          <w:sz w:val="20"/>
          <w:szCs w:val="20"/>
          <w:color w:val="auto"/>
        </w:rPr>
      </w:pPr>
    </w:p>
    <w:p>
      <w:pPr>
        <w:jc w:val="both"/>
        <w:ind w:left="5" w:right="319"/>
        <w:spacing w:after="0" w:line="337" w:lineRule="auto"/>
        <w:rPr>
          <w:sz w:val="20"/>
          <w:szCs w:val="20"/>
          <w:color w:val="auto"/>
        </w:rPr>
      </w:pPr>
      <w:r>
        <w:rPr>
          <w:rFonts w:ascii="Arial" w:cs="Arial" w:eastAsia="Arial" w:hAnsi="Arial"/>
          <w:sz w:val="17"/>
          <w:szCs w:val="17"/>
          <w:i w:val="1"/>
          <w:iCs w:val="1"/>
          <w:u w:val="single" w:color="auto"/>
          <w:color w:val="auto"/>
        </w:rPr>
        <w:t>Insurance Assignments, Net</w:t>
      </w:r>
      <w:r>
        <w:rPr>
          <w:rFonts w:ascii="Arial" w:cs="Arial" w:eastAsia="Arial" w:hAnsi="Arial"/>
          <w:sz w:val="17"/>
          <w:szCs w:val="17"/>
          <w:color w:val="auto"/>
        </w:rPr>
        <w:t>: These investments are short in maturity. Accordingly, the carrying amounts reported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accompanying consolidated balance sheet for these financial instruments approximate their fair values.</w:t>
      </w:r>
    </w:p>
    <w:p>
      <w:pPr>
        <w:spacing w:after="0" w:line="14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98" w:name="page99"/>
    <w:bookmarkEnd w:id="9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479"/>
        <w:spacing w:after="0" w:line="261" w:lineRule="auto"/>
        <w:rPr>
          <w:sz w:val="20"/>
          <w:szCs w:val="20"/>
          <w:color w:val="auto"/>
        </w:rPr>
      </w:pPr>
      <w:r>
        <w:rPr>
          <w:rFonts w:ascii="Arial" w:cs="Arial" w:eastAsia="Arial" w:hAnsi="Arial"/>
          <w:sz w:val="19"/>
          <w:szCs w:val="19"/>
          <w:i w:val="1"/>
          <w:iCs w:val="1"/>
          <w:u w:val="single" w:color="auto"/>
          <w:color w:val="auto"/>
        </w:rPr>
        <w:t>Bank and Other Loans Payable</w:t>
      </w:r>
      <w:r>
        <w:rPr>
          <w:rFonts w:ascii="Arial" w:cs="Arial" w:eastAsia="Arial" w:hAnsi="Arial"/>
          <w:sz w:val="19"/>
          <w:szCs w:val="19"/>
          <w:color w:val="auto"/>
        </w:rPr>
        <w:t>: The carrying amounts reported in the accompanying consolidated balance sheet</w:t>
      </w:r>
      <w:r>
        <w:rPr>
          <w:rFonts w:ascii="Arial" w:cs="Arial" w:eastAsia="Arial" w:hAnsi="Arial"/>
          <w:sz w:val="19"/>
          <w:szCs w:val="19"/>
          <w:i w:val="1"/>
          <w:iCs w:val="1"/>
          <w:color w:val="auto"/>
        </w:rPr>
        <w:t xml:space="preserve"> </w:t>
      </w:r>
      <w:r>
        <w:rPr>
          <w:rFonts w:ascii="Arial" w:cs="Arial" w:eastAsia="Arial" w:hAnsi="Arial"/>
          <w:sz w:val="19"/>
          <w:szCs w:val="19"/>
          <w:color w:val="auto"/>
        </w:rPr>
        <w:t>for these financial instruments approximate their fair values due to their relatively short-term maturities and variable interest rates.</w:t>
      </w:r>
    </w:p>
    <w:p>
      <w:pPr>
        <w:spacing w:after="0" w:line="184" w:lineRule="exact"/>
        <w:rPr>
          <w:sz w:val="20"/>
          <w:szCs w:val="20"/>
          <w:color w:val="auto"/>
        </w:rPr>
      </w:pPr>
    </w:p>
    <w:p>
      <w:pPr>
        <w:jc w:val="both"/>
        <w:ind w:left="5" w:right="319"/>
        <w:spacing w:after="0" w:line="265" w:lineRule="auto"/>
        <w:rPr>
          <w:sz w:val="20"/>
          <w:szCs w:val="20"/>
          <w:color w:val="auto"/>
        </w:rPr>
      </w:pPr>
      <w:r>
        <w:rPr>
          <w:rFonts w:ascii="Arial" w:cs="Arial" w:eastAsia="Arial" w:hAnsi="Arial"/>
          <w:sz w:val="18"/>
          <w:szCs w:val="18"/>
          <w:i w:val="1"/>
          <w:iCs w:val="1"/>
          <w:u w:val="single" w:color="auto"/>
          <w:color w:val="auto"/>
        </w:rPr>
        <w:t>Policyholder Account Balances and Future Policy Benefits-Annuities</w:t>
      </w:r>
      <w:r>
        <w:rPr>
          <w:rFonts w:ascii="Arial" w:cs="Arial" w:eastAsia="Arial" w:hAnsi="Arial"/>
          <w:sz w:val="18"/>
          <w:szCs w:val="18"/>
          <w:color w:val="auto"/>
        </w:rPr>
        <w:t>: 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60" w:lineRule="exact"/>
        <w:rPr>
          <w:sz w:val="20"/>
          <w:szCs w:val="20"/>
          <w:color w:val="auto"/>
        </w:rPr>
      </w:pPr>
    </w:p>
    <w:p>
      <w:pPr>
        <w:ind w:left="625" w:hanging="625"/>
        <w:spacing w:after="0"/>
        <w:tabs>
          <w:tab w:leader="none" w:pos="625"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Accumulated Other Comprehensive Income</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summarizes the changes in accumulated other comprehensive income:</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5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7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2020</w:t>
            </w:r>
          </w:p>
        </w:tc>
        <w:tc>
          <w:tcPr>
            <w:tcW w:w="2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fixed maturity securities available for sale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12,016,464</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17,315,770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reclassified into net earnings</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before taxes</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12,013,692</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17,315,770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expense</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(2,522,876)</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(3,636,311)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9,490,816</w:t>
            </w:r>
          </w:p>
        </w:tc>
        <w:tc>
          <w:tcPr>
            <w:tcW w:w="2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13,679,459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Unrealized gains on restricted assets (1)</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41,225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30,956</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cemetery perpetual care trust investments (1)</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expense</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2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Unrealized gains for foreign currency translations adjustments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changes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9,516,619</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13,729,337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(1)  Fixed maturity securities available for sale</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760" w:type="dxa"/>
            <w:vAlign w:val="bottom"/>
          </w:tcPr>
          <w:p>
            <w:pPr>
              <w:ind w:left="4340"/>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760" w:type="dxa"/>
            <w:vAlign w:val="bottom"/>
            <w:tcBorders>
              <w:bottom w:val="single" w:sz="8" w:color="909090"/>
            </w:tcBorders>
          </w:tcPr>
          <w:p>
            <w:pPr>
              <w:spacing w:after="0"/>
              <w:rPr>
                <w:sz w:val="15"/>
                <w:szCs w:val="15"/>
                <w:color w:val="auto"/>
              </w:rPr>
            </w:pPr>
          </w:p>
        </w:tc>
        <w:tc>
          <w:tcPr>
            <w:tcW w:w="440" w:type="dxa"/>
            <w:vAlign w:val="bottom"/>
            <w:tcBorders>
              <w:bottom w:val="single" w:sz="8" w:color="909090"/>
            </w:tcBorders>
          </w:tcPr>
          <w:p>
            <w:pPr>
              <w:spacing w:after="0"/>
              <w:rPr>
                <w:sz w:val="15"/>
                <w:szCs w:val="15"/>
                <w:color w:val="auto"/>
              </w:rPr>
            </w:pPr>
          </w:p>
        </w:tc>
        <w:tc>
          <w:tcPr>
            <w:tcW w:w="920" w:type="dxa"/>
            <w:vAlign w:val="bottom"/>
            <w:tcBorders>
              <w:bottom w:val="single" w:sz="8" w:color="909090"/>
            </w:tcBorders>
          </w:tcPr>
          <w:p>
            <w:pPr>
              <w:spacing w:after="0"/>
              <w:rPr>
                <w:sz w:val="15"/>
                <w:szCs w:val="15"/>
                <w:color w:val="auto"/>
              </w:rPr>
            </w:pPr>
          </w:p>
        </w:tc>
        <w:tc>
          <w:tcPr>
            <w:tcW w:w="240" w:type="dxa"/>
            <w:vAlign w:val="bottom"/>
            <w:tcBorders>
              <w:bottom w:val="single" w:sz="8" w:color="909090"/>
            </w:tcBorders>
          </w:tcPr>
          <w:p>
            <w:pPr>
              <w:spacing w:after="0"/>
              <w:rPr>
                <w:sz w:val="15"/>
                <w:szCs w:val="15"/>
                <w:color w:val="auto"/>
              </w:rPr>
            </w:pPr>
          </w:p>
        </w:tc>
        <w:tc>
          <w:tcPr>
            <w:tcW w:w="440" w:type="dxa"/>
            <w:vAlign w:val="bottom"/>
            <w:tcBorders>
              <w:bottom w:val="single" w:sz="8" w:color="909090"/>
            </w:tcBorders>
          </w:tcPr>
          <w:p>
            <w:pPr>
              <w:spacing w:after="0"/>
              <w:rPr>
                <w:sz w:val="15"/>
                <w:szCs w:val="15"/>
                <w:color w:val="auto"/>
              </w:rPr>
            </w:pPr>
          </w:p>
        </w:tc>
        <w:tc>
          <w:tcPr>
            <w:tcW w:w="920" w:type="dxa"/>
            <w:vAlign w:val="bottom"/>
            <w:tcBorders>
              <w:bottom w:val="single" w:sz="8" w:color="909090"/>
            </w:tcBorders>
          </w:tcPr>
          <w:p>
            <w:pPr>
              <w:spacing w:after="0"/>
              <w:rPr>
                <w:sz w:val="15"/>
                <w:szCs w:val="15"/>
                <w:color w:val="auto"/>
              </w:rPr>
            </w:pPr>
          </w:p>
        </w:tc>
        <w:tc>
          <w:tcPr>
            <w:tcW w:w="140" w:type="dxa"/>
            <w:vAlign w:val="bottom"/>
            <w:tcBorders>
              <w:bottom w:val="single" w:sz="8" w:color="90909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184"/>
          </w:cols>
          <w:pgMar w:left="1275" w:top="122" w:right="1440" w:bottom="1440" w:gutter="0" w:footer="0" w:header="0"/>
        </w:sectPr>
      </w:pPr>
    </w:p>
    <w:bookmarkStart w:id="99" w:name="page100"/>
    <w:bookmarkEnd w:id="9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69" w:lineRule="exact"/>
        <w:rPr>
          <w:sz w:val="20"/>
          <w:szCs w:val="20"/>
          <w:color w:val="auto"/>
        </w:rPr>
      </w:pPr>
    </w:p>
    <w:p>
      <w:pPr>
        <w:ind w:left="625" w:hanging="625"/>
        <w:spacing w:after="0"/>
        <w:tabs>
          <w:tab w:leader="none" w:pos="62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Accumulated Other Comprehensive Income</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is the accumulated balances of other comprehensive income as of December 31, 2020:</w:t>
      </w: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198"/>
        </w:trPr>
        <w:tc>
          <w:tcPr>
            <w:tcW w:w="500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Beginning</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6"/>
                <w:szCs w:val="16"/>
                <w:color w:val="auto"/>
                <w:w w:val="86"/>
              </w:rPr>
              <w:t>Balance</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Ending Balance</w:t>
            </w:r>
          </w:p>
        </w:tc>
      </w:tr>
      <w:tr>
        <w:trPr>
          <w:trHeight w:val="198"/>
        </w:trPr>
        <w:tc>
          <w:tcPr>
            <w:tcW w:w="50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color w:val="auto"/>
                <w:w w:val="87"/>
              </w:rPr>
              <w:t>December 31,</w:t>
            </w: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Change for the</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7"/>
              </w:rPr>
              <w:t>December 31,</w:t>
            </w:r>
          </w:p>
        </w:tc>
      </w:tr>
      <w:tr>
        <w:trPr>
          <w:trHeight w:val="214"/>
        </w:trPr>
        <w:tc>
          <w:tcPr>
            <w:tcW w:w="5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center"/>
              <w:ind w:right="241"/>
              <w:spacing w:after="0"/>
              <w:rPr>
                <w:sz w:val="20"/>
                <w:szCs w:val="20"/>
                <w:color w:val="auto"/>
              </w:rPr>
            </w:pPr>
            <w:r>
              <w:rPr>
                <w:rFonts w:ascii="Arial" w:cs="Arial" w:eastAsia="Arial" w:hAnsi="Arial"/>
                <w:sz w:val="16"/>
                <w:szCs w:val="16"/>
                <w:color w:val="auto"/>
                <w:w w:val="89"/>
              </w:rPr>
              <w:t>2019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6"/>
                <w:szCs w:val="16"/>
                <w:color w:val="auto"/>
                <w:w w:val="89"/>
              </w:rPr>
              <w:t>period</w:t>
            </w:r>
          </w:p>
        </w:tc>
        <w:tc>
          <w:tcPr>
            <w:tcW w:w="360" w:type="dxa"/>
            <w:vAlign w:val="bottom"/>
          </w:tcPr>
          <w:p>
            <w:pPr>
              <w:spacing w:after="0"/>
              <w:rPr>
                <w:sz w:val="18"/>
                <w:szCs w:val="18"/>
                <w:color w:val="auto"/>
              </w:rPr>
            </w:pPr>
          </w:p>
        </w:tc>
        <w:tc>
          <w:tcPr>
            <w:tcW w:w="780" w:type="dxa"/>
            <w:vAlign w:val="bottom"/>
          </w:tcPr>
          <w:p>
            <w:pPr>
              <w:jc w:val="center"/>
              <w:ind w:right="301"/>
              <w:spacing w:after="0"/>
              <w:rPr>
                <w:sz w:val="20"/>
                <w:szCs w:val="20"/>
                <w:color w:val="auto"/>
              </w:rPr>
            </w:pPr>
            <w:r>
              <w:rPr>
                <w:rFonts w:ascii="Arial" w:cs="Arial" w:eastAsia="Arial" w:hAnsi="Arial"/>
                <w:sz w:val="16"/>
                <w:szCs w:val="16"/>
                <w:color w:val="auto"/>
                <w:w w:val="89"/>
              </w:rPr>
              <w:t>2020</w:t>
            </w:r>
          </w:p>
        </w:tc>
      </w:tr>
      <w:tr>
        <w:trPr>
          <w:trHeight w:val="224"/>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Unrealized gains on fixed maturity securities available for sale</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13,679,459</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9,490,816</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23,170,275</w:t>
            </w:r>
          </w:p>
        </w:tc>
      </w:tr>
      <w:tr>
        <w:trPr>
          <w:trHeight w:val="214"/>
        </w:trPr>
        <w:tc>
          <w:tcPr>
            <w:tcW w:w="5000" w:type="dxa"/>
            <w:vAlign w:val="bottom"/>
          </w:tcPr>
          <w:p>
            <w:pPr>
              <w:spacing w:after="0"/>
              <w:rPr>
                <w:sz w:val="20"/>
                <w:szCs w:val="20"/>
                <w:color w:val="auto"/>
              </w:rPr>
            </w:pPr>
            <w:r>
              <w:rPr>
                <w:rFonts w:ascii="Arial" w:cs="Arial" w:eastAsia="Arial" w:hAnsi="Arial"/>
                <w:sz w:val="16"/>
                <w:szCs w:val="16"/>
                <w:color w:val="auto"/>
              </w:rPr>
              <w:t>Unrealized gains on restricted assets (1)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26,694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30,956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57,650</w:t>
            </w:r>
          </w:p>
        </w:tc>
      </w:tr>
      <w:tr>
        <w:trPr>
          <w:trHeight w:val="211"/>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(losses) on cemetery perpetual</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1"/>
        </w:trPr>
        <w:tc>
          <w:tcPr>
            <w:tcW w:w="5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care trust investments (1)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17,336</w:t>
            </w:r>
          </w:p>
        </w:tc>
      </w:tr>
      <w:tr>
        <w:trPr>
          <w:trHeight w:val="217"/>
        </w:trPr>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r>
      <w:tr>
        <w:trPr>
          <w:trHeight w:val="217"/>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13,726,514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9,516,619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23,243,133</w:t>
            </w: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7791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194" w:lineRule="exact"/>
        <w:rPr>
          <w:sz w:val="20"/>
          <w:szCs w:val="20"/>
          <w:color w:val="auto"/>
        </w:rPr>
      </w:pPr>
    </w:p>
    <w:p>
      <w:pPr>
        <w:ind w:left="5"/>
        <w:spacing w:after="0"/>
        <w:tabs>
          <w:tab w:leader="none" w:pos="304"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Fixed maturity securities available for sale</w:t>
      </w:r>
    </w:p>
    <w:p>
      <w:pPr>
        <w:spacing w:after="0" w:line="231"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is the accumulated balances of other comprehensive income as of December 31, 2019:</w:t>
      </w:r>
    </w:p>
    <w:p>
      <w:pPr>
        <w:spacing w:after="0" w:line="120"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Beginning Balance</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9"/>
              </w:rPr>
              <w:t>Ending Balance</w:t>
            </w:r>
          </w:p>
        </w:tc>
      </w:tr>
      <w:tr>
        <w:trPr>
          <w:trHeight w:val="145"/>
        </w:trPr>
        <w:tc>
          <w:tcPr>
            <w:tcW w:w="4960" w:type="dxa"/>
            <w:vAlign w:val="bottom"/>
          </w:tcPr>
          <w:p>
            <w:pPr>
              <w:spacing w:after="0"/>
              <w:rPr>
                <w:sz w:val="12"/>
                <w:szCs w:val="12"/>
                <w:color w:val="auto"/>
              </w:rPr>
            </w:pPr>
          </w:p>
        </w:tc>
        <w:tc>
          <w:tcPr>
            <w:tcW w:w="1320" w:type="dxa"/>
            <w:vAlign w:val="bottom"/>
            <w:gridSpan w:val="3"/>
          </w:tcPr>
          <w:p>
            <w:pPr>
              <w:jc w:val="center"/>
              <w:ind w:right="200"/>
              <w:spacing w:after="0" w:line="145" w:lineRule="exact"/>
              <w:rPr>
                <w:sz w:val="20"/>
                <w:szCs w:val="20"/>
                <w:color w:val="auto"/>
              </w:rPr>
            </w:pPr>
            <w:r>
              <w:rPr>
                <w:rFonts w:ascii="Arial" w:cs="Arial" w:eastAsia="Arial" w:hAnsi="Arial"/>
                <w:sz w:val="14"/>
                <w:szCs w:val="14"/>
                <w:color w:val="auto"/>
                <w:w w:val="90"/>
              </w:rPr>
              <w:t>December 31,</w:t>
            </w:r>
          </w:p>
        </w:tc>
        <w:tc>
          <w:tcPr>
            <w:tcW w:w="1320" w:type="dxa"/>
            <w:vAlign w:val="bottom"/>
            <w:gridSpan w:val="3"/>
          </w:tcPr>
          <w:p>
            <w:pPr>
              <w:jc w:val="center"/>
              <w:ind w:right="200"/>
              <w:spacing w:after="0" w:line="145" w:lineRule="exact"/>
              <w:rPr>
                <w:sz w:val="20"/>
                <w:szCs w:val="20"/>
                <w:color w:val="auto"/>
              </w:rPr>
            </w:pPr>
            <w:r>
              <w:rPr>
                <w:rFonts w:ascii="Arial" w:cs="Arial" w:eastAsia="Arial" w:hAnsi="Arial"/>
                <w:sz w:val="14"/>
                <w:szCs w:val="14"/>
                <w:color w:val="auto"/>
                <w:w w:val="90"/>
              </w:rPr>
              <w:t>Change for the</w:t>
            </w:r>
          </w:p>
        </w:tc>
        <w:tc>
          <w:tcPr>
            <w:tcW w:w="11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December 31,</w:t>
            </w:r>
          </w:p>
        </w:tc>
      </w:tr>
      <w:tr>
        <w:trPr>
          <w:trHeight w:val="177"/>
        </w:trPr>
        <w:tc>
          <w:tcPr>
            <w:tcW w:w="4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center"/>
              <w:ind w:right="330"/>
              <w:spacing w:after="0"/>
              <w:rPr>
                <w:sz w:val="20"/>
                <w:szCs w:val="20"/>
                <w:color w:val="auto"/>
              </w:rPr>
            </w:pPr>
            <w:r>
              <w:rPr>
                <w:rFonts w:ascii="Arial" w:cs="Arial" w:eastAsia="Arial" w:hAnsi="Arial"/>
                <w:sz w:val="14"/>
                <w:szCs w:val="14"/>
                <w:color w:val="auto"/>
                <w:w w:val="89"/>
              </w:rPr>
              <w:t>2018</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period</w:t>
            </w:r>
          </w:p>
        </w:tc>
        <w:tc>
          <w:tcPr>
            <w:tcW w:w="400" w:type="dxa"/>
            <w:vAlign w:val="bottom"/>
          </w:tcPr>
          <w:p>
            <w:pPr>
              <w:spacing w:after="0"/>
              <w:rPr>
                <w:sz w:val="15"/>
                <w:szCs w:val="15"/>
                <w:color w:val="auto"/>
              </w:rPr>
            </w:pPr>
          </w:p>
        </w:tc>
        <w:tc>
          <w:tcPr>
            <w:tcW w:w="720" w:type="dxa"/>
            <w:vAlign w:val="bottom"/>
          </w:tcPr>
          <w:p>
            <w:pPr>
              <w:jc w:val="center"/>
              <w:ind w:right="330"/>
              <w:spacing w:after="0"/>
              <w:rPr>
                <w:sz w:val="20"/>
                <w:szCs w:val="20"/>
                <w:color w:val="auto"/>
              </w:rPr>
            </w:pPr>
            <w:r>
              <w:rPr>
                <w:rFonts w:ascii="Arial" w:cs="Arial" w:eastAsia="Arial" w:hAnsi="Arial"/>
                <w:sz w:val="14"/>
                <w:szCs w:val="14"/>
                <w:color w:val="auto"/>
                <w:w w:val="89"/>
              </w:rPr>
              <w:t>2019</w:t>
            </w:r>
          </w:p>
        </w:tc>
      </w:tr>
      <w:tr>
        <w:trPr>
          <w:trHeight w:val="165"/>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Unrealized gains on fixed maturity securities available for sale</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13,679,459</w:t>
            </w: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13,679,459</w:t>
            </w:r>
          </w:p>
        </w:tc>
      </w:tr>
      <w:tr>
        <w:trPr>
          <w:trHeight w:val="171"/>
        </w:trPr>
        <w:tc>
          <w:tcPr>
            <w:tcW w:w="4960" w:type="dxa"/>
            <w:vAlign w:val="bottom"/>
          </w:tcPr>
          <w:p>
            <w:pPr>
              <w:spacing w:after="0"/>
              <w:rPr>
                <w:sz w:val="20"/>
                <w:szCs w:val="20"/>
                <w:color w:val="auto"/>
              </w:rPr>
            </w:pPr>
            <w:r>
              <w:rPr>
                <w:rFonts w:ascii="Arial" w:cs="Arial" w:eastAsia="Arial" w:hAnsi="Arial"/>
                <w:sz w:val="14"/>
                <w:szCs w:val="14"/>
                <w:color w:val="auto"/>
              </w:rPr>
              <w:t>Unrealized gains on restricted assets (1)</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26,694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26,694</w:t>
            </w:r>
          </w:p>
        </w:tc>
      </w:tr>
      <w:tr>
        <w:trPr>
          <w:trHeight w:val="171"/>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gains on cemetery perpetual care trust investments (1)</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22,455</w:t>
            </w:r>
          </w:p>
        </w:tc>
      </w:tr>
      <w:tr>
        <w:trPr>
          <w:trHeight w:val="171"/>
        </w:trPr>
        <w:tc>
          <w:tcPr>
            <w:tcW w:w="4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Foreign currency translation adjustments</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(2,094)</w:t>
            </w:r>
          </w:p>
        </w:tc>
      </w:tr>
      <w:tr>
        <w:trPr>
          <w:trHeight w:val="165"/>
        </w:trPr>
        <w:tc>
          <w:tcPr>
            <w:tcW w:w="496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Other comprehensive income (loss)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13,729,337</w:t>
            </w:r>
          </w:p>
        </w:tc>
        <w:tc>
          <w:tcPr>
            <w:tcW w:w="2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13,726,514</w:t>
            </w:r>
          </w:p>
        </w:tc>
      </w:tr>
      <w:tr>
        <w:trPr>
          <w:trHeight w:val="20"/>
        </w:trPr>
        <w:tc>
          <w:tcPr>
            <w:tcW w:w="4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
        <w:spacing w:after="0"/>
        <w:tabs>
          <w:tab w:leader="none" w:pos="304" w:val="left"/>
        </w:tabs>
        <w:rPr>
          <w:sz w:val="20"/>
          <w:szCs w:val="20"/>
          <w:color w:val="auto"/>
        </w:rPr>
      </w:pPr>
      <w:r>
        <w:rPr>
          <w:rFonts w:ascii="Arial" w:cs="Arial" w:eastAsia="Arial" w:hAnsi="Arial"/>
          <w:sz w:val="14"/>
          <w:szCs w:val="14"/>
          <w:color w:val="auto"/>
        </w:rPr>
        <w:t>(1)</w:t>
        <w:tab/>
        <w:t>Fixed maturity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695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20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100" w:name="page101"/>
    <w:bookmarkEnd w:id="100"/>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p>
    <w:p>
      <w:pPr>
        <w:spacing w:after="0" w:line="12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following table shows the fair value and notional amounts of derivative instruments as of December 31, 2020 and 2019.</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1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20" w:type="dxa"/>
            <w:vAlign w:val="bottom"/>
            <w:gridSpan w:val="8"/>
          </w:tcPr>
          <w:p>
            <w:pPr>
              <w:ind w:left="840"/>
              <w:spacing w:after="0"/>
              <w:rPr>
                <w:sz w:val="20"/>
                <w:szCs w:val="20"/>
                <w:color w:val="auto"/>
              </w:rPr>
            </w:pPr>
            <w:r>
              <w:rPr>
                <w:rFonts w:ascii="Arial" w:cs="Arial" w:eastAsia="Arial" w:hAnsi="Arial"/>
                <w:sz w:val="12"/>
                <w:szCs w:val="12"/>
                <w:color w:val="auto"/>
              </w:rPr>
              <w:t>Fair Values and Notional Amounts of Derivative Instruments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2"/>
        </w:trPr>
        <w:tc>
          <w:tcPr>
            <w:tcW w:w="16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w w:val="92"/>
              </w:rPr>
              <w:t>December 31, 2020</w:t>
            </w: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Borders>
              <w:top w:val="single" w:sz="8" w:color="auto"/>
              <w:bottom w:val="single" w:sz="8" w:color="auto"/>
            </w:tcBorders>
            <w:gridSpan w:val="4"/>
          </w:tcPr>
          <w:p>
            <w:pPr>
              <w:ind w:left="960"/>
              <w:spacing w:after="0"/>
              <w:rPr>
                <w:sz w:val="20"/>
                <w:szCs w:val="20"/>
                <w:color w:val="auto"/>
              </w:rPr>
            </w:pPr>
            <w:r>
              <w:rPr>
                <w:rFonts w:ascii="Arial" w:cs="Arial" w:eastAsia="Arial" w:hAnsi="Arial"/>
                <w:sz w:val="12"/>
                <w:szCs w:val="12"/>
                <w:color w:val="auto"/>
              </w:rPr>
              <w:t>December 31, 2019</w:t>
            </w:r>
          </w:p>
        </w:tc>
        <w:tc>
          <w:tcPr>
            <w:tcW w:w="740" w:type="dxa"/>
            <w:vAlign w:val="bottom"/>
            <w:tcBorders>
              <w:top w:val="single" w:sz="8" w:color="auto"/>
              <w:bottom w:val="single" w:sz="8" w:color="auto"/>
            </w:tcBorders>
          </w:tcPr>
          <w:p>
            <w:pPr>
              <w:spacing w:after="0"/>
              <w:rPr>
                <w:sz w:val="13"/>
                <w:szCs w:val="13"/>
                <w:color w:val="auto"/>
              </w:rPr>
            </w:pPr>
          </w:p>
        </w:tc>
      </w:tr>
      <w:tr>
        <w:trPr>
          <w:trHeight w:val="125"/>
        </w:trPr>
        <w:tc>
          <w:tcPr>
            <w:tcW w:w="1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2"/>
                <w:szCs w:val="12"/>
                <w:color w:val="auto"/>
                <w:w w:val="99"/>
              </w:rPr>
              <w:t>Liability Fair</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color w:val="auto"/>
              </w:rPr>
              <w:t>Liability Fair</w:t>
            </w:r>
          </w:p>
        </w:tc>
      </w:tr>
      <w:tr>
        <w:trPr>
          <w:trHeight w:val="157"/>
        </w:trPr>
        <w:tc>
          <w:tcPr>
            <w:tcW w:w="160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Balance Sheet Location</w:t>
            </w:r>
          </w:p>
        </w:tc>
        <w:tc>
          <w:tcPr>
            <w:tcW w:w="1020" w:type="dxa"/>
            <w:vAlign w:val="bottom"/>
          </w:tcPr>
          <w:p>
            <w:pPr>
              <w:jc w:val="right"/>
              <w:ind w:right="18"/>
              <w:spacing w:after="0"/>
              <w:rPr>
                <w:sz w:val="20"/>
                <w:szCs w:val="20"/>
                <w:color w:val="auto"/>
              </w:rPr>
            </w:pPr>
            <w:r>
              <w:rPr>
                <w:rFonts w:ascii="Arial" w:cs="Arial" w:eastAsia="Arial" w:hAnsi="Arial"/>
                <w:sz w:val="12"/>
                <w:szCs w:val="12"/>
                <w:color w:val="auto"/>
              </w:rPr>
              <w:t>Notional Amount</w:t>
            </w:r>
          </w:p>
        </w:tc>
        <w:tc>
          <w:tcPr>
            <w:tcW w:w="12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w w:val="97"/>
              </w:rPr>
              <w:t>Asset Fair Value</w:t>
            </w:r>
          </w:p>
        </w:tc>
        <w:tc>
          <w:tcPr>
            <w:tcW w:w="9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Value</w:t>
            </w:r>
          </w:p>
        </w:tc>
        <w:tc>
          <w:tcPr>
            <w:tcW w:w="1140" w:type="dxa"/>
            <w:vAlign w:val="bottom"/>
            <w:gridSpan w:val="2"/>
          </w:tcPr>
          <w:p>
            <w:pPr>
              <w:ind w:left="80"/>
              <w:spacing w:after="0"/>
              <w:rPr>
                <w:sz w:val="20"/>
                <w:szCs w:val="20"/>
                <w:color w:val="auto"/>
              </w:rPr>
            </w:pPr>
            <w:r>
              <w:rPr>
                <w:rFonts w:ascii="Arial" w:cs="Arial" w:eastAsia="Arial" w:hAnsi="Arial"/>
                <w:sz w:val="12"/>
                <w:szCs w:val="12"/>
                <w:color w:val="auto"/>
              </w:rPr>
              <w:t>Notional Amount</w:t>
            </w:r>
          </w:p>
        </w:tc>
        <w:tc>
          <w:tcPr>
            <w:tcW w:w="1000" w:type="dxa"/>
            <w:vAlign w:val="bottom"/>
            <w:gridSpan w:val="2"/>
          </w:tcPr>
          <w:p>
            <w:pPr>
              <w:ind w:left="40"/>
              <w:spacing w:after="0"/>
              <w:rPr>
                <w:sz w:val="20"/>
                <w:szCs w:val="20"/>
                <w:color w:val="auto"/>
              </w:rPr>
            </w:pPr>
            <w:r>
              <w:rPr>
                <w:rFonts w:ascii="Arial" w:cs="Arial" w:eastAsia="Arial" w:hAnsi="Arial"/>
                <w:sz w:val="12"/>
                <w:szCs w:val="12"/>
                <w:color w:val="auto"/>
              </w:rPr>
              <w:t>Asset Fair Value</w:t>
            </w:r>
          </w:p>
        </w:tc>
        <w:tc>
          <w:tcPr>
            <w:tcW w:w="740" w:type="dxa"/>
            <w:vAlign w:val="bottom"/>
          </w:tcPr>
          <w:p>
            <w:pPr>
              <w:jc w:val="right"/>
              <w:ind w:right="178"/>
              <w:spacing w:after="0"/>
              <w:rPr>
                <w:sz w:val="20"/>
                <w:szCs w:val="20"/>
                <w:color w:val="auto"/>
              </w:rPr>
            </w:pPr>
            <w:r>
              <w:rPr>
                <w:rFonts w:ascii="Arial" w:cs="Arial" w:eastAsia="Arial" w:hAnsi="Arial"/>
                <w:sz w:val="12"/>
                <w:szCs w:val="12"/>
                <w:color w:val="auto"/>
              </w:rPr>
              <w:t>Value</w:t>
            </w:r>
          </w:p>
        </w:tc>
      </w:tr>
      <w:tr>
        <w:trPr>
          <w:trHeight w:val="113"/>
        </w:trPr>
        <w:tc>
          <w:tcPr>
            <w:tcW w:w="16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2"/>
                <w:szCs w:val="12"/>
                <w:color w:val="auto"/>
              </w:rPr>
              <w:t>Derivatives not designated as</w:t>
            </w:r>
          </w:p>
        </w:tc>
        <w:tc>
          <w:tcPr>
            <w:tcW w:w="12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r>
      <w:tr>
        <w:trPr>
          <w:trHeight w:val="159"/>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hedging instruments:</w:t>
            </w:r>
          </w:p>
        </w:tc>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31"/>
        </w:trPr>
        <w:tc>
          <w:tcPr>
            <w:tcW w:w="1600" w:type="dxa"/>
            <w:vAlign w:val="bottom"/>
          </w:tcPr>
          <w:p>
            <w:pPr>
              <w:spacing w:after="0" w:line="131" w:lineRule="exact"/>
              <w:rPr>
                <w:sz w:val="20"/>
                <w:szCs w:val="20"/>
                <w:color w:val="auto"/>
              </w:rPr>
            </w:pPr>
            <w:r>
              <w:rPr>
                <w:rFonts w:ascii="Arial" w:cs="Arial" w:eastAsia="Arial" w:hAnsi="Arial"/>
                <w:sz w:val="12"/>
                <w:szCs w:val="12"/>
                <w:color w:val="auto"/>
              </w:rPr>
              <w:t>Loan commitments</w:t>
            </w:r>
          </w:p>
        </w:tc>
        <w:tc>
          <w:tcPr>
            <w:tcW w:w="1380" w:type="dxa"/>
            <w:vAlign w:val="bottom"/>
            <w:gridSpan w:val="2"/>
          </w:tcPr>
          <w:p>
            <w:pPr>
              <w:jc w:val="center"/>
              <w:ind w:right="140"/>
              <w:spacing w:after="0" w:line="131" w:lineRule="exact"/>
              <w:rPr>
                <w:sz w:val="20"/>
                <w:szCs w:val="20"/>
                <w:color w:val="auto"/>
              </w:rPr>
            </w:pPr>
            <w:r>
              <w:rPr>
                <w:rFonts w:ascii="Arial" w:cs="Arial" w:eastAsia="Arial" w:hAnsi="Arial"/>
                <w:sz w:val="12"/>
                <w:szCs w:val="12"/>
                <w:color w:val="auto"/>
                <w:w w:val="89"/>
              </w:rPr>
              <w:t>Other assets and Other</w:t>
            </w:r>
          </w:p>
        </w:tc>
        <w:tc>
          <w:tcPr>
            <w:tcW w:w="1020" w:type="dxa"/>
            <w:vAlign w:val="bottom"/>
          </w:tcPr>
          <w:p>
            <w:pPr>
              <w:jc w:val="right"/>
              <w:spacing w:after="0" w:line="131" w:lineRule="exact"/>
              <w:rPr>
                <w:sz w:val="20"/>
                <w:szCs w:val="20"/>
                <w:color w:val="auto"/>
              </w:rPr>
            </w:pPr>
            <w:r>
              <w:rPr>
                <w:rFonts w:ascii="Arial" w:cs="Arial" w:eastAsia="Arial" w:hAnsi="Arial"/>
                <w:sz w:val="12"/>
                <w:szCs w:val="12"/>
                <w:color w:val="auto"/>
              </w:rPr>
              <w:t>$659,245,038</w:t>
            </w:r>
          </w:p>
        </w:tc>
        <w:tc>
          <w:tcPr>
            <w:tcW w:w="10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$12,592,672</w:t>
            </w:r>
          </w:p>
        </w:tc>
        <w:tc>
          <w:tcPr>
            <w:tcW w:w="10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$2,464,062</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$224,202,514</w:t>
            </w:r>
          </w:p>
        </w:tc>
        <w:tc>
          <w:tcPr>
            <w:tcW w:w="10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$2,722,580</w:t>
            </w:r>
          </w:p>
        </w:tc>
        <w:tc>
          <w:tcPr>
            <w:tcW w:w="12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2"/>
                <w:szCs w:val="12"/>
                <w:color w:val="auto"/>
              </w:rPr>
              <w:t>$231,347</w:t>
            </w:r>
          </w:p>
        </w:tc>
      </w:tr>
      <w:tr>
        <w:trPr>
          <w:trHeight w:val="157"/>
        </w:trPr>
        <w:tc>
          <w:tcPr>
            <w:tcW w:w="160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color w:val="auto"/>
              </w:rPr>
              <w:t>liabilities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0"/>
        </w:trPr>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Call options</w:t>
            </w: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96"/>
              </w:rPr>
              <w:t>Other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1,873,200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43,097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1,813,500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62,265</w:t>
            </w:r>
          </w:p>
        </w:tc>
      </w:tr>
      <w:tr>
        <w:trPr>
          <w:trHeight w:val="157"/>
        </w:trPr>
        <w:tc>
          <w:tcPr>
            <w:tcW w:w="1600" w:type="dxa"/>
            <w:vAlign w:val="bottom"/>
          </w:tcPr>
          <w:p>
            <w:pPr>
              <w:spacing w:after="0"/>
              <w:rPr>
                <w:sz w:val="20"/>
                <w:szCs w:val="20"/>
                <w:color w:val="auto"/>
              </w:rPr>
            </w:pPr>
            <w:r>
              <w:rPr>
                <w:rFonts w:ascii="Arial" w:cs="Arial" w:eastAsia="Arial" w:hAnsi="Arial"/>
                <w:sz w:val="12"/>
                <w:szCs w:val="12"/>
                <w:color w:val="auto"/>
              </w:rPr>
              <w:t>Put options</w:t>
            </w:r>
          </w:p>
        </w:tc>
        <w:tc>
          <w:tcPr>
            <w:tcW w:w="1380" w:type="dxa"/>
            <w:vAlign w:val="bottom"/>
            <w:gridSpan w:val="2"/>
          </w:tcPr>
          <w:p>
            <w:pPr>
              <w:jc w:val="center"/>
              <w:ind w:right="140"/>
              <w:spacing w:after="0"/>
              <w:rPr>
                <w:sz w:val="20"/>
                <w:szCs w:val="20"/>
                <w:color w:val="auto"/>
              </w:rPr>
            </w:pPr>
            <w:r>
              <w:rPr>
                <w:rFonts w:ascii="Arial" w:cs="Arial" w:eastAsia="Arial" w:hAnsi="Arial"/>
                <w:sz w:val="12"/>
                <w:szCs w:val="12"/>
                <w:color w:val="auto"/>
                <w:w w:val="96"/>
              </w:rPr>
              <w:t>Other liabilities</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1,573,100</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22,282</w:t>
            </w:r>
          </w:p>
        </w:tc>
      </w:tr>
      <w:tr>
        <w:trPr>
          <w:trHeight w:val="153"/>
        </w:trPr>
        <w:tc>
          <w:tcPr>
            <w:tcW w:w="1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$661,118,238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$12,592,672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$2,507,159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$227,589,114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$2,722,580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$315,894</w:t>
            </w:r>
          </w:p>
        </w:tc>
      </w:tr>
      <w:tr>
        <w:trPr>
          <w:trHeight w:val="20"/>
        </w:trPr>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following table shows the gain (loss) on derivatives for the periods presented. There were no gains or losses reclassified from accumulated other comprehensive income into income or gains or losses recognized in income on derivatives ineffective portion or any amounts excluded from effective testing.</w:t>
      </w:r>
    </w:p>
    <w:p>
      <w:pPr>
        <w:sectPr>
          <w:pgSz w:w="11900" w:h="16838" w:orient="portrait"/>
          <w:cols w:equalWidth="0" w:num="1">
            <w:col w:w="9184"/>
          </w:cols>
          <w:pgMar w:left="1275" w:top="121"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16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Derivative</w:t>
            </w:r>
          </w:p>
        </w:tc>
        <w:tc>
          <w:tcPr>
            <w:tcW w:w="220" w:type="dxa"/>
            <w:vAlign w:val="bottom"/>
          </w:tcPr>
          <w:p>
            <w:pPr>
              <w:spacing w:after="0"/>
              <w:rPr>
                <w:sz w:val="15"/>
                <w:szCs w:val="15"/>
                <w:color w:val="auto"/>
              </w:rPr>
            </w:pPr>
          </w:p>
        </w:tc>
        <w:tc>
          <w:tcPr>
            <w:tcW w:w="21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Classification</w:t>
            </w:r>
          </w:p>
        </w:tc>
      </w:tr>
      <w:tr>
        <w:trPr>
          <w:trHeight w:val="180"/>
        </w:trPr>
        <w:tc>
          <w:tcPr>
            <w:tcW w:w="1860" w:type="dxa"/>
            <w:vAlign w:val="bottom"/>
            <w:gridSpan w:val="2"/>
          </w:tcPr>
          <w:p>
            <w:pPr>
              <w:spacing w:after="0"/>
              <w:rPr>
                <w:sz w:val="20"/>
                <w:szCs w:val="20"/>
                <w:color w:val="auto"/>
              </w:rPr>
            </w:pPr>
            <w:r>
              <w:rPr>
                <w:rFonts w:ascii="Arial" w:cs="Arial" w:eastAsia="Arial" w:hAnsi="Arial"/>
                <w:sz w:val="14"/>
                <w:szCs w:val="14"/>
                <w:color w:val="auto"/>
              </w:rPr>
              <w:t>Loan commitments</w:t>
            </w:r>
          </w:p>
        </w:tc>
        <w:tc>
          <w:tcPr>
            <w:tcW w:w="2100" w:type="dxa"/>
            <w:vAlign w:val="bottom"/>
          </w:tcPr>
          <w:p>
            <w:pPr>
              <w:spacing w:after="0"/>
              <w:rPr>
                <w:sz w:val="20"/>
                <w:szCs w:val="20"/>
                <w:color w:val="auto"/>
              </w:rPr>
            </w:pPr>
            <w:r>
              <w:rPr>
                <w:rFonts w:ascii="Arial" w:cs="Arial" w:eastAsia="Arial" w:hAnsi="Arial"/>
                <w:sz w:val="14"/>
                <w:szCs w:val="14"/>
                <w:color w:val="auto"/>
              </w:rPr>
              <w:t>Mortgage fee income</w:t>
            </w:r>
          </w:p>
        </w:tc>
      </w:tr>
      <w:tr>
        <w:trPr>
          <w:trHeight w:val="335"/>
        </w:trPr>
        <w:tc>
          <w:tcPr>
            <w:tcW w:w="1860" w:type="dxa"/>
            <w:vAlign w:val="bottom"/>
            <w:gridSpan w:val="2"/>
          </w:tcPr>
          <w:p>
            <w:pPr>
              <w:spacing w:after="0"/>
              <w:rPr>
                <w:sz w:val="20"/>
                <w:szCs w:val="20"/>
                <w:color w:val="auto"/>
              </w:rPr>
            </w:pPr>
            <w:r>
              <w:rPr>
                <w:rFonts w:ascii="Arial" w:cs="Arial" w:eastAsia="Arial" w:hAnsi="Arial"/>
                <w:sz w:val="14"/>
                <w:szCs w:val="14"/>
                <w:color w:val="auto"/>
              </w:rPr>
              <w:t>Call and put options</w:t>
            </w:r>
          </w:p>
        </w:tc>
        <w:tc>
          <w:tcPr>
            <w:tcW w:w="2100" w:type="dxa"/>
            <w:vAlign w:val="bottom"/>
          </w:tcPr>
          <w:p>
            <w:pPr>
              <w:spacing w:after="0"/>
              <w:rPr>
                <w:sz w:val="20"/>
                <w:szCs w:val="20"/>
                <w:color w:val="auto"/>
              </w:rPr>
            </w:pPr>
            <w:r>
              <w:rPr>
                <w:rFonts w:ascii="Arial" w:cs="Arial" w:eastAsia="Arial" w:hAnsi="Arial"/>
                <w:sz w:val="14"/>
                <w:szCs w:val="14"/>
                <w:color w:val="auto"/>
              </w:rPr>
              <w:t>Gains on investments and other</w:t>
            </w:r>
          </w:p>
        </w:tc>
      </w:tr>
      <w:tr>
        <w:trPr>
          <w:trHeight w:val="179"/>
        </w:trPr>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4304665" cy="2012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04665" cy="2012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-453390</wp:posOffset>
            </wp:positionV>
            <wp:extent cx="4304665" cy="1257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04665" cy="125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Amount Gain (Loss)</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5080</wp:posOffset>
            </wp:positionV>
            <wp:extent cx="16579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ind w:left="180"/>
        <w:spacing w:after="0"/>
        <w:tabs>
          <w:tab w:leader="none" w:pos="1500" w:val="left"/>
        </w:tabs>
        <w:rPr>
          <w:sz w:val="20"/>
          <w:szCs w:val="20"/>
          <w:color w:val="auto"/>
        </w:rPr>
      </w:pPr>
      <w:r>
        <w:rPr>
          <w:rFonts w:ascii="Arial" w:cs="Arial" w:eastAsia="Arial" w:hAnsi="Arial"/>
          <w:sz w:val="14"/>
          <w:szCs w:val="14"/>
          <w:color w:val="auto"/>
        </w:rPr>
        <w:t>2020</w:t>
      </w:r>
      <w:r>
        <w:rPr>
          <w:sz w:val="20"/>
          <w:szCs w:val="20"/>
          <w:color w:val="auto"/>
        </w:rPr>
        <w:tab/>
      </w:r>
      <w:r>
        <w:rPr>
          <w:rFonts w:ascii="Arial" w:cs="Arial" w:eastAsia="Arial" w:hAnsi="Arial"/>
          <w:sz w:val="14"/>
          <w:szCs w:val="14"/>
          <w:color w:val="auto"/>
        </w:rPr>
        <w:t>2019</w:t>
      </w:r>
    </w:p>
    <w:p>
      <w:pPr>
        <w:spacing w:after="0" w:line="24" w:lineRule="exact"/>
        <w:rPr>
          <w:sz w:val="20"/>
          <w:szCs w:val="20"/>
          <w:color w:val="auto"/>
        </w:rPr>
      </w:pPr>
    </w:p>
    <w:p>
      <w:pPr>
        <w:spacing w:after="0"/>
        <w:tabs>
          <w:tab w:leader="none" w:pos="340" w:val="left"/>
          <w:tab w:leader="none" w:pos="1300" w:val="left"/>
          <w:tab w:leader="none" w:pos="18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7,637,377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899,417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26670</wp:posOffset>
            </wp:positionV>
            <wp:extent cx="16579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333" w:lineRule="exact"/>
        <w:rPr>
          <w:sz w:val="20"/>
          <w:szCs w:val="20"/>
          <w:color w:val="auto"/>
        </w:rPr>
      </w:pPr>
    </w:p>
    <w:p>
      <w:pPr>
        <w:spacing w:after="0"/>
        <w:tabs>
          <w:tab w:leader="none" w:pos="440" w:val="left"/>
          <w:tab w:leader="none" w:pos="1300" w:val="left"/>
          <w:tab w:leader="none" w:pos="18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272,758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626,208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26670</wp:posOffset>
            </wp:positionV>
            <wp:extent cx="16579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3965" w:space="500"/>
            <w:col w:w="4719"/>
          </w:cols>
          <w:pgMar w:left="1275" w:top="121" w:right="1440" w:bottom="1440" w:gutter="0" w:footer="0" w:header="0"/>
          <w:type w:val="continuous"/>
        </w:sectPr>
      </w:pPr>
    </w:p>
    <w:p>
      <w:pPr>
        <w:spacing w:after="0" w:line="49" w:lineRule="exact"/>
        <w:rPr>
          <w:sz w:val="20"/>
          <w:szCs w:val="20"/>
          <w:color w:val="auto"/>
        </w:rPr>
      </w:pPr>
    </w:p>
    <w:p>
      <w:pPr>
        <w:jc w:val="center"/>
        <w:ind w:right="314"/>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628005"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type w:val="continuous"/>
        </w:sectPr>
      </w:pPr>
    </w:p>
    <w:bookmarkStart w:id="101" w:name="page102"/>
    <w:bookmarkEnd w:id="10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Acquisitions</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Kilpatrick Life Insurance Company</w:t>
      </w:r>
    </w:p>
    <w:p>
      <w:pPr>
        <w:spacing w:after="0" w:line="236" w:lineRule="exact"/>
        <w:rPr>
          <w:sz w:val="20"/>
          <w:szCs w:val="20"/>
          <w:color w:val="auto"/>
        </w:rPr>
      </w:pPr>
    </w:p>
    <w:p>
      <w:pPr>
        <w:jc w:val="both"/>
        <w:ind w:left="5" w:right="319"/>
        <w:spacing w:after="0" w:line="265" w:lineRule="auto"/>
        <w:rPr>
          <w:sz w:val="20"/>
          <w:szCs w:val="20"/>
          <w:color w:val="auto"/>
        </w:rPr>
      </w:pPr>
      <w:r>
        <w:rPr>
          <w:rFonts w:ascii="Arial" w:cs="Arial" w:eastAsia="Arial" w:hAnsi="Arial"/>
          <w:sz w:val="18"/>
          <w:szCs w:val="18"/>
          <w:color w:val="auto"/>
        </w:rPr>
        <w:t>On December 13, 2019, the Company, through its wholly owned subsidiary, Security National Life Insurance Company (“Security National Life”) completed a stock purchase transaction with Kilpatrick Life Insurance Company, a Louisiana domiciled life insurance company (“Kilpatrick Life”) and its shareholders, which resulted in the purchase of all the outstanding shares of common stock of Kilpatrick Life. The closing of the transaction was subject to approval by the Louisiana Department of Insurance of the change of control of Kilpatrick Life, which was received on December 12, 2019. Under the terms of the transaction, the total Purchase Price that Security National Life paid for all the shares held by the Kilpatrick shareholders was $23,779,940 subject to a $1,400,000 holdback deposited into an interest bearing escrow account, as agreed with the shareholders. The current amount that is available to be disbursed to the prior owners is $598,949.</w:t>
      </w:r>
    </w:p>
    <w:p>
      <w:pPr>
        <w:spacing w:after="0" w:line="185" w:lineRule="exact"/>
        <w:rPr>
          <w:sz w:val="20"/>
          <w:szCs w:val="20"/>
          <w:color w:val="auto"/>
        </w:rPr>
      </w:pPr>
    </w:p>
    <w:p>
      <w:pPr>
        <w:jc w:val="both"/>
        <w:ind w:left="5" w:right="319"/>
        <w:spacing w:after="0" w:line="229" w:lineRule="exact"/>
        <w:rPr>
          <w:sz w:val="20"/>
          <w:szCs w:val="20"/>
          <w:color w:val="auto"/>
        </w:rPr>
      </w:pPr>
      <w:r>
        <w:rPr>
          <w:rFonts w:ascii="Arial" w:cs="Arial" w:eastAsia="Arial" w:hAnsi="Arial"/>
          <w:sz w:val="19"/>
          <w:szCs w:val="19"/>
          <w:color w:val="auto"/>
        </w:rPr>
        <w:t>Kilpatrick Life has been in operation since 1932 and provides life insurance products and services through insurance plans such as permanent and term life insurance, asset protection plans, graded whole life insurance, and annuities. Additionally, it provides insurance services for emergencies and pre</w:t>
      </w:r>
      <w:r>
        <w:rPr>
          <w:rFonts w:ascii="MS PGothic" w:cs="MS PGothic" w:eastAsia="MS PGothic" w:hAnsi="MS PGothic"/>
          <w:sz w:val="19"/>
          <w:szCs w:val="19"/>
          <w:color w:val="auto"/>
        </w:rPr>
        <w:t>‐</w:t>
      </w:r>
      <w:r>
        <w:rPr>
          <w:rFonts w:ascii="Arial" w:cs="Arial" w:eastAsia="Arial" w:hAnsi="Arial"/>
          <w:sz w:val="19"/>
          <w:szCs w:val="19"/>
          <w:color w:val="auto"/>
        </w:rPr>
        <w:t>arranged funeral services. Kilpatrick Life is based in Shreveport, Louisiana with additional offices in Jena, Alexandria, Minden, and Arcadia, Louisiana.</w:t>
      </w:r>
    </w:p>
    <w:p>
      <w:pPr>
        <w:spacing w:after="0" w:line="203"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color w:val="auto"/>
        </w:rPr>
        <w:t>Kilpatrick Life employs a staff of almost 120 associates in four offices in Louisiana and is licensed to operate in Louisiana, Texas, Arkansas, Oklahoma, and Mississippi with the home office located in Shreveport, LA. It is the mission of Kilpatrick Life to continue providing the utmost service and protection for its policyholders for generations to come.</w:t>
      </w:r>
    </w:p>
    <w:p>
      <w:pPr>
        <w:spacing w:after="0" w:line="189"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Prior to the stock purchase transaction, Security National life and Kilpatrick Life entered into a coinsurance agreement, effective October 1, 2019. After the effective date, Security National Life, as coinsurer, agreed to be responsible for and was obligated with respect to 100% of the contractual liabilities under the Kilpatrick Life’s life insurance policies in accordance with the terms and conditions of the policies and applicable law. Unless otherwise directed by Security National Life, as coinsurer, Kilpatrick Life continued to administer the policies on behalf of Security National Life, as coinsurer, for the duration of the coinsurance agreement.</w:t>
      </w:r>
    </w:p>
    <w:p>
      <w:pPr>
        <w:spacing w:after="0" w:line="178"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As part of the coinsurance agreement, effective October 1, 2019, Security National Life acquired the following assets and assumed the following contractual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3919220" cy="150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19220" cy="15049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p>
      <w:pPr>
        <w:spacing w:after="0" w:line="188" w:lineRule="exact"/>
        <w:rPr>
          <w:sz w:val="20"/>
          <w:szCs w:val="20"/>
          <w:color w:val="auto"/>
        </w:rPr>
      </w:pPr>
    </w:p>
    <w:p>
      <w:pPr>
        <w:ind w:left="5"/>
        <w:spacing w:after="0"/>
        <w:rPr>
          <w:sz w:val="20"/>
          <w:szCs w:val="20"/>
          <w:color w:val="auto"/>
        </w:rPr>
      </w:pPr>
      <w:r>
        <w:rPr>
          <w:rFonts w:ascii="Arial" w:cs="Arial" w:eastAsia="Arial" w:hAnsi="Arial"/>
          <w:sz w:val="18"/>
          <w:szCs w:val="18"/>
          <w:color w:val="auto"/>
        </w:rPr>
        <w:t>Other investments and policy loans</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Real estate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3919220" cy="150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19220" cy="150495"/>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color w:val="auto"/>
        </w:rPr>
        <w:t>Mortgage loans held for investment</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3919220" cy="159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19220" cy="159385"/>
                    </a:xfrm>
                    <a:prstGeom prst="rect">
                      <a:avLst/>
                    </a:prstGeom>
                    <a:noFill/>
                  </pic:spPr>
                </pic:pic>
              </a:graphicData>
            </a:graphic>
          </wp:anchor>
        </w:drawing>
      </w:r>
    </w:p>
    <w:p>
      <w:pPr>
        <w:spacing w:after="0" w:line="24" w:lineRule="exact"/>
        <w:rPr>
          <w:sz w:val="20"/>
          <w:szCs w:val="20"/>
          <w:color w:val="auto"/>
        </w:rPr>
      </w:pPr>
    </w:p>
    <w:p>
      <w:pPr>
        <w:ind w:left="5"/>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3919220" cy="150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919220" cy="150495"/>
                    </a:xfrm>
                    <a:prstGeom prst="rect">
                      <a:avLst/>
                    </a:prstGeom>
                    <a:noFill/>
                  </pic:spPr>
                </pic:pic>
              </a:graphicData>
            </a:graphic>
          </wp:anchor>
        </w:drawing>
      </w:r>
    </w:p>
    <w:p>
      <w:pPr>
        <w:spacing w:after="0" w:line="261" w:lineRule="exact"/>
        <w:rPr>
          <w:sz w:val="20"/>
          <w:szCs w:val="20"/>
          <w:color w:val="auto"/>
        </w:rPr>
      </w:pPr>
    </w:p>
    <w:p>
      <w:pPr>
        <w:ind w:left="5"/>
        <w:spacing w:after="0"/>
        <w:rPr>
          <w:sz w:val="20"/>
          <w:szCs w:val="20"/>
          <w:color w:val="auto"/>
        </w:rPr>
      </w:pPr>
      <w:r>
        <w:rPr>
          <w:rFonts w:ascii="Arial" w:cs="Arial" w:eastAsia="Arial" w:hAnsi="Arial"/>
          <w:sz w:val="16"/>
          <w:szCs w:val="16"/>
          <w:color w:val="auto"/>
        </w:rPr>
        <w:t>Future policy benefits and unpaid claims</w:t>
      </w:r>
    </w:p>
    <w:p>
      <w:pPr>
        <w:spacing w:after="0" w:line="53" w:lineRule="exact"/>
        <w:rPr>
          <w:sz w:val="20"/>
          <w:szCs w:val="20"/>
          <w:color w:val="auto"/>
        </w:rPr>
      </w:pPr>
    </w:p>
    <w:p>
      <w:pPr>
        <w:ind w:left="5"/>
        <w:spacing w:after="0"/>
        <w:rPr>
          <w:sz w:val="20"/>
          <w:szCs w:val="20"/>
          <w:color w:val="auto"/>
        </w:rPr>
      </w:pPr>
      <w:r>
        <w:rPr>
          <w:rFonts w:ascii="Arial" w:cs="Arial" w:eastAsia="Arial" w:hAnsi="Arial"/>
          <w:sz w:val="16"/>
          <w:szCs w:val="16"/>
          <w:color w:val="auto"/>
        </w:rPr>
        <w:t>Other liabilities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919220" cy="159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19220" cy="159385"/>
                    </a:xfrm>
                    <a:prstGeom prst="rect">
                      <a:avLst/>
                    </a:prstGeom>
                    <a:noFill/>
                  </pic:spPr>
                </pic:pic>
              </a:graphicData>
            </a:graphic>
          </wp:anchor>
        </w:drawing>
      </w:r>
    </w:p>
    <w:p>
      <w:pPr>
        <w:spacing w:after="0" w:line="47" w:lineRule="exact"/>
        <w:rPr>
          <w:sz w:val="20"/>
          <w:szCs w:val="20"/>
          <w:color w:val="auto"/>
        </w:rPr>
      </w:pPr>
    </w:p>
    <w:p>
      <w:pPr>
        <w:ind w:left="5"/>
        <w:spacing w:after="0"/>
        <w:rPr>
          <w:sz w:val="20"/>
          <w:szCs w:val="20"/>
          <w:color w:val="auto"/>
        </w:rPr>
      </w:pPr>
      <w:r>
        <w:rPr>
          <w:rFonts w:ascii="Arial" w:cs="Arial" w:eastAsia="Arial" w:hAnsi="Arial"/>
          <w:sz w:val="18"/>
          <w:szCs w:val="18"/>
          <w:color w:val="auto"/>
        </w:rPr>
        <w:t>Total liabilities assumed</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6"/>
          <w:szCs w:val="16"/>
          <w:color w:val="auto"/>
        </w:rPr>
        <w:t>Cash received for reinsurance assumed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360" w:hanging="360"/>
        <w:spacing w:after="0"/>
        <w:tabs>
          <w:tab w:leader="none" w:pos="3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9,124,459</w:t>
      </w:r>
    </w:p>
    <w:p>
      <w:pPr>
        <w:spacing w:after="0" w:line="64"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5"/>
          <w:szCs w:val="15"/>
          <w:color w:val="auto"/>
        </w:rPr>
        <w:t>2,850,000</w:t>
      </w:r>
    </w:p>
    <w:p>
      <w:pPr>
        <w:spacing w:after="0" w:line="64"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6"/>
          <w:szCs w:val="16"/>
          <w:color w:val="auto"/>
        </w:rPr>
        <w:t>200,000</w:t>
      </w:r>
    </w:p>
    <w:p>
      <w:pPr>
        <w:spacing w:after="0" w:line="53"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6"/>
          <w:szCs w:val="16"/>
          <w:color w:val="auto"/>
        </w:rPr>
        <w:t>131,258</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12,305,717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40640</wp:posOffset>
            </wp:positionV>
            <wp:extent cx="946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96" w:lineRule="exact"/>
        <w:rPr>
          <w:sz w:val="20"/>
          <w:szCs w:val="20"/>
          <w:color w:val="auto"/>
        </w:rPr>
      </w:pPr>
    </w:p>
    <w:p>
      <w:pPr>
        <w:jc w:val="right"/>
        <w:ind w:right="3019"/>
        <w:spacing w:after="0"/>
        <w:rPr>
          <w:sz w:val="20"/>
          <w:szCs w:val="20"/>
          <w:color w:val="auto"/>
        </w:rPr>
      </w:pPr>
      <w:r>
        <w:rPr>
          <w:rFonts w:ascii="Arial" w:cs="Arial" w:eastAsia="Arial" w:hAnsi="Arial"/>
          <w:sz w:val="16"/>
          <w:szCs w:val="16"/>
          <w:color w:val="auto"/>
        </w:rPr>
        <w:t>(165,404,970)</w:t>
      </w:r>
    </w:p>
    <w:p>
      <w:pPr>
        <w:spacing w:after="0" w:line="53" w:lineRule="exact"/>
        <w:rPr>
          <w:sz w:val="20"/>
          <w:szCs w:val="20"/>
          <w:color w:val="auto"/>
        </w:rPr>
      </w:pPr>
    </w:p>
    <w:p>
      <w:pPr>
        <w:jc w:val="right"/>
        <w:ind w:right="3019"/>
        <w:spacing w:after="0"/>
        <w:rPr>
          <w:sz w:val="20"/>
          <w:szCs w:val="20"/>
          <w:color w:val="auto"/>
        </w:rPr>
      </w:pPr>
      <w:r>
        <w:rPr>
          <w:rFonts w:ascii="Arial" w:cs="Arial" w:eastAsia="Arial" w:hAnsi="Arial"/>
          <w:sz w:val="18"/>
          <w:szCs w:val="18"/>
          <w:color w:val="auto"/>
        </w:rPr>
        <w:t>(5,259,341)</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(170,664,311)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33655</wp:posOffset>
            </wp:positionV>
            <wp:extent cx="946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$ 158,358,594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33655</wp:posOffset>
            </wp:positionV>
            <wp:extent cx="946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50165</wp:posOffset>
            </wp:positionV>
            <wp:extent cx="946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384" w:space="720"/>
            <w:col w:w="4080"/>
          </w:cols>
          <w:pgMar w:left="1275" w:top="121" w:right="1440" w:bottom="1440" w:gutter="0" w:footer="0" w:header="0"/>
          <w:type w:val="continuous"/>
        </w:sectPr>
      </w:pPr>
    </w:p>
    <w:p>
      <w:pPr>
        <w:spacing w:after="0" w:line="8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Contemporaneous with the stock purchase transaction, both Kilpatrick Life and Security National Life, as coinsurer, agreed to terminate the coinsurance agreement, to require the recapture of the life insurance policies by Kilpatrick Life and provided notification to the Louisiana Department of Insurance. The final settlement and transfer of the coinsurance trust assets from Security National Life back to Kilpatrick Life occurred shortly thereafter.</w:t>
      </w:r>
    </w:p>
    <w:p>
      <w:pPr>
        <w:spacing w:after="0" w:line="21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type w:val="continuous"/>
        </w:sectPr>
      </w:pPr>
    </w:p>
    <w:bookmarkStart w:id="102" w:name="page103"/>
    <w:bookmarkEnd w:id="10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color w:val="auto"/>
        </w:rPr>
        <w:t>The estimated fair values of the assets acquired and liabilities assumed as of the date of acquisition, on December 13, 2019, are shown in the following table. At the time of acquisition some of these assets and liabilities became intercompany items, and the Company has eliminated them for consolidation.</w:t>
      </w:r>
    </w:p>
    <w:p>
      <w:pPr>
        <w:spacing w:after="0" w:line="201"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22,766,520</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Fixed maturity securities, held to maturity</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16,436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8,011,660</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2,708,557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446,655</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investment income</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183,527</w:t>
            </w:r>
          </w:p>
        </w:tc>
        <w:tc>
          <w:tcPr>
            <w:tcW w:w="4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34,133,355</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6,900,654</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Receivables, net</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5,407,736</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reinsurers</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168,105,064</w:t>
            </w:r>
          </w:p>
        </w:tc>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1,498,245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4,962,831</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167,344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712,323</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221,887,552</w:t>
            </w:r>
          </w:p>
        </w:tc>
        <w:tc>
          <w:tcPr>
            <w:tcW w:w="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Future policy benefits and unpaid claims</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7"/>
              </w:rPr>
              <w:t>(189,071,407)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(283,304)</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Other liabilities and accrued expenses</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(7,870,944)</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(881,957)</w:t>
            </w: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(198,107,612)</w:t>
            </w:r>
          </w:p>
        </w:tc>
        <w:tc>
          <w:tcPr>
            <w:tcW w:w="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net assets acquired/consideration paid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23,779,940</w:t>
            </w:r>
          </w:p>
        </w:tc>
        <w:tc>
          <w:tcPr>
            <w:tcW w:w="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87"/>
              </w:rPr>
              <w:t>Fair value of net assets acquired/consideration paid, net of cash</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16,879,286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w:t>
            </w: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284480</wp:posOffset>
            </wp:positionV>
            <wp:extent cx="8623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6233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ind w:left="5" w:right="2959" w:firstLine="8"/>
        <w:spacing w:after="0" w:line="253" w:lineRule="auto"/>
        <w:tabs>
          <w:tab w:leader="none" w:pos="2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Receivable from reinsurers of $162,907,008 and receivables, net of $5,000,000 were settled with the recapture of the coinsurance agreement by Kilpatrick Life from Security National Life.</w:t>
      </w:r>
    </w:p>
    <w:p>
      <w:pPr>
        <w:spacing w:after="0" w:line="211" w:lineRule="exact"/>
        <w:rPr>
          <w:sz w:val="20"/>
          <w:szCs w:val="20"/>
          <w:color w:val="auto"/>
        </w:rPr>
      </w:pPr>
    </w:p>
    <w:p>
      <w:pPr>
        <w:ind w:left="5" w:right="559"/>
        <w:spacing w:after="0" w:line="276" w:lineRule="auto"/>
        <w:rPr>
          <w:sz w:val="20"/>
          <w:szCs w:val="20"/>
          <w:color w:val="auto"/>
        </w:rPr>
      </w:pPr>
      <w:r>
        <w:rPr>
          <w:rFonts w:ascii="Arial" w:cs="Arial" w:eastAsia="Arial" w:hAnsi="Arial"/>
          <w:sz w:val="19"/>
          <w:szCs w:val="19"/>
          <w:color w:val="auto"/>
        </w:rPr>
        <w:t>Kilpatrick Life’s revenues and net loss since the date of acquisition for the year ended December 31, 2019 were $1,461,011 and $848,031, respectively.</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Probst Family Funerals and Cremations and Heber Valley Funeral Home</w:t>
      </w:r>
    </w:p>
    <w:p>
      <w:pPr>
        <w:spacing w:after="0" w:line="236" w:lineRule="exact"/>
        <w:rPr>
          <w:sz w:val="20"/>
          <w:szCs w:val="20"/>
          <w:color w:val="auto"/>
        </w:rPr>
      </w:pPr>
    </w:p>
    <w:p>
      <w:pPr>
        <w:jc w:val="both"/>
        <w:ind w:left="5" w:right="319"/>
        <w:spacing w:after="0" w:line="275" w:lineRule="auto"/>
        <w:rPr>
          <w:sz w:val="20"/>
          <w:szCs w:val="20"/>
          <w:color w:val="auto"/>
        </w:rPr>
      </w:pPr>
      <w:r>
        <w:rPr>
          <w:rFonts w:ascii="Arial" w:cs="Arial" w:eastAsia="Arial" w:hAnsi="Arial"/>
          <w:sz w:val="18"/>
          <w:szCs w:val="18"/>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72" w:lineRule="exact"/>
        <w:rPr>
          <w:sz w:val="20"/>
          <w:szCs w:val="20"/>
          <w:color w:val="auto"/>
        </w:rPr>
      </w:pPr>
    </w:p>
    <w:p>
      <w:pPr>
        <w:jc w:val="both"/>
        <w:ind w:left="5" w:right="319"/>
        <w:spacing w:after="0" w:line="275" w:lineRule="auto"/>
        <w:rPr>
          <w:sz w:val="20"/>
          <w:szCs w:val="20"/>
          <w:color w:val="auto"/>
        </w:rPr>
      </w:pPr>
      <w:r>
        <w:rPr>
          <w:rFonts w:ascii="Arial" w:cs="Arial" w:eastAsia="Arial" w:hAnsi="Arial"/>
          <w:sz w:val="18"/>
          <w:szCs w:val="18"/>
          <w:color w:val="auto"/>
        </w:rPr>
        <w:t>Under the terms of the transaction, as set forth in the Asset Purchase Agreement, dated February 15, 2019, Memorial Mortuary Inc. paid a net purchase price of $3,315,647 for the business and assets of Probst Family Funerals and Heber Valley Funeral Home, subject to a $150,000 holdback deposited into an escrow account. In August 2019, this escrow account was settled and $137,550 was paid to the prior owners.</w:t>
      </w:r>
    </w:p>
    <w:p>
      <w:pPr>
        <w:sectPr>
          <w:pgSz w:w="11900" w:h="16838" w:orient="portrait"/>
          <w:cols w:equalWidth="0" w:num="1">
            <w:col w:w="9184"/>
          </w:cols>
          <w:pgMar w:left="1275" w:top="121" w:right="1440" w:bottom="1440" w:gutter="0" w:footer="0" w:header="0"/>
        </w:sectPr>
      </w:pPr>
    </w:p>
    <w:p>
      <w:pPr>
        <w:spacing w:after="0" w:line="190" w:lineRule="exact"/>
        <w:rPr>
          <w:sz w:val="20"/>
          <w:szCs w:val="20"/>
          <w:color w:val="auto"/>
        </w:rPr>
      </w:pPr>
    </w:p>
    <w:p>
      <w:pPr>
        <w:jc w:val="center"/>
        <w:ind w:right="314"/>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628005" cy="33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type w:val="continuous"/>
        </w:sectPr>
      </w:pPr>
    </w:p>
    <w:bookmarkStart w:id="103" w:name="page104"/>
    <w:bookmarkEnd w:id="103"/>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estimated fair values of the assets acquired and liabilities assumed as of the date of acquisition were as follows:</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2,475,526</w:t>
            </w:r>
          </w:p>
        </w:tc>
        <w:tc>
          <w:tcPr>
            <w:tcW w:w="0" w:type="dxa"/>
            <w:vAlign w:val="bottom"/>
          </w:tcPr>
          <w:p>
            <w:pPr>
              <w:spacing w:after="0"/>
              <w:rPr>
                <w:sz w:val="1"/>
                <w:szCs w:val="1"/>
                <w:color w:val="auto"/>
              </w:rPr>
            </w:pPr>
          </w:p>
        </w:tc>
      </w:tr>
      <w:tr>
        <w:trPr>
          <w:trHeight w:val="24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6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754,018</w:t>
            </w:r>
          </w:p>
        </w:tc>
        <w:tc>
          <w:tcPr>
            <w:tcW w:w="0" w:type="dxa"/>
            <w:vAlign w:val="bottom"/>
          </w:tcPr>
          <w:p>
            <w:pPr>
              <w:spacing w:after="0"/>
              <w:rPr>
                <w:sz w:val="1"/>
                <w:szCs w:val="1"/>
                <w:color w:val="auto"/>
              </w:rPr>
            </w:pPr>
          </w:p>
        </w:tc>
      </w:tr>
      <w:tr>
        <w:trPr>
          <w:trHeight w:val="244"/>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3,318,823</w:t>
            </w: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Bank and other loans payable</w:t>
            </w:r>
          </w:p>
        </w:tc>
        <w:tc>
          <w:tcPr>
            <w:tcW w:w="6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6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77"/>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net assets acquired/consideration paid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3,315,647</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Arial" w:cs="Arial" w:eastAsia="Arial" w:hAnsi="Arial"/>
                <w:sz w:val="18"/>
                <w:szCs w:val="18"/>
                <w:color w:val="auto"/>
                <w:w w:val="99"/>
              </w:rPr>
              <w:t>Fair value of net assets acquired/consideration paid,</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4"/>
              </w:rPr>
              <w:t>3,261,788</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8"/>
                <w:szCs w:val="18"/>
                <w:color w:val="auto"/>
              </w:rPr>
              <w:t>net of cash acquired</w:t>
            </w:r>
          </w:p>
        </w:tc>
        <w:tc>
          <w:tcPr>
            <w:tcW w:w="6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Probst Family Funerals and Heber Valley Funeral Home’s revenues and net earnings since the date of acquisition for the year ended December 31, 2019 were $796,992 and $97,400, respectively.</w:t>
      </w:r>
    </w:p>
    <w:p>
      <w:pPr>
        <w:spacing w:after="0" w:line="188"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104" w:name="page105"/>
    <w:bookmarkEnd w:id="104"/>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485" w:hanging="485"/>
        <w:spacing w:after="0"/>
        <w:tabs>
          <w:tab w:leader="none" w:pos="485"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Mortgage Servicing Rights</w:t>
      </w:r>
    </w:p>
    <w:p>
      <w:pPr>
        <w:spacing w:after="0" w:line="124"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 reports MSRs pursuant to the accounting policy discussed in Note 1 of the Notes to Consolidated Financial Statements.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table presents the MSR activity for the periods presented.</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9"/>
              </w:rPr>
              <w:t>December 31</w:t>
            </w:r>
          </w:p>
        </w:tc>
        <w:tc>
          <w:tcPr>
            <w:tcW w:w="740" w:type="dxa"/>
            <w:vAlign w:val="bottom"/>
          </w:tcPr>
          <w:p>
            <w:pPr>
              <w:spacing w:after="0"/>
              <w:rPr>
                <w:sz w:val="19"/>
                <w:szCs w:val="19"/>
                <w:color w:val="auto"/>
              </w:rPr>
            </w:pPr>
          </w:p>
        </w:tc>
      </w:tr>
      <w:tr>
        <w:trPr>
          <w:trHeight w:val="245"/>
        </w:trPr>
        <w:tc>
          <w:tcPr>
            <w:tcW w:w="474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color w:val="auto"/>
              </w:rPr>
              <w:t>2019</w:t>
            </w:r>
          </w:p>
        </w:tc>
      </w:tr>
      <w:tr>
        <w:trPr>
          <w:trHeight w:val="23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1440" w:type="dxa"/>
            <w:vAlign w:val="bottom"/>
            <w:gridSpan w:val="2"/>
          </w:tcPr>
          <w:p>
            <w:pPr>
              <w:jc w:val="right"/>
              <w:ind w:right="92"/>
              <w:spacing w:after="0"/>
              <w:rPr>
                <w:sz w:val="20"/>
                <w:szCs w:val="20"/>
                <w:color w:val="auto"/>
              </w:rPr>
            </w:pPr>
            <w:r>
              <w:rPr>
                <w:rFonts w:ascii="Arial" w:cs="Arial" w:eastAsia="Arial" w:hAnsi="Arial"/>
                <w:sz w:val="18"/>
                <w:szCs w:val="18"/>
                <w:color w:val="auto"/>
              </w:rPr>
              <w:t>$ 17,155,529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$ 20,016,822</w:t>
            </w:r>
          </w:p>
        </w:tc>
      </w:tr>
      <w:tr>
        <w:trPr>
          <w:trHeight w:val="24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MSR additions resulting from loan sales</w:t>
            </w:r>
          </w:p>
        </w:tc>
        <w:tc>
          <w:tcPr>
            <w:tcW w:w="1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29,896,465</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4,194,502</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Amortization (1)</w:t>
            </w:r>
          </w:p>
        </w:tc>
        <w:tc>
          <w:tcPr>
            <w:tcW w:w="1440" w:type="dxa"/>
            <w:vAlign w:val="bottom"/>
            <w:gridSpan w:val="2"/>
          </w:tcPr>
          <w:p>
            <w:pPr>
              <w:jc w:val="right"/>
              <w:ind w:right="92"/>
              <w:spacing w:after="0"/>
              <w:rPr>
                <w:sz w:val="20"/>
                <w:szCs w:val="20"/>
                <w:color w:val="auto"/>
              </w:rPr>
            </w:pPr>
            <w:r>
              <w:rPr>
                <w:rFonts w:ascii="Arial" w:cs="Arial" w:eastAsia="Arial" w:hAnsi="Arial"/>
                <w:sz w:val="18"/>
                <w:szCs w:val="18"/>
                <w:color w:val="auto"/>
              </w:rPr>
              <w:t>(11,841,478)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(7,055,795)</w:t>
            </w:r>
          </w:p>
        </w:tc>
      </w:tr>
      <w:tr>
        <w:trPr>
          <w:trHeight w:val="21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Application of valuation allowance to write down MSRs</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other than temporary impairment</w:t>
            </w:r>
          </w:p>
        </w:tc>
        <w:tc>
          <w:tcPr>
            <w:tcW w:w="6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before valuation allowance at year end</w:t>
            </w:r>
          </w:p>
        </w:tc>
        <w:tc>
          <w:tcPr>
            <w:tcW w:w="14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$ 35,210,516</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$ 17,155,529</w:t>
            </w:r>
          </w:p>
        </w:tc>
      </w:tr>
      <w:tr>
        <w:trPr>
          <w:trHeight w:val="237"/>
        </w:trPr>
        <w:tc>
          <w:tcPr>
            <w:tcW w:w="47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Valuation allowance for impairment of MSRs:</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Additions</w:t>
            </w:r>
          </w:p>
        </w:tc>
        <w:tc>
          <w:tcPr>
            <w:tcW w:w="660" w:type="dxa"/>
            <w:vAlign w:val="bottom"/>
          </w:tcPr>
          <w:p>
            <w:pPr>
              <w:spacing w:after="0"/>
              <w:rPr>
                <w:sz w:val="20"/>
                <w:szCs w:val="20"/>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Application of valuation allowance to write down MSRs</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other than temporary impairment</w:t>
            </w:r>
          </w:p>
        </w:tc>
        <w:tc>
          <w:tcPr>
            <w:tcW w:w="6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year end</w:t>
            </w: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r>
      <w:tr>
        <w:trPr>
          <w:trHeight w:val="27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Mortgage servicing rights, net</w:t>
            </w:r>
          </w:p>
        </w:tc>
        <w:tc>
          <w:tcPr>
            <w:tcW w:w="14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$ 35,210,516</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$ 17,155,529</w:t>
            </w:r>
          </w:p>
        </w:tc>
      </w:tr>
      <w:tr>
        <w:trPr>
          <w:trHeight w:val="217"/>
        </w:trPr>
        <w:tc>
          <w:tcPr>
            <w:tcW w:w="4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Estimated fair value of MSRs at year end</w:t>
            </w:r>
          </w:p>
        </w:tc>
        <w:tc>
          <w:tcPr>
            <w:tcW w:w="14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$ 38,702,358</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$ 22,784,571</w:t>
            </w:r>
          </w:p>
        </w:tc>
      </w:tr>
      <w:tr>
        <w:trPr>
          <w:trHeight w:val="20"/>
        </w:trPr>
        <w:tc>
          <w:tcPr>
            <w:tcW w:w="4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95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5325" cy="8255"/>
                    </a:xfrm>
                    <a:prstGeom prst="rect">
                      <a:avLst/>
                    </a:prstGeom>
                    <a:noFill/>
                  </pic:spPr>
                </pic:pic>
              </a:graphicData>
            </a:graphic>
          </wp:anchor>
        </w:drawing>
      </w:r>
    </w:p>
    <w:p>
      <w:pPr>
        <w:spacing w:after="0" w:line="218" w:lineRule="exact"/>
        <w:rPr>
          <w:sz w:val="20"/>
          <w:szCs w:val="20"/>
          <w:color w:val="auto"/>
        </w:rPr>
      </w:pPr>
    </w:p>
    <w:p>
      <w:pPr>
        <w:ind w:left="5"/>
        <w:spacing w:after="0"/>
        <w:rPr>
          <w:sz w:val="20"/>
          <w:szCs w:val="20"/>
          <w:color w:val="auto"/>
        </w:rPr>
      </w:pPr>
      <w:r>
        <w:rPr>
          <w:rFonts w:ascii="Arial" w:cs="Arial" w:eastAsia="Arial" w:hAnsi="Arial"/>
          <w:sz w:val="18"/>
          <w:szCs w:val="18"/>
          <w:color w:val="auto"/>
        </w:rPr>
        <w:t>(1) Included in other expenses on the consolidated statements of earnings</w:t>
      </w:r>
    </w:p>
    <w:p>
      <w:pPr>
        <w:spacing w:after="0" w:line="237" w:lineRule="exact"/>
        <w:rPr>
          <w:sz w:val="20"/>
          <w:szCs w:val="20"/>
          <w:color w:val="auto"/>
        </w:rPr>
      </w:pPr>
    </w:p>
    <w:p>
      <w:pPr>
        <w:jc w:val="both"/>
        <w:ind w:left="5" w:right="319"/>
        <w:spacing w:after="0" w:line="252" w:lineRule="auto"/>
        <w:rPr>
          <w:sz w:val="20"/>
          <w:szCs w:val="20"/>
          <w:color w:val="auto"/>
        </w:rPr>
      </w:pPr>
      <w:r>
        <w:rPr>
          <w:rFonts w:ascii="Arial" w:cs="Arial" w:eastAsia="Arial" w:hAnsi="Arial"/>
          <w:sz w:val="19"/>
          <w:szCs w:val="19"/>
          <w:color w:val="auto"/>
        </w:rPr>
        <w:t>The following table summarizes the Company’s estimate of future amortization of its existing MSRs carried at amortized cost. This projection was developed using the assumptions made by management in its December 31, 2020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211" w:lineRule="exact"/>
        <w:rPr>
          <w:sz w:val="20"/>
          <w:szCs w:val="20"/>
          <w:color w:val="auto"/>
        </w:rPr>
      </w:pPr>
    </w:p>
    <w:p>
      <w:pPr>
        <w:jc w:val="center"/>
        <w:ind w:right="4714"/>
        <w:spacing w:after="0"/>
        <w:rPr>
          <w:sz w:val="20"/>
          <w:szCs w:val="20"/>
          <w:color w:val="auto"/>
        </w:rPr>
      </w:pPr>
      <w:r>
        <w:rPr>
          <w:rFonts w:ascii="Arial" w:cs="Arial" w:eastAsia="Arial" w:hAnsi="Arial"/>
          <w:sz w:val="18"/>
          <w:szCs w:val="18"/>
          <w:color w:val="auto"/>
        </w:rPr>
        <w:t>Estimated MSR</w:t>
      </w:r>
    </w:p>
    <w:p>
      <w:pPr>
        <w:spacing w:after="0" w:line="16" w:lineRule="exact"/>
        <w:rPr>
          <w:sz w:val="20"/>
          <w:szCs w:val="20"/>
          <w:color w:val="auto"/>
        </w:rPr>
      </w:pPr>
    </w:p>
    <w:p>
      <w:pPr>
        <w:jc w:val="center"/>
        <w:ind w:right="4714"/>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967865" cy="159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67865" cy="159385"/>
                    </a:xfrm>
                    <a:prstGeom prst="rect">
                      <a:avLst/>
                    </a:prstGeom>
                    <a:noFill/>
                  </pic:spPr>
                </pic:pic>
              </a:graphicData>
            </a:graphic>
          </wp:anchor>
        </w:drawing>
      </w:r>
    </w:p>
    <w:p>
      <w:pPr>
        <w:spacing w:after="0" w:line="12" w:lineRule="exact"/>
        <w:rPr>
          <w:sz w:val="20"/>
          <w:szCs w:val="20"/>
          <w:color w:val="auto"/>
        </w:rPr>
      </w:pPr>
    </w:p>
    <w:p>
      <w:pPr>
        <w:ind w:left="5"/>
        <w:spacing w:after="0"/>
        <w:tabs>
          <w:tab w:leader="none" w:pos="1924" w:val="left"/>
          <w:tab w:leader="none" w:pos="2364"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4,724,439</w:t>
      </w:r>
    </w:p>
    <w:p>
      <w:pPr>
        <w:spacing w:after="0" w:line="30" w:lineRule="exact"/>
        <w:rPr>
          <w:sz w:val="20"/>
          <w:szCs w:val="20"/>
          <w:color w:val="auto"/>
        </w:rPr>
      </w:pPr>
    </w:p>
    <w:p>
      <w:pPr>
        <w:ind w:left="5"/>
        <w:spacing w:after="0"/>
        <w:tabs>
          <w:tab w:leader="none" w:pos="2364"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3,582,811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967865" cy="150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67865" cy="150495"/>
                    </a:xfrm>
                    <a:prstGeom prst="rect">
                      <a:avLst/>
                    </a:prstGeom>
                    <a:noFill/>
                  </pic:spPr>
                </pic:pic>
              </a:graphicData>
            </a:graphic>
          </wp:anchor>
        </w:drawing>
      </w:r>
    </w:p>
    <w:p>
      <w:pPr>
        <w:spacing w:after="0" w:line="10" w:lineRule="exact"/>
        <w:rPr>
          <w:sz w:val="20"/>
          <w:szCs w:val="20"/>
          <w:color w:val="auto"/>
        </w:rPr>
      </w:pPr>
    </w:p>
    <w:p>
      <w:pPr>
        <w:ind w:left="5"/>
        <w:spacing w:after="0"/>
        <w:tabs>
          <w:tab w:leader="none" w:pos="2364" w:val="left"/>
        </w:tabs>
        <w:rPr>
          <w:sz w:val="20"/>
          <w:szCs w:val="20"/>
          <w:color w:val="auto"/>
        </w:rPr>
      </w:pPr>
      <w:r>
        <w:rPr>
          <w:rFonts w:ascii="Arial" w:cs="Arial" w:eastAsia="Arial" w:hAnsi="Arial"/>
          <w:sz w:val="16"/>
          <w:szCs w:val="16"/>
          <w:color w:val="auto"/>
        </w:rPr>
        <w:t>2023</w:t>
      </w:r>
      <w:r>
        <w:rPr>
          <w:sz w:val="20"/>
          <w:szCs w:val="20"/>
          <w:color w:val="auto"/>
        </w:rPr>
        <w:tab/>
      </w:r>
      <w:r>
        <w:rPr>
          <w:rFonts w:ascii="Arial" w:cs="Arial" w:eastAsia="Arial" w:hAnsi="Arial"/>
          <w:sz w:val="16"/>
          <w:szCs w:val="16"/>
          <w:color w:val="auto"/>
        </w:rPr>
        <w:t>3,030,850</w:t>
      </w:r>
    </w:p>
    <w:p>
      <w:pPr>
        <w:spacing w:after="0" w:line="53" w:lineRule="exact"/>
        <w:rPr>
          <w:sz w:val="20"/>
          <w:szCs w:val="20"/>
          <w:color w:val="auto"/>
        </w:rPr>
      </w:pPr>
    </w:p>
    <w:p>
      <w:pPr>
        <w:ind w:left="5"/>
        <w:spacing w:after="0"/>
        <w:tabs>
          <w:tab w:leader="none" w:pos="2364" w:val="left"/>
        </w:tabs>
        <w:rPr>
          <w:sz w:val="20"/>
          <w:szCs w:val="20"/>
          <w:color w:val="auto"/>
        </w:rPr>
      </w:pPr>
      <w:r>
        <w:rPr>
          <w:rFonts w:ascii="Arial" w:cs="Arial" w:eastAsia="Arial" w:hAnsi="Arial"/>
          <w:sz w:val="18"/>
          <w:szCs w:val="18"/>
          <w:color w:val="auto"/>
        </w:rPr>
        <w:t>2024</w:t>
      </w:r>
      <w:r>
        <w:rPr>
          <w:sz w:val="20"/>
          <w:szCs w:val="20"/>
          <w:color w:val="auto"/>
        </w:rPr>
        <w:tab/>
      </w:r>
      <w:r>
        <w:rPr>
          <w:rFonts w:ascii="Arial" w:cs="Arial" w:eastAsia="Arial" w:hAnsi="Arial"/>
          <w:sz w:val="18"/>
          <w:szCs w:val="18"/>
          <w:color w:val="auto"/>
        </w:rPr>
        <w:t>2,574,323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967865" cy="150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67865" cy="150495"/>
                    </a:xfrm>
                    <a:prstGeom prst="rect">
                      <a:avLst/>
                    </a:prstGeom>
                    <a:noFill/>
                  </pic:spPr>
                </pic:pic>
              </a:graphicData>
            </a:graphic>
          </wp:anchor>
        </w:drawing>
      </w:r>
    </w:p>
    <w:p>
      <w:pPr>
        <w:spacing w:after="0" w:line="10" w:lineRule="exact"/>
        <w:rPr>
          <w:sz w:val="20"/>
          <w:szCs w:val="20"/>
          <w:color w:val="auto"/>
        </w:rPr>
      </w:pPr>
    </w:p>
    <w:p>
      <w:pPr>
        <w:ind w:left="5"/>
        <w:spacing w:after="0"/>
        <w:tabs>
          <w:tab w:leader="none" w:pos="2364" w:val="left"/>
        </w:tabs>
        <w:rPr>
          <w:sz w:val="20"/>
          <w:szCs w:val="20"/>
          <w:color w:val="auto"/>
        </w:rPr>
      </w:pPr>
      <w:r>
        <w:rPr>
          <w:rFonts w:ascii="Arial" w:cs="Arial" w:eastAsia="Arial" w:hAnsi="Arial"/>
          <w:sz w:val="16"/>
          <w:szCs w:val="16"/>
          <w:color w:val="auto"/>
        </w:rPr>
        <w:t>2025</w:t>
      </w:r>
      <w:r>
        <w:rPr>
          <w:sz w:val="20"/>
          <w:szCs w:val="20"/>
          <w:color w:val="auto"/>
        </w:rPr>
        <w:tab/>
      </w:r>
      <w:r>
        <w:rPr>
          <w:rFonts w:ascii="Arial" w:cs="Arial" w:eastAsia="Arial" w:hAnsi="Arial"/>
          <w:sz w:val="16"/>
          <w:szCs w:val="16"/>
          <w:color w:val="auto"/>
        </w:rPr>
        <w:t>2,200,840</w:t>
      </w:r>
    </w:p>
    <w:p>
      <w:pPr>
        <w:spacing w:after="0" w:line="53" w:lineRule="exact"/>
        <w:rPr>
          <w:sz w:val="20"/>
          <w:szCs w:val="20"/>
          <w:color w:val="auto"/>
        </w:rPr>
      </w:pPr>
    </w:p>
    <w:p>
      <w:pPr>
        <w:ind w:left="5"/>
        <w:spacing w:after="0"/>
        <w:tabs>
          <w:tab w:leader="none" w:pos="2284"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19,097,253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967865" cy="167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67865" cy="167640"/>
                    </a:xfrm>
                    <a:prstGeom prst="rect">
                      <a:avLst/>
                    </a:prstGeom>
                    <a:noFill/>
                  </pic:spPr>
                </pic:pic>
              </a:graphicData>
            </a:graphic>
          </wp:anchor>
        </w:drawing>
      </w:r>
    </w:p>
    <w:p>
      <w:pPr>
        <w:spacing w:after="0" w:line="24" w:lineRule="exact"/>
        <w:rPr>
          <w:sz w:val="20"/>
          <w:szCs w:val="20"/>
          <w:color w:val="auto"/>
        </w:rPr>
      </w:pPr>
    </w:p>
    <w:p>
      <w:pPr>
        <w:ind w:left="5"/>
        <w:spacing w:after="0"/>
        <w:tabs>
          <w:tab w:leader="none" w:pos="1924" w:val="left"/>
          <w:tab w:leader="none" w:pos="2284"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35,210,516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35560</wp:posOffset>
            </wp:positionV>
            <wp:extent cx="10972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74"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105" w:name="page106"/>
    <w:bookmarkEnd w:id="105"/>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Mortgage Servicing Rights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337" w:lineRule="auto"/>
        <w:rPr>
          <w:sz w:val="20"/>
          <w:szCs w:val="20"/>
          <w:color w:val="auto"/>
        </w:rPr>
      </w:pPr>
      <w:r>
        <w:rPr>
          <w:rFonts w:ascii="Arial" w:cs="Arial" w:eastAsia="Arial" w:hAnsi="Arial"/>
          <w:sz w:val="17"/>
          <w:szCs w:val="17"/>
          <w:color w:val="auto"/>
        </w:rPr>
        <w:t>During the years ended December 31, 2020 and 2019, the Company collected the following contractual servicing fee income and late fee income as reported in other revenues on the consolidated statements of earnings:</w:t>
      </w:r>
    </w:p>
    <w:p>
      <w:pPr>
        <w:spacing w:after="0" w:line="141"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2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4"/>
              </w:rPr>
              <w:t>2020</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4"/>
              </w:rPr>
              <w:t>2019</w:t>
            </w:r>
          </w:p>
        </w:tc>
      </w:tr>
      <w:tr>
        <w:trPr>
          <w:trHeight w:val="237"/>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8,940,612</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7,212,164</w:t>
            </w:r>
          </w:p>
        </w:tc>
      </w:tr>
      <w:tr>
        <w:trPr>
          <w:trHeight w:val="231"/>
        </w:trPr>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Late fees</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305,962</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365,477</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9,246,574</w:t>
            </w: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7,577,641</w:t>
            </w:r>
          </w:p>
        </w:tc>
      </w:tr>
      <w:tr>
        <w:trPr>
          <w:trHeight w:val="20"/>
        </w:trPr>
        <w:tc>
          <w:tcPr>
            <w:tcW w:w="2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following is a summary of the unpaid principal balances (“UPB”) of the servicing portfolio for the periods presented:</w:t>
      </w:r>
    </w:p>
    <w:p>
      <w:pPr>
        <w:spacing w:after="0" w:line="188" w:lineRule="exact"/>
        <w:rPr>
          <w:sz w:val="20"/>
          <w:szCs w:val="20"/>
          <w:color w:val="auto"/>
        </w:rPr>
      </w:pPr>
    </w:p>
    <w:p>
      <w:pPr>
        <w:ind w:left="2305"/>
        <w:spacing w:after="0"/>
        <w:rPr>
          <w:sz w:val="20"/>
          <w:szCs w:val="20"/>
          <w:color w:val="auto"/>
        </w:rPr>
      </w:pPr>
      <w:r>
        <w:rPr>
          <w:rFonts w:ascii="Arial" w:cs="Arial" w:eastAsia="Arial" w:hAnsi="Arial"/>
          <w:sz w:val="18"/>
          <w:szCs w:val="18"/>
          <w:color w:val="auto"/>
        </w:rPr>
        <w:t>Years Ended December 31</w:t>
      </w:r>
    </w:p>
    <w:p>
      <w:pPr>
        <w:spacing w:after="0" w:line="30" w:lineRule="exact"/>
        <w:rPr>
          <w:sz w:val="20"/>
          <w:szCs w:val="20"/>
          <w:color w:val="auto"/>
        </w:rPr>
      </w:pPr>
    </w:p>
    <w:p>
      <w:pPr>
        <w:ind w:left="2025"/>
        <w:spacing w:after="0"/>
        <w:tabs>
          <w:tab w:leader="none" w:pos="3844"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16" w:lineRule="exact"/>
        <w:rPr>
          <w:sz w:val="20"/>
          <w:szCs w:val="20"/>
          <w:color w:val="auto"/>
        </w:rPr>
      </w:pPr>
    </w:p>
    <w:tbl>
      <w:tblPr>
        <w:tblLayout w:type="fixed"/>
        <w:tblInd w:w="5" w:type="dxa"/>
        <w:tblCellMar>
          <w:top w:w="0" w:type="dxa"/>
          <w:left w:w="0" w:type="dxa"/>
          <w:bottom w:w="0" w:type="dxa"/>
          <w:right w:w="0" w:type="dxa"/>
        </w:tblCellMar>
      </w:tblPr>
      <w:tr>
        <w:trPr>
          <w:trHeight w:val="245"/>
        </w:trPr>
        <w:tc>
          <w:tcPr>
            <w:tcW w:w="1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Servicing UPB</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5,070,287,864</w:t>
            </w:r>
          </w:p>
        </w:tc>
        <w:tc>
          <w:tcPr>
            <w:tcW w:w="26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2,804,139,415</w:t>
            </w:r>
          </w:p>
        </w:tc>
        <w:tc>
          <w:tcPr>
            <w:tcW w:w="260" w:type="dxa"/>
            <w:vAlign w:val="bottom"/>
            <w:tcBorders>
              <w:top w:val="single" w:sz="8" w:color="CCEEFF"/>
            </w:tcBorders>
            <w:shd w:val="clear" w:color="auto" w:fill="CCEEFF"/>
          </w:tcPr>
          <w:p>
            <w:pPr>
              <w:spacing w:after="0"/>
              <w:rPr>
                <w:sz w:val="21"/>
                <w:szCs w:val="2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key assumptions were used in determining MSR value:</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w w:val="86"/>
              </w:rPr>
              <w:t>Prepayment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Discount</w:t>
            </w:r>
          </w:p>
        </w:tc>
        <w:tc>
          <w:tcPr>
            <w:tcW w:w="3660" w:type="dxa"/>
            <w:vAlign w:val="bottom"/>
          </w:tcPr>
          <w:p>
            <w:pPr>
              <w:spacing w:after="0"/>
              <w:rPr>
                <w:sz w:val="18"/>
                <w:szCs w:val="18"/>
                <w:color w:val="auto"/>
              </w:rPr>
            </w:pPr>
          </w:p>
        </w:tc>
      </w:tr>
      <w:tr>
        <w:trPr>
          <w:trHeight w:val="197"/>
        </w:trPr>
        <w:tc>
          <w:tcPr>
            <w:tcW w:w="1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81"/>
              </w:rPr>
              <w:t>Speeds</w:t>
            </w:r>
          </w:p>
        </w:tc>
        <w:tc>
          <w:tcPr>
            <w:tcW w:w="1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76"/>
              </w:rPr>
              <w:t>Life(Years)</w:t>
            </w:r>
          </w:p>
        </w:tc>
        <w:tc>
          <w:tcPr>
            <w:tcW w:w="1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Rate</w:t>
            </w:r>
          </w:p>
        </w:tc>
        <w:tc>
          <w:tcPr>
            <w:tcW w:w="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3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15.60</w:t>
            </w:r>
          </w:p>
        </w:tc>
        <w:tc>
          <w:tcPr>
            <w:tcW w:w="1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center"/>
              <w:ind w:left="412"/>
              <w:spacing w:after="0"/>
              <w:rPr>
                <w:sz w:val="20"/>
                <w:szCs w:val="20"/>
                <w:color w:val="auto"/>
              </w:rPr>
            </w:pPr>
            <w:r>
              <w:rPr>
                <w:rFonts w:ascii="Arial" w:cs="Arial" w:eastAsia="Arial" w:hAnsi="Arial"/>
                <w:sz w:val="18"/>
                <w:szCs w:val="18"/>
                <w:color w:val="auto"/>
                <w:w w:val="85"/>
              </w:rPr>
              <w:t>5.30</w:t>
            </w: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left="432"/>
              <w:spacing w:after="0"/>
              <w:rPr>
                <w:sz w:val="20"/>
                <w:szCs w:val="20"/>
                <w:color w:val="auto"/>
              </w:rPr>
            </w:pPr>
            <w:r>
              <w:rPr>
                <w:rFonts w:ascii="Arial" w:cs="Arial" w:eastAsia="Arial" w:hAnsi="Arial"/>
                <w:sz w:val="18"/>
                <w:szCs w:val="18"/>
                <w:color w:val="auto"/>
                <w:w w:val="85"/>
              </w:rPr>
              <w:t>9.50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60" w:type="dxa"/>
            <w:vAlign w:val="bottom"/>
          </w:tcPr>
          <w:p>
            <w:pPr>
              <w:spacing w:after="0"/>
              <w:rPr>
                <w:sz w:val="20"/>
                <w:szCs w:val="20"/>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rPr>
              <w:t>December 31, 2019</w:t>
            </w:r>
          </w:p>
        </w:tc>
        <w:tc>
          <w:tcPr>
            <w:tcW w:w="6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15.30</w:t>
            </w:r>
          </w:p>
        </w:tc>
        <w:tc>
          <w:tcPr>
            <w:tcW w:w="160" w:type="dxa"/>
            <w:vAlign w:val="bottom"/>
          </w:tcPr>
          <w:p>
            <w:pPr>
              <w:spacing w:after="0"/>
              <w:rPr>
                <w:sz w:val="19"/>
                <w:szCs w:val="19"/>
                <w:color w:val="auto"/>
              </w:rPr>
            </w:pPr>
          </w:p>
        </w:tc>
        <w:tc>
          <w:tcPr>
            <w:tcW w:w="1120" w:type="dxa"/>
            <w:vAlign w:val="bottom"/>
            <w:gridSpan w:val="3"/>
          </w:tcPr>
          <w:p>
            <w:pPr>
              <w:jc w:val="center"/>
              <w:ind w:left="412"/>
              <w:spacing w:after="0"/>
              <w:rPr>
                <w:sz w:val="20"/>
                <w:szCs w:val="20"/>
                <w:color w:val="auto"/>
              </w:rPr>
            </w:pPr>
            <w:r>
              <w:rPr>
                <w:rFonts w:ascii="Arial" w:cs="Arial" w:eastAsia="Arial" w:hAnsi="Arial"/>
                <w:sz w:val="18"/>
                <w:szCs w:val="18"/>
                <w:color w:val="auto"/>
                <w:w w:val="85"/>
              </w:rPr>
              <w:t>5.27</w:t>
            </w:r>
          </w:p>
        </w:tc>
        <w:tc>
          <w:tcPr>
            <w:tcW w:w="100" w:type="dxa"/>
            <w:vAlign w:val="bottom"/>
          </w:tcPr>
          <w:p>
            <w:pPr>
              <w:spacing w:after="0"/>
              <w:rPr>
                <w:sz w:val="19"/>
                <w:szCs w:val="19"/>
                <w:color w:val="auto"/>
              </w:rPr>
            </w:pPr>
          </w:p>
        </w:tc>
        <w:tc>
          <w:tcPr>
            <w:tcW w:w="860" w:type="dxa"/>
            <w:vAlign w:val="bottom"/>
            <w:gridSpan w:val="3"/>
          </w:tcPr>
          <w:p>
            <w:pPr>
              <w:jc w:val="center"/>
              <w:ind w:left="432"/>
              <w:spacing w:after="0"/>
              <w:rPr>
                <w:sz w:val="20"/>
                <w:szCs w:val="20"/>
                <w:color w:val="auto"/>
              </w:rPr>
            </w:pPr>
            <w:r>
              <w:rPr>
                <w:rFonts w:ascii="Arial" w:cs="Arial" w:eastAsia="Arial" w:hAnsi="Arial"/>
                <w:sz w:val="18"/>
                <w:szCs w:val="18"/>
                <w:color w:val="auto"/>
                <w:w w:val="85"/>
              </w:rPr>
              <w:t>9.51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46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232"/>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79"/>
        </w:trPr>
        <w:tc>
          <w:tcPr>
            <w:tcW w:w="1960" w:type="dxa"/>
            <w:vAlign w:val="bottom"/>
            <w:tcBorders>
              <w:bottom w:val="single" w:sz="8" w:color="909090"/>
            </w:tcBorders>
          </w:tcPr>
          <w:p>
            <w:pPr>
              <w:spacing w:after="0"/>
              <w:rPr>
                <w:sz w:val="15"/>
                <w:szCs w:val="15"/>
                <w:color w:val="auto"/>
              </w:rPr>
            </w:pPr>
          </w:p>
        </w:tc>
        <w:tc>
          <w:tcPr>
            <w:tcW w:w="180" w:type="dxa"/>
            <w:vAlign w:val="bottom"/>
            <w:tcBorders>
              <w:bottom w:val="single" w:sz="8" w:color="909090"/>
            </w:tcBorders>
          </w:tcPr>
          <w:p>
            <w:pPr>
              <w:spacing w:after="0"/>
              <w:rPr>
                <w:sz w:val="15"/>
                <w:szCs w:val="15"/>
                <w:color w:val="auto"/>
              </w:rPr>
            </w:pPr>
          </w:p>
        </w:tc>
        <w:tc>
          <w:tcPr>
            <w:tcW w:w="500" w:type="dxa"/>
            <w:vAlign w:val="bottom"/>
            <w:tcBorders>
              <w:bottom w:val="single" w:sz="8" w:color="909090"/>
            </w:tcBorders>
          </w:tcPr>
          <w:p>
            <w:pPr>
              <w:spacing w:after="0"/>
              <w:rPr>
                <w:sz w:val="15"/>
                <w:szCs w:val="15"/>
                <w:color w:val="auto"/>
              </w:rPr>
            </w:pPr>
          </w:p>
        </w:tc>
        <w:tc>
          <w:tcPr>
            <w:tcW w:w="160" w:type="dxa"/>
            <w:vAlign w:val="bottom"/>
            <w:tcBorders>
              <w:bottom w:val="single" w:sz="8" w:color="909090"/>
            </w:tcBorders>
          </w:tcPr>
          <w:p>
            <w:pPr>
              <w:spacing w:after="0"/>
              <w:rPr>
                <w:sz w:val="15"/>
                <w:szCs w:val="15"/>
                <w:color w:val="auto"/>
              </w:rPr>
            </w:pPr>
          </w:p>
        </w:tc>
        <w:tc>
          <w:tcPr>
            <w:tcW w:w="420" w:type="dxa"/>
            <w:vAlign w:val="bottom"/>
            <w:tcBorders>
              <w:bottom w:val="single" w:sz="8" w:color="909090"/>
            </w:tcBorders>
          </w:tcPr>
          <w:p>
            <w:pPr>
              <w:spacing w:after="0"/>
              <w:rPr>
                <w:sz w:val="15"/>
                <w:szCs w:val="15"/>
                <w:color w:val="auto"/>
              </w:rPr>
            </w:pPr>
          </w:p>
        </w:tc>
        <w:tc>
          <w:tcPr>
            <w:tcW w:w="100" w:type="dxa"/>
            <w:vAlign w:val="bottom"/>
            <w:tcBorders>
              <w:bottom w:val="single" w:sz="8" w:color="909090"/>
            </w:tcBorders>
          </w:tcPr>
          <w:p>
            <w:pPr>
              <w:spacing w:after="0"/>
              <w:rPr>
                <w:sz w:val="15"/>
                <w:szCs w:val="15"/>
                <w:color w:val="auto"/>
              </w:rPr>
            </w:pPr>
          </w:p>
        </w:tc>
        <w:tc>
          <w:tcPr>
            <w:tcW w:w="600" w:type="dxa"/>
            <w:vAlign w:val="bottom"/>
            <w:tcBorders>
              <w:bottom w:val="single" w:sz="8" w:color="909090"/>
            </w:tcBorders>
          </w:tcPr>
          <w:p>
            <w:pPr>
              <w:spacing w:after="0"/>
              <w:rPr>
                <w:sz w:val="15"/>
                <w:szCs w:val="15"/>
                <w:color w:val="auto"/>
              </w:rPr>
            </w:pPr>
          </w:p>
        </w:tc>
        <w:tc>
          <w:tcPr>
            <w:tcW w:w="100" w:type="dxa"/>
            <w:vAlign w:val="bottom"/>
            <w:tcBorders>
              <w:bottom w:val="single" w:sz="8" w:color="909090"/>
            </w:tcBorders>
          </w:tcPr>
          <w:p>
            <w:pPr>
              <w:spacing w:after="0"/>
              <w:rPr>
                <w:sz w:val="15"/>
                <w:szCs w:val="15"/>
                <w:color w:val="auto"/>
              </w:rPr>
            </w:pPr>
          </w:p>
        </w:tc>
        <w:tc>
          <w:tcPr>
            <w:tcW w:w="360" w:type="dxa"/>
            <w:vAlign w:val="bottom"/>
            <w:tcBorders>
              <w:bottom w:val="single" w:sz="8" w:color="909090"/>
            </w:tcBorders>
          </w:tcPr>
          <w:p>
            <w:pPr>
              <w:spacing w:after="0"/>
              <w:rPr>
                <w:sz w:val="15"/>
                <w:szCs w:val="15"/>
                <w:color w:val="auto"/>
              </w:rPr>
            </w:pPr>
          </w:p>
        </w:tc>
        <w:tc>
          <w:tcPr>
            <w:tcW w:w="160" w:type="dxa"/>
            <w:vAlign w:val="bottom"/>
            <w:tcBorders>
              <w:bottom w:val="single" w:sz="8" w:color="909090"/>
            </w:tcBorders>
          </w:tcPr>
          <w:p>
            <w:pPr>
              <w:spacing w:after="0"/>
              <w:rPr>
                <w:sz w:val="15"/>
                <w:szCs w:val="15"/>
                <w:color w:val="auto"/>
              </w:rPr>
            </w:pPr>
          </w:p>
        </w:tc>
        <w:tc>
          <w:tcPr>
            <w:tcW w:w="340" w:type="dxa"/>
            <w:vAlign w:val="bottom"/>
            <w:tcBorders>
              <w:bottom w:val="single" w:sz="8" w:color="909090"/>
            </w:tcBorders>
          </w:tcPr>
          <w:p>
            <w:pPr>
              <w:spacing w:after="0"/>
              <w:rPr>
                <w:sz w:val="15"/>
                <w:szCs w:val="15"/>
                <w:color w:val="auto"/>
              </w:rPr>
            </w:pPr>
          </w:p>
        </w:tc>
        <w:tc>
          <w:tcPr>
            <w:tcW w:w="160" w:type="dxa"/>
            <w:vAlign w:val="bottom"/>
            <w:tcBorders>
              <w:bottom w:val="single" w:sz="8" w:color="909090"/>
            </w:tcBorders>
          </w:tcPr>
          <w:p>
            <w:pPr>
              <w:spacing w:after="0"/>
              <w:rPr>
                <w:sz w:val="15"/>
                <w:szCs w:val="15"/>
                <w:color w:val="auto"/>
              </w:rPr>
            </w:pPr>
          </w:p>
        </w:tc>
        <w:tc>
          <w:tcPr>
            <w:tcW w:w="160" w:type="dxa"/>
            <w:vAlign w:val="bottom"/>
            <w:tcBorders>
              <w:bottom w:val="single" w:sz="8" w:color="909090"/>
            </w:tcBorders>
          </w:tcPr>
          <w:p>
            <w:pPr>
              <w:spacing w:after="0"/>
              <w:rPr>
                <w:sz w:val="15"/>
                <w:szCs w:val="15"/>
                <w:color w:val="auto"/>
              </w:rPr>
            </w:pPr>
          </w:p>
        </w:tc>
        <w:tc>
          <w:tcPr>
            <w:tcW w:w="3660" w:type="dxa"/>
            <w:vAlign w:val="bottom"/>
            <w:tcBorders>
              <w:bottom w:val="single" w:sz="8" w:color="909090"/>
            </w:tcBorders>
          </w:tcPr>
          <w:p>
            <w:pPr>
              <w:spacing w:after="0"/>
              <w:rPr>
                <w:sz w:val="15"/>
                <w:szCs w:val="15"/>
                <w:color w:val="auto"/>
              </w:rPr>
            </w:pPr>
          </w:p>
        </w:tc>
      </w:tr>
    </w:tbl>
    <w:p>
      <w:pPr>
        <w:sectPr>
          <w:pgSz w:w="11900" w:h="16838" w:orient="portrait"/>
          <w:cols w:equalWidth="0" w:num="1">
            <w:col w:w="9184"/>
          </w:cols>
          <w:pgMar w:left="1275" w:top="121" w:right="1440" w:bottom="1440" w:gutter="0" w:footer="0" w:header="0"/>
        </w:sectPr>
      </w:pPr>
    </w:p>
    <w:bookmarkStart w:id="106" w:name="page107"/>
    <w:bookmarkEnd w:id="106"/>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Future Policy Benefits and Unpaid Claims</w:t>
      </w:r>
    </w:p>
    <w:p>
      <w:pPr>
        <w:spacing w:after="0" w:line="230"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The Company reports future policy benefits and unpaid claims pursuant to the accounting policy discussed in Note 1 of the Notes to Consolidated Financial Statements.</w:t>
      </w:r>
    </w:p>
    <w:p>
      <w:pPr>
        <w:spacing w:after="0" w:line="170" w:lineRule="exact"/>
        <w:rPr>
          <w:sz w:val="20"/>
          <w:szCs w:val="20"/>
          <w:color w:val="auto"/>
        </w:rPr>
      </w:pPr>
    </w:p>
    <w:p>
      <w:pPr>
        <w:ind w:left="5" w:right="19"/>
        <w:spacing w:after="0" w:line="276" w:lineRule="auto"/>
        <w:rPr>
          <w:sz w:val="20"/>
          <w:szCs w:val="20"/>
          <w:color w:val="auto"/>
        </w:rPr>
      </w:pPr>
      <w:r>
        <w:rPr>
          <w:rFonts w:ascii="Arial" w:cs="Arial" w:eastAsia="Arial" w:hAnsi="Arial"/>
          <w:sz w:val="19"/>
          <w:szCs w:val="19"/>
          <w:color w:val="auto"/>
        </w:rPr>
        <w:t>The following table provides information regarding future policy benefits and unpaid claims and the related receivable from reinsurers.</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1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3"/>
          </w:tcPr>
          <w:p>
            <w:pPr>
              <w:ind w:left="460"/>
              <w:spacing w:after="0"/>
              <w:rPr>
                <w:sz w:val="20"/>
                <w:szCs w:val="20"/>
                <w:color w:val="auto"/>
              </w:rPr>
            </w:pPr>
            <w:r>
              <w:rPr>
                <w:rFonts w:ascii="Arial" w:cs="Arial" w:eastAsia="Arial" w:hAnsi="Arial"/>
                <w:sz w:val="18"/>
                <w:szCs w:val="18"/>
                <w:color w:val="auto"/>
                <w:w w:val="84"/>
              </w:rPr>
              <w:t>Years Ended</w:t>
            </w:r>
          </w:p>
        </w:tc>
        <w:tc>
          <w:tcPr>
            <w:tcW w:w="10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1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8"/>
                <w:szCs w:val="18"/>
                <w:color w:val="auto"/>
              </w:rPr>
              <w:t>September 30</w:t>
            </w:r>
          </w:p>
        </w:tc>
        <w:tc>
          <w:tcPr>
            <w:tcW w:w="1920" w:type="dxa"/>
            <w:vAlign w:val="bottom"/>
          </w:tcPr>
          <w:p>
            <w:pPr>
              <w:spacing w:after="0"/>
              <w:rPr>
                <w:sz w:val="19"/>
                <w:szCs w:val="19"/>
                <w:color w:val="auto"/>
              </w:rPr>
            </w:pPr>
          </w:p>
        </w:tc>
      </w:tr>
      <w:tr>
        <w:trPr>
          <w:trHeight w:val="231"/>
        </w:trPr>
        <w:tc>
          <w:tcPr>
            <w:tcW w:w="190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4"/>
              </w:rPr>
              <w:t>2020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1920" w:type="dxa"/>
            <w:vAlign w:val="bottom"/>
          </w:tcPr>
          <w:p>
            <w:pPr>
              <w:spacing w:after="0"/>
              <w:rPr>
                <w:sz w:val="20"/>
                <w:szCs w:val="20"/>
                <w:color w:val="auto"/>
              </w:rPr>
            </w:pPr>
          </w:p>
        </w:tc>
      </w:tr>
      <w:tr>
        <w:trPr>
          <w:trHeight w:val="23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674,230,463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$654,585,723</w:t>
            </w:r>
          </w:p>
        </w:tc>
        <w:tc>
          <w:tcPr>
            <w:tcW w:w="1920" w:type="dxa"/>
            <w:vAlign w:val="bottom"/>
          </w:tcPr>
          <w:p>
            <w:pPr>
              <w:spacing w:after="0"/>
              <w:rPr>
                <w:sz w:val="20"/>
                <w:szCs w:val="20"/>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Annuities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109,522,112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113,579,831</w:t>
            </w:r>
          </w:p>
        </w:tc>
        <w:tc>
          <w:tcPr>
            <w:tcW w:w="1920" w:type="dxa"/>
            <w:vAlign w:val="bottom"/>
          </w:tcPr>
          <w:p>
            <w:pPr>
              <w:spacing w:after="0"/>
              <w:rPr>
                <w:sz w:val="20"/>
                <w:szCs w:val="20"/>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Policyholder account balances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44,026,809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45,154,180</w:t>
            </w:r>
          </w:p>
        </w:tc>
        <w:tc>
          <w:tcPr>
            <w:tcW w:w="1920" w:type="dxa"/>
            <w:vAlign w:val="bottom"/>
          </w:tcPr>
          <w:p>
            <w:pPr>
              <w:spacing w:after="0"/>
              <w:rPr>
                <w:sz w:val="21"/>
                <w:szCs w:val="2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Accident and health</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651,140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667,428</w:t>
            </w:r>
          </w:p>
        </w:tc>
        <w:tc>
          <w:tcPr>
            <w:tcW w:w="1920" w:type="dxa"/>
            <w:vAlign w:val="bottom"/>
          </w:tcPr>
          <w:p>
            <w:pPr>
              <w:spacing w:after="0"/>
              <w:rPr>
                <w:sz w:val="20"/>
                <w:szCs w:val="20"/>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policyholder funds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4,354,746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4,530,227</w:t>
            </w:r>
          </w:p>
        </w:tc>
        <w:tc>
          <w:tcPr>
            <w:tcW w:w="1920" w:type="dxa"/>
            <w:vAlign w:val="bottom"/>
          </w:tcPr>
          <w:p>
            <w:pPr>
              <w:spacing w:after="0"/>
              <w:rPr>
                <w:sz w:val="21"/>
                <w:szCs w:val="2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Reported but unpaid claims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8,689,723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4,891,922</w:t>
            </w:r>
          </w:p>
        </w:tc>
        <w:tc>
          <w:tcPr>
            <w:tcW w:w="1920" w:type="dxa"/>
            <w:vAlign w:val="bottom"/>
          </w:tcPr>
          <w:p>
            <w:pPr>
              <w:spacing w:after="0"/>
              <w:rPr>
                <w:sz w:val="20"/>
                <w:szCs w:val="20"/>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but not reported claims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3,315,094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2,191,607</w:t>
            </w:r>
          </w:p>
        </w:tc>
        <w:tc>
          <w:tcPr>
            <w:tcW w:w="1920" w:type="dxa"/>
            <w:vAlign w:val="bottom"/>
          </w:tcPr>
          <w:p>
            <w:pPr>
              <w:spacing w:after="0"/>
              <w:rPr>
                <w:sz w:val="21"/>
                <w:szCs w:val="21"/>
                <w:color w:val="auto"/>
              </w:rPr>
            </w:pPr>
          </w:p>
        </w:tc>
      </w:tr>
      <w:tr>
        <w:trPr>
          <w:trHeight w:val="237"/>
        </w:trPr>
        <w:tc>
          <w:tcPr>
            <w:tcW w:w="190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r>
        <w:trPr>
          <w:trHeight w:val="230"/>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future policy benefits and unpaid claims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844,790,087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$825,600,918</w:t>
            </w:r>
          </w:p>
        </w:tc>
        <w:tc>
          <w:tcPr>
            <w:tcW w:w="1920" w:type="dxa"/>
            <w:vAlign w:val="bottom"/>
          </w:tcPr>
          <w:p>
            <w:pPr>
              <w:spacing w:after="0"/>
              <w:rPr>
                <w:sz w:val="20"/>
                <w:szCs w:val="20"/>
                <w:color w:val="auto"/>
              </w:rPr>
            </w:pPr>
          </w:p>
        </w:tc>
      </w:tr>
      <w:tr>
        <w:trPr>
          <w:trHeight w:val="20"/>
        </w:trPr>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7"/>
        </w:trPr>
        <w:tc>
          <w:tcPr>
            <w:tcW w:w="1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reinsurers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920" w:type="dxa"/>
            <w:vAlign w:val="bottom"/>
          </w:tcPr>
          <w:p>
            <w:pPr>
              <w:spacing w:after="0"/>
              <w:rPr>
                <w:sz w:val="18"/>
                <w:szCs w:val="18"/>
                <w:color w:val="auto"/>
              </w:rPr>
            </w:pPr>
          </w:p>
        </w:tc>
      </w:tr>
      <w:tr>
        <w:trPr>
          <w:trHeight w:val="237"/>
        </w:trPr>
        <w:tc>
          <w:tcPr>
            <w:tcW w:w="1900" w:type="dxa"/>
            <w:vAlign w:val="bottom"/>
            <w:tcBorders>
              <w:top w:val="single" w:sz="8" w:color="auto"/>
            </w:tcBorders>
          </w:tcPr>
          <w:p>
            <w:pPr>
              <w:spacing w:after="0"/>
              <w:rPr>
                <w:sz w:val="20"/>
                <w:szCs w:val="20"/>
                <w:color w:val="auto"/>
              </w:rPr>
            </w:pPr>
          </w:p>
        </w:tc>
        <w:tc>
          <w:tcPr>
            <w:tcW w:w="216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9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1920" w:type="dxa"/>
            <w:vAlign w:val="bottom"/>
          </w:tcPr>
          <w:p>
            <w:pPr>
              <w:spacing w:after="0"/>
              <w:rPr>
                <w:sz w:val="20"/>
                <w:szCs w:val="20"/>
                <w:color w:val="auto"/>
              </w:rPr>
            </w:pPr>
          </w:p>
        </w:tc>
      </w:tr>
      <w:tr>
        <w:trPr>
          <w:trHeight w:val="23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10,841,567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11,040,398</w:t>
            </w:r>
          </w:p>
        </w:tc>
        <w:tc>
          <w:tcPr>
            <w:tcW w:w="1920" w:type="dxa"/>
            <w:vAlign w:val="bottom"/>
          </w:tcPr>
          <w:p>
            <w:pPr>
              <w:spacing w:after="0"/>
              <w:rPr>
                <w:sz w:val="20"/>
                <w:szCs w:val="20"/>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Annuities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4,047,301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4,038,007</w:t>
            </w:r>
          </w:p>
        </w:tc>
        <w:tc>
          <w:tcPr>
            <w:tcW w:w="1920" w:type="dxa"/>
            <w:vAlign w:val="bottom"/>
          </w:tcPr>
          <w:p>
            <w:pPr>
              <w:spacing w:after="0"/>
              <w:rPr>
                <w:sz w:val="20"/>
                <w:szCs w:val="20"/>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Accident and health</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90,113</w:t>
            </w:r>
          </w:p>
        </w:tc>
        <w:tc>
          <w:tcPr>
            <w:tcW w:w="1920" w:type="dxa"/>
            <w:vAlign w:val="bottom"/>
          </w:tcPr>
          <w:p>
            <w:pPr>
              <w:spacing w:after="0"/>
              <w:rPr>
                <w:sz w:val="21"/>
                <w:szCs w:val="2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Reported but unpaid claims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571,057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569,250</w:t>
            </w:r>
          </w:p>
        </w:tc>
        <w:tc>
          <w:tcPr>
            <w:tcW w:w="1920" w:type="dxa"/>
            <w:vAlign w:val="bottom"/>
          </w:tcPr>
          <w:p>
            <w:pPr>
              <w:spacing w:after="0"/>
              <w:rPr>
                <w:sz w:val="20"/>
                <w:szCs w:val="20"/>
                <w:color w:val="auto"/>
              </w:rPr>
            </w:pPr>
          </w:p>
        </w:tc>
      </w:tr>
      <w:tr>
        <w:trPr>
          <w:trHeight w:val="244"/>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but not reported claims</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920" w:type="dxa"/>
            <w:vAlign w:val="bottom"/>
          </w:tcPr>
          <w:p>
            <w:pPr>
              <w:spacing w:after="0"/>
              <w:rPr>
                <w:sz w:val="21"/>
                <w:szCs w:val="21"/>
                <w:color w:val="auto"/>
              </w:rPr>
            </w:pPr>
          </w:p>
        </w:tc>
      </w:tr>
      <w:tr>
        <w:trPr>
          <w:trHeight w:val="237"/>
        </w:trPr>
        <w:tc>
          <w:tcPr>
            <w:tcW w:w="190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r>
        <w:trPr>
          <w:trHeight w:val="231"/>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receivable from reinsurers</w:t>
            </w: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15,569,156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15,747,768</w:t>
            </w:r>
          </w:p>
        </w:tc>
        <w:tc>
          <w:tcPr>
            <w:tcW w:w="1920" w:type="dxa"/>
            <w:vAlign w:val="bottom"/>
          </w:tcPr>
          <w:p>
            <w:pPr>
              <w:spacing w:after="0"/>
              <w:rPr>
                <w:sz w:val="20"/>
                <w:szCs w:val="20"/>
                <w:color w:val="auto"/>
              </w:rPr>
            </w:pPr>
          </w:p>
        </w:tc>
      </w:tr>
      <w:tr>
        <w:trPr>
          <w:trHeight w:val="237"/>
        </w:trPr>
        <w:tc>
          <w:tcPr>
            <w:tcW w:w="190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r>
        <w:trPr>
          <w:trHeight w:val="230"/>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future policy benefits and unpaid claims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829,220,931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$809,853,150</w:t>
            </w:r>
          </w:p>
        </w:tc>
        <w:tc>
          <w:tcPr>
            <w:tcW w:w="1920" w:type="dxa"/>
            <w:vAlign w:val="bottom"/>
          </w:tcPr>
          <w:p>
            <w:pPr>
              <w:spacing w:after="0"/>
              <w:rPr>
                <w:sz w:val="20"/>
                <w:szCs w:val="20"/>
                <w:color w:val="auto"/>
              </w:rPr>
            </w:pPr>
          </w:p>
        </w:tc>
      </w:tr>
      <w:tr>
        <w:trPr>
          <w:trHeight w:val="20"/>
        </w:trPr>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28"/>
        </w:trPr>
        <w:tc>
          <w:tcPr>
            <w:tcW w:w="1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9"/>
        </w:trPr>
        <w:tc>
          <w:tcPr>
            <w:tcW w:w="1900" w:type="dxa"/>
            <w:vAlign w:val="bottom"/>
            <w:tcBorders>
              <w:bottom w:val="single" w:sz="8" w:color="909090"/>
            </w:tcBorders>
          </w:tcPr>
          <w:p>
            <w:pPr>
              <w:spacing w:after="0"/>
              <w:rPr>
                <w:sz w:val="15"/>
                <w:szCs w:val="15"/>
                <w:color w:val="auto"/>
              </w:rPr>
            </w:pPr>
          </w:p>
        </w:tc>
        <w:tc>
          <w:tcPr>
            <w:tcW w:w="2160" w:type="dxa"/>
            <w:vAlign w:val="bottom"/>
            <w:tcBorders>
              <w:bottom w:val="single" w:sz="8" w:color="909090"/>
            </w:tcBorders>
          </w:tcPr>
          <w:p>
            <w:pPr>
              <w:spacing w:after="0"/>
              <w:rPr>
                <w:sz w:val="15"/>
                <w:szCs w:val="15"/>
                <w:color w:val="auto"/>
              </w:rPr>
            </w:pPr>
          </w:p>
        </w:tc>
        <w:tc>
          <w:tcPr>
            <w:tcW w:w="520" w:type="dxa"/>
            <w:vAlign w:val="bottom"/>
            <w:tcBorders>
              <w:bottom w:val="single" w:sz="8" w:color="909090"/>
            </w:tcBorders>
          </w:tcPr>
          <w:p>
            <w:pPr>
              <w:spacing w:after="0"/>
              <w:rPr>
                <w:sz w:val="15"/>
                <w:szCs w:val="15"/>
                <w:color w:val="auto"/>
              </w:rPr>
            </w:pPr>
          </w:p>
        </w:tc>
        <w:tc>
          <w:tcPr>
            <w:tcW w:w="960" w:type="dxa"/>
            <w:vAlign w:val="bottom"/>
            <w:tcBorders>
              <w:bottom w:val="single" w:sz="8" w:color="909090"/>
            </w:tcBorders>
          </w:tcPr>
          <w:p>
            <w:pPr>
              <w:spacing w:after="0"/>
              <w:rPr>
                <w:sz w:val="15"/>
                <w:szCs w:val="15"/>
                <w:color w:val="auto"/>
              </w:rPr>
            </w:pPr>
          </w:p>
        </w:tc>
        <w:tc>
          <w:tcPr>
            <w:tcW w:w="80" w:type="dxa"/>
            <w:vAlign w:val="bottom"/>
            <w:tcBorders>
              <w:bottom w:val="single" w:sz="8" w:color="909090"/>
            </w:tcBorders>
          </w:tcPr>
          <w:p>
            <w:pPr>
              <w:spacing w:after="0"/>
              <w:rPr>
                <w:sz w:val="15"/>
                <w:szCs w:val="15"/>
                <w:color w:val="auto"/>
              </w:rPr>
            </w:pPr>
          </w:p>
        </w:tc>
        <w:tc>
          <w:tcPr>
            <w:tcW w:w="320" w:type="dxa"/>
            <w:vAlign w:val="bottom"/>
            <w:tcBorders>
              <w:bottom w:val="single" w:sz="8" w:color="909090"/>
            </w:tcBorders>
          </w:tcPr>
          <w:p>
            <w:pPr>
              <w:spacing w:after="0"/>
              <w:rPr>
                <w:sz w:val="15"/>
                <w:szCs w:val="15"/>
                <w:color w:val="auto"/>
              </w:rPr>
            </w:pPr>
          </w:p>
        </w:tc>
        <w:tc>
          <w:tcPr>
            <w:tcW w:w="1000" w:type="dxa"/>
            <w:vAlign w:val="bottom"/>
            <w:tcBorders>
              <w:bottom w:val="single" w:sz="8" w:color="909090"/>
            </w:tcBorders>
          </w:tcPr>
          <w:p>
            <w:pPr>
              <w:spacing w:after="0"/>
              <w:rPr>
                <w:sz w:val="15"/>
                <w:szCs w:val="15"/>
                <w:color w:val="auto"/>
              </w:rPr>
            </w:pPr>
          </w:p>
        </w:tc>
        <w:tc>
          <w:tcPr>
            <w:tcW w:w="1920" w:type="dxa"/>
            <w:vAlign w:val="bottom"/>
            <w:tcBorders>
              <w:bottom w:val="single" w:sz="8" w:color="909090"/>
            </w:tcBorders>
          </w:tcPr>
          <w:p>
            <w:pPr>
              <w:spacing w:after="0"/>
              <w:rPr>
                <w:sz w:val="15"/>
                <w:szCs w:val="15"/>
                <w:color w:val="auto"/>
              </w:rPr>
            </w:pPr>
          </w:p>
        </w:tc>
      </w:tr>
    </w:tbl>
    <w:p>
      <w:pPr>
        <w:sectPr>
          <w:pgSz w:w="11900" w:h="16838" w:orient="portrait"/>
          <w:cols w:equalWidth="0" w:num="1">
            <w:col w:w="9184"/>
          </w:cols>
          <w:pgMar w:left="1275" w:top="122" w:right="1440" w:bottom="1440" w:gutter="0" w:footer="0" w:header="0"/>
        </w:sectPr>
      </w:pPr>
    </w:p>
    <w:bookmarkStart w:id="107" w:name="page108"/>
    <w:bookmarkEnd w:id="107"/>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40" w:lineRule="exact"/>
        <w:rPr>
          <w:sz w:val="20"/>
          <w:szCs w:val="20"/>
          <w:color w:val="auto"/>
        </w:rPr>
      </w:pPr>
    </w:p>
    <w:p>
      <w:pPr>
        <w:ind w:left="625" w:hanging="625"/>
        <w:spacing w:after="0"/>
        <w:tabs>
          <w:tab w:leader="none" w:pos="625"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p>
    <w:p>
      <w:pPr>
        <w:spacing w:after="0" w:line="230"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 reports revenues from contracts with customers pursuant to ASC No. 606, Revenue from Contracts with Customers.</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Contracts with Customers</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Information about Performance Obligations and Contract Balances</w:t>
      </w:r>
    </w:p>
    <w:p>
      <w:pPr>
        <w:spacing w:after="0" w:line="230"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2020 and 2019, the balances were $13,080,179 and 12,607,978, respectively.</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three types of future obligations are as follows:</w:t>
      </w:r>
    </w:p>
    <w:p>
      <w:pPr>
        <w:spacing w:after="0" w:line="230"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i w:val="1"/>
          <w:iCs w:val="1"/>
          <w:u w:val="single" w:color="auto"/>
          <w:color w:val="auto"/>
        </w:rPr>
        <w:t>Pre-need Merchandise and Service Revenue</w:t>
      </w:r>
      <w:r>
        <w:rPr>
          <w:rFonts w:ascii="Arial" w:cs="Arial" w:eastAsia="Arial" w:hAnsi="Arial"/>
          <w:sz w:val="19"/>
          <w:szCs w:val="19"/>
          <w:color w:val="auto"/>
        </w:rPr>
        <w:t>: All pre-need merchandise and service revenue is deferred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funds are placed in trust until the need arises, the merchandise is received or the service is performed. The trust is then relieved, and the revenue and commissions are recognized. As of December 31, 2020 and 2019, the balances were $12,545,753 and $12,325,437, respectively.</w:t>
      </w:r>
    </w:p>
    <w:p>
      <w:pPr>
        <w:spacing w:after="0" w:line="189"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ordered from a manufacturer such as markers and bases. When specialty merchandise is ordered, it can take time to manufacture and deliver the product. Revenue is deferred until the at-need merchandise is received. As of December 31, 2020 and 2019, the balances were $534,426 and $282,541, respectively. Deferred revenue for at-need specialty revenue is not placed in trust.</w:t>
      </w:r>
    </w:p>
    <w:p>
      <w:pPr>
        <w:spacing w:after="0" w:line="177" w:lineRule="exact"/>
        <w:rPr>
          <w:sz w:val="20"/>
          <w:szCs w:val="20"/>
          <w:color w:val="auto"/>
        </w:rPr>
      </w:pPr>
    </w:p>
    <w:p>
      <w:pPr>
        <w:jc w:val="both"/>
        <w:ind w:left="5" w:right="319"/>
        <w:spacing w:after="0" w:line="306" w:lineRule="auto"/>
        <w:rPr>
          <w:sz w:val="20"/>
          <w:szCs w:val="20"/>
          <w:color w:val="auto"/>
        </w:rPr>
      </w:pPr>
      <w:r>
        <w:rPr>
          <w:rFonts w:ascii="Arial" w:cs="Arial" w:eastAsia="Arial" w:hAnsi="Arial"/>
          <w:sz w:val="17"/>
          <w:szCs w:val="17"/>
          <w:i w:val="1"/>
          <w:iCs w:val="1"/>
          <w:u w:val="single" w:color="auto"/>
          <w:color w:val="auto"/>
        </w:rPr>
        <w:t>Deferred Pre-need Land Revenue</w:t>
      </w:r>
      <w:r>
        <w:rPr>
          <w:rFonts w:ascii="Arial" w:cs="Arial" w:eastAsia="Arial" w:hAnsi="Arial"/>
          <w:sz w:val="17"/>
          <w:szCs w:val="17"/>
          <w:color w:val="auto"/>
        </w:rPr>
        <w:t>: Deferred pre-need revenue and corresponding commissions are deferred until</w:t>
      </w:r>
      <w:r>
        <w:rPr>
          <w:rFonts w:ascii="Arial" w:cs="Arial" w:eastAsia="Arial" w:hAnsi="Arial"/>
          <w:sz w:val="17"/>
          <w:szCs w:val="17"/>
          <w:i w:val="1"/>
          <w:iCs w:val="1"/>
          <w:color w:val="auto"/>
        </w:rPr>
        <w:t xml:space="preserve"> </w:t>
      </w:r>
      <w:r>
        <w:rPr>
          <w:rFonts w:ascii="Arial" w:cs="Arial" w:eastAsia="Arial" w:hAnsi="Arial"/>
          <w:sz w:val="17"/>
          <w:szCs w:val="17"/>
          <w:color w:val="auto"/>
        </w:rPr>
        <w:t>10% of the funds are received from the customer through regular monthly payments. As of December 31, 2020 and 2019, the balances were $-0- and $-0-, respectively. Deferred pre-need land revenue is not placed in trust.</w:t>
      </w:r>
    </w:p>
    <w:p>
      <w:pPr>
        <w:spacing w:after="0" w:line="149" w:lineRule="exact"/>
        <w:rPr>
          <w:sz w:val="20"/>
          <w:szCs w:val="20"/>
          <w:color w:val="auto"/>
        </w:rPr>
      </w:pPr>
    </w:p>
    <w:p>
      <w:pPr>
        <w:jc w:val="both"/>
        <w:ind w:left="5" w:right="319"/>
        <w:spacing w:after="0" w:line="269" w:lineRule="auto"/>
        <w:rPr>
          <w:sz w:val="20"/>
          <w:szCs w:val="20"/>
          <w:color w:val="auto"/>
        </w:rPr>
      </w:pPr>
      <w:r>
        <w:rPr>
          <w:rFonts w:ascii="Arial" w:cs="Arial" w:eastAsia="Arial" w:hAnsi="Arial"/>
          <w:sz w:val="18"/>
          <w:szCs w:val="18"/>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9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108" w:name="page109"/>
    <w:bookmarkEnd w:id="108"/>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19"/>
        <w:spacing w:after="0" w:line="276" w:lineRule="auto"/>
        <w:rPr>
          <w:sz w:val="20"/>
          <w:szCs w:val="20"/>
          <w:color w:val="auto"/>
        </w:rPr>
      </w:pPr>
      <w:r>
        <w:rPr>
          <w:rFonts w:ascii="Arial" w:cs="Arial" w:eastAsia="Arial" w:hAnsi="Arial"/>
          <w:sz w:val="19"/>
          <w:szCs w:val="19"/>
          <w:color w:val="auto"/>
        </w:rPr>
        <w:t>The opening and closing balances of the Company’s receivables, contract assets and contract liabilities are as follows:</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Contract Balances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1"/>
        </w:trPr>
        <w:tc>
          <w:tcPr>
            <w:tcW w:w="3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Receivables (1)</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Contract Asset</w:t>
            </w: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Contract Liability</w:t>
            </w:r>
          </w:p>
        </w:tc>
      </w:tr>
      <w:tr>
        <w:trPr>
          <w:trHeight w:val="23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Opening (1/1/2020)</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2,778,879</w:t>
            </w:r>
          </w:p>
        </w:tc>
        <w:tc>
          <w:tcPr>
            <w:tcW w:w="132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12,607,978</w:t>
            </w:r>
          </w:p>
        </w:tc>
      </w:tr>
      <w:tr>
        <w:trPr>
          <w:trHeight w:val="231"/>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Closing (12/31/2020)</w:t>
            </w: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4,119,988</w:t>
            </w:r>
          </w:p>
        </w:tc>
        <w:tc>
          <w:tcPr>
            <w:tcW w:w="1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13,080,179</w:t>
            </w:r>
          </w:p>
        </w:tc>
      </w:tr>
      <w:tr>
        <w:trPr>
          <w:trHeight w:val="23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6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1,341,109</w:t>
            </w:r>
          </w:p>
        </w:tc>
        <w:tc>
          <w:tcPr>
            <w:tcW w:w="13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472,201</w:t>
            </w:r>
          </w:p>
        </w:tc>
      </w:tr>
      <w:tr>
        <w:trPr>
          <w:trHeight w:val="20"/>
        </w:trPr>
        <w:tc>
          <w:tcPr>
            <w:tcW w:w="3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8"/>
        </w:trPr>
        <w:tc>
          <w:tcPr>
            <w:tcW w:w="3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Contract Balances</w:t>
            </w: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1"/>
        </w:trPr>
        <w:tc>
          <w:tcPr>
            <w:tcW w:w="3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Receivables (1)</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Contract Asset</w:t>
            </w: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color w:val="auto"/>
              </w:rPr>
              <w:t>Contract Liability</w:t>
            </w:r>
          </w:p>
        </w:tc>
      </w:tr>
      <w:tr>
        <w:trPr>
          <w:trHeight w:val="23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Opening (1/1/2019)</w:t>
            </w: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2,816,225</w:t>
            </w:r>
          </w:p>
        </w:tc>
        <w:tc>
          <w:tcPr>
            <w:tcW w:w="132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12,508,625</w:t>
            </w:r>
          </w:p>
        </w:tc>
      </w:tr>
      <w:tr>
        <w:trPr>
          <w:trHeight w:val="231"/>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Closing (12/31/2019)</w:t>
            </w: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2,778,879</w:t>
            </w:r>
          </w:p>
        </w:tc>
        <w:tc>
          <w:tcPr>
            <w:tcW w:w="1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12,607,978</w:t>
            </w:r>
          </w:p>
        </w:tc>
      </w:tr>
      <w:tr>
        <w:trPr>
          <w:trHeight w:val="23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6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(37,346)</w:t>
            </w:r>
          </w:p>
        </w:tc>
        <w:tc>
          <w:tcPr>
            <w:tcW w:w="13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99,353</w:t>
            </w:r>
          </w:p>
        </w:tc>
      </w:tr>
      <w:tr>
        <w:trPr>
          <w:trHeight w:val="20"/>
        </w:trPr>
        <w:tc>
          <w:tcPr>
            <w:tcW w:w="3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8121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218" w:lineRule="exact"/>
        <w:rPr>
          <w:sz w:val="20"/>
          <w:szCs w:val="20"/>
          <w:color w:val="auto"/>
        </w:rPr>
      </w:pPr>
    </w:p>
    <w:p>
      <w:pPr>
        <w:ind w:left="5"/>
        <w:spacing w:after="0"/>
        <w:rPr>
          <w:sz w:val="20"/>
          <w:szCs w:val="20"/>
          <w:color w:val="auto"/>
        </w:rPr>
      </w:pPr>
      <w:r>
        <w:rPr>
          <w:rFonts w:ascii="Arial" w:cs="Arial" w:eastAsia="Arial" w:hAnsi="Arial"/>
          <w:sz w:val="18"/>
          <w:szCs w:val="18"/>
          <w:color w:val="auto"/>
        </w:rPr>
        <w:t>(1) Included in Receivables, net on the consolidated balance sheets</w:t>
      </w:r>
    </w:p>
    <w:p>
      <w:pPr>
        <w:spacing w:after="0" w:line="237"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table disaggregates the opening and closing balances of the Company’s contract balances.</w:t>
      </w:r>
    </w:p>
    <w:p>
      <w:pPr>
        <w:sectPr>
          <w:pgSz w:w="11900" w:h="16838" w:orient="portrait"/>
          <w:cols w:equalWidth="0" w:num="1">
            <w:col w:w="9184"/>
          </w:cols>
          <w:pgMar w:left="1275"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
        <w:spacing w:after="0"/>
        <w:rPr>
          <w:sz w:val="20"/>
          <w:szCs w:val="20"/>
          <w:color w:val="auto"/>
        </w:rPr>
      </w:pPr>
      <w:r>
        <w:rPr>
          <w:rFonts w:ascii="Arial" w:cs="Arial" w:eastAsia="Arial" w:hAnsi="Arial"/>
          <w:sz w:val="15"/>
          <w:szCs w:val="15"/>
          <w:color w:val="auto"/>
        </w:rPr>
        <w:t>Pre-need merchandise and services</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8"/>
          <w:szCs w:val="18"/>
          <w:color w:val="auto"/>
        </w:rPr>
        <w:t>At-need specialty merchandise</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Pre-need land sales</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8"/>
          <w:szCs w:val="18"/>
          <w:color w:val="auto"/>
        </w:rPr>
        <w:t>Opening (1/1/2020)</w:t>
      </w:r>
    </w:p>
    <w:p>
      <w:pPr>
        <w:spacing w:after="0" w:line="294" w:lineRule="exact"/>
        <w:rPr>
          <w:sz w:val="20"/>
          <w:szCs w:val="20"/>
          <w:color w:val="auto"/>
        </w:rPr>
      </w:pPr>
    </w:p>
    <w:p>
      <w:pPr>
        <w:ind w:left="5"/>
        <w:spacing w:after="0"/>
        <w:rPr>
          <w:sz w:val="20"/>
          <w:szCs w:val="20"/>
          <w:color w:val="auto"/>
        </w:rPr>
      </w:pPr>
      <w:r>
        <w:rPr>
          <w:rFonts w:ascii="Arial" w:cs="Arial" w:eastAsia="Arial" w:hAnsi="Arial"/>
          <w:sz w:val="15"/>
          <w:szCs w:val="15"/>
          <w:color w:val="auto"/>
        </w:rPr>
        <w:t>Pre-need merchandise and services</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8"/>
          <w:szCs w:val="18"/>
          <w:color w:val="auto"/>
        </w:rPr>
        <w:t>At-need specialty merchandise</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Pre-need land sales</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8"/>
          <w:szCs w:val="18"/>
          <w:color w:val="auto"/>
        </w:rPr>
        <w:t>Closing (12/31/2020)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
        <w:spacing w:after="0"/>
        <w:rPr>
          <w:sz w:val="20"/>
          <w:szCs w:val="20"/>
          <w:color w:val="auto"/>
        </w:rPr>
      </w:pPr>
      <w:r>
        <w:rPr>
          <w:rFonts w:ascii="Arial" w:cs="Arial" w:eastAsia="Arial" w:hAnsi="Arial"/>
          <w:sz w:val="15"/>
          <w:szCs w:val="15"/>
          <w:color w:val="auto"/>
        </w:rPr>
        <w:t>Pre-need merchandise and services</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8"/>
          <w:szCs w:val="18"/>
          <w:color w:val="auto"/>
        </w:rPr>
        <w:t>At-need specialty merchandise</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Pre-need land sales</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8"/>
          <w:szCs w:val="18"/>
          <w:color w:val="auto"/>
        </w:rPr>
        <w:t>Opening (1/1/2019)</w:t>
      </w:r>
    </w:p>
    <w:p>
      <w:pPr>
        <w:spacing w:after="0" w:line="294" w:lineRule="exact"/>
        <w:rPr>
          <w:sz w:val="20"/>
          <w:szCs w:val="20"/>
          <w:color w:val="auto"/>
        </w:rPr>
      </w:pPr>
    </w:p>
    <w:p>
      <w:pPr>
        <w:ind w:left="5"/>
        <w:spacing w:after="0"/>
        <w:rPr>
          <w:sz w:val="20"/>
          <w:szCs w:val="20"/>
          <w:color w:val="auto"/>
        </w:rPr>
      </w:pPr>
      <w:r>
        <w:rPr>
          <w:rFonts w:ascii="Arial" w:cs="Arial" w:eastAsia="Arial" w:hAnsi="Arial"/>
          <w:sz w:val="15"/>
          <w:szCs w:val="15"/>
          <w:color w:val="auto"/>
        </w:rPr>
        <w:t>Pre-need merchandise and services</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8"/>
          <w:szCs w:val="18"/>
          <w:color w:val="auto"/>
        </w:rPr>
        <w:t>At-need specialty merchandise</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Pre-need land sales</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8"/>
          <w:szCs w:val="18"/>
          <w:color w:val="auto"/>
        </w:rPr>
        <w:t>Closing (12/31/2019)</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Contract Balances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Contract Asset</w:t>
            </w:r>
          </w:p>
        </w:tc>
        <w:tc>
          <w:tcPr>
            <w:tcW w:w="34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Contract Liability</w:t>
            </w:r>
          </w:p>
        </w:tc>
      </w:tr>
      <w:tr>
        <w:trPr>
          <w:trHeight w:val="223"/>
        </w:trPr>
        <w:tc>
          <w:tcPr>
            <w:tcW w:w="1460" w:type="dxa"/>
            <w:vAlign w:val="bottom"/>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12,325,437</w:t>
            </w:r>
          </w:p>
        </w:tc>
      </w:tr>
      <w:tr>
        <w:trPr>
          <w:trHeight w:val="237"/>
        </w:trPr>
        <w:tc>
          <w:tcPr>
            <w:tcW w:w="1460" w:type="dxa"/>
            <w:vAlign w:val="bottom"/>
          </w:tcPr>
          <w:p>
            <w:pPr>
              <w:spacing w:after="0"/>
              <w:rPr>
                <w:sz w:val="20"/>
                <w:szCs w:val="20"/>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282,541</w:t>
            </w:r>
          </w:p>
        </w:tc>
      </w:tr>
      <w:tr>
        <w:trPr>
          <w:trHeight w:val="245"/>
        </w:trPr>
        <w:tc>
          <w:tcPr>
            <w:tcW w:w="1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146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12,607,978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7"/>
        </w:trPr>
        <w:tc>
          <w:tcPr>
            <w:tcW w:w="1460" w:type="dxa"/>
            <w:vAlign w:val="bottom"/>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12,545,753</w:t>
            </w:r>
          </w:p>
        </w:tc>
      </w:tr>
      <w:tr>
        <w:trPr>
          <w:trHeight w:val="237"/>
        </w:trPr>
        <w:tc>
          <w:tcPr>
            <w:tcW w:w="1460" w:type="dxa"/>
            <w:vAlign w:val="bottom"/>
          </w:tcPr>
          <w:p>
            <w:pPr>
              <w:spacing w:after="0"/>
              <w:rPr>
                <w:sz w:val="20"/>
                <w:szCs w:val="20"/>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534,426</w:t>
            </w:r>
          </w:p>
        </w:tc>
      </w:tr>
      <w:tr>
        <w:trPr>
          <w:trHeight w:val="245"/>
        </w:trPr>
        <w:tc>
          <w:tcPr>
            <w:tcW w:w="1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146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13,080,179</w:t>
            </w:r>
          </w:p>
        </w:tc>
      </w:tr>
      <w:tr>
        <w:trPr>
          <w:trHeight w:val="20"/>
        </w:trPr>
        <w:tc>
          <w:tcPr>
            <w:tcW w:w="258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4"/>
        </w:trPr>
        <w:tc>
          <w:tcPr>
            <w:tcW w:w="25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color w:val="auto"/>
              </w:rPr>
              <w:t>Contract Balances</w:t>
            </w:r>
          </w:p>
        </w:tc>
        <w:tc>
          <w:tcPr>
            <w:tcW w:w="980" w:type="dxa"/>
            <w:vAlign w:val="bottom"/>
            <w:tcBorders>
              <w:bottom w:val="single" w:sz="8" w:color="auto"/>
            </w:tcBorders>
          </w:tcPr>
          <w:p>
            <w:pPr>
              <w:spacing w:after="0"/>
              <w:rPr>
                <w:sz w:val="24"/>
                <w:szCs w:val="24"/>
                <w:color w:val="auto"/>
              </w:rPr>
            </w:pPr>
          </w:p>
        </w:tc>
      </w:tr>
      <w:tr>
        <w:trPr>
          <w:trHeight w:val="231"/>
        </w:trPr>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Contract Asset</w:t>
            </w: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Contract Liability</w:t>
            </w:r>
          </w:p>
        </w:tc>
      </w:tr>
      <w:tr>
        <w:trPr>
          <w:trHeight w:val="223"/>
        </w:trPr>
        <w:tc>
          <w:tcPr>
            <w:tcW w:w="1460" w:type="dxa"/>
            <w:vAlign w:val="bottom"/>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12,175,943</w:t>
            </w:r>
          </w:p>
        </w:tc>
      </w:tr>
      <w:tr>
        <w:trPr>
          <w:trHeight w:val="237"/>
        </w:trPr>
        <w:tc>
          <w:tcPr>
            <w:tcW w:w="1460" w:type="dxa"/>
            <w:vAlign w:val="bottom"/>
          </w:tcPr>
          <w:p>
            <w:pPr>
              <w:spacing w:after="0"/>
              <w:rPr>
                <w:sz w:val="20"/>
                <w:szCs w:val="20"/>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327,302</w:t>
            </w:r>
          </w:p>
        </w:tc>
      </w:tr>
      <w:tr>
        <w:trPr>
          <w:trHeight w:val="245"/>
        </w:trPr>
        <w:tc>
          <w:tcPr>
            <w:tcW w:w="1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w:t>
            </w:r>
          </w:p>
        </w:tc>
      </w:tr>
      <w:tr>
        <w:trPr>
          <w:trHeight w:val="231"/>
        </w:trPr>
        <w:tc>
          <w:tcPr>
            <w:tcW w:w="146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12,508,625</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7"/>
        </w:trPr>
        <w:tc>
          <w:tcPr>
            <w:tcW w:w="1460" w:type="dxa"/>
            <w:vAlign w:val="bottom"/>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12,325,437</w:t>
            </w:r>
          </w:p>
        </w:tc>
      </w:tr>
      <w:tr>
        <w:trPr>
          <w:trHeight w:val="237"/>
        </w:trPr>
        <w:tc>
          <w:tcPr>
            <w:tcW w:w="1460" w:type="dxa"/>
            <w:vAlign w:val="bottom"/>
          </w:tcPr>
          <w:p>
            <w:pPr>
              <w:spacing w:after="0"/>
              <w:rPr>
                <w:sz w:val="20"/>
                <w:szCs w:val="20"/>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282,541</w:t>
            </w:r>
          </w:p>
        </w:tc>
      </w:tr>
      <w:tr>
        <w:trPr>
          <w:trHeight w:val="245"/>
        </w:trPr>
        <w:tc>
          <w:tcPr>
            <w:tcW w:w="1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146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12,607,978</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-3324225</wp:posOffset>
            </wp:positionV>
            <wp:extent cx="4128770" cy="159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28770" cy="15938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-3014345</wp:posOffset>
            </wp:positionV>
            <wp:extent cx="4128770" cy="150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28770" cy="15049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-2696210</wp:posOffset>
            </wp:positionV>
            <wp:extent cx="4128770" cy="167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8770" cy="16764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-2378075</wp:posOffset>
            </wp:positionV>
            <wp:extent cx="4128770" cy="150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8770" cy="15049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-2076450</wp:posOffset>
            </wp:positionV>
            <wp:extent cx="4128770" cy="167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8770" cy="16764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-1431290</wp:posOffset>
            </wp:positionV>
            <wp:extent cx="4128770" cy="159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28770" cy="15938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-1121410</wp:posOffset>
            </wp:positionV>
            <wp:extent cx="4128770" cy="150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28770" cy="15049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-803275</wp:posOffset>
            </wp:positionV>
            <wp:extent cx="4128770" cy="167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28770" cy="167640"/>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-485140</wp:posOffset>
            </wp:positionV>
            <wp:extent cx="4128770" cy="150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8770" cy="15049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-183515</wp:posOffset>
            </wp:positionV>
            <wp:extent cx="4128770" cy="167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28770" cy="167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5" w:space="460"/>
            <w:col w:w="6239"/>
          </w:cols>
          <w:pgMar w:left="1275" w:top="122" w:right="1440" w:bottom="1440" w:gutter="0" w:footer="0" w:header="0"/>
          <w:type w:val="continuous"/>
        </w:sectPr>
      </w:pPr>
    </w:p>
    <w:p>
      <w:pPr>
        <w:spacing w:after="0" w:line="25" w:lineRule="exact"/>
        <w:rPr>
          <w:sz w:val="20"/>
          <w:szCs w:val="20"/>
          <w:color w:val="auto"/>
        </w:rPr>
      </w:pPr>
    </w:p>
    <w:p>
      <w:pPr>
        <w:jc w:val="center"/>
        <w:ind w:right="314"/>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5628005" cy="33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type w:val="continuous"/>
        </w:sectPr>
      </w:pPr>
    </w:p>
    <w:bookmarkStart w:id="109" w:name="page110"/>
    <w:bookmarkEnd w:id="109"/>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right="339"/>
        <w:spacing w:after="0" w:line="276" w:lineRule="auto"/>
        <w:rPr>
          <w:sz w:val="20"/>
          <w:szCs w:val="20"/>
          <w:color w:val="auto"/>
        </w:rPr>
      </w:pPr>
      <w:r>
        <w:rPr>
          <w:rFonts w:ascii="Arial" w:cs="Arial" w:eastAsia="Arial" w:hAnsi="Arial"/>
          <w:sz w:val="19"/>
          <w:szCs w:val="19"/>
          <w:color w:val="auto"/>
        </w:rPr>
        <w:t>The amount of revenue recognized for the years ended December 31, 2020 and 2019 that was included in the opening contract liability balance was $4,359,709 and $3,558,103, respectively.</w:t>
      </w:r>
    </w:p>
    <w:p>
      <w:pPr>
        <w:spacing w:after="0" w:line="170" w:lineRule="exact"/>
        <w:rPr>
          <w:sz w:val="20"/>
          <w:szCs w:val="20"/>
          <w:color w:val="auto"/>
        </w:rPr>
      </w:pPr>
    </w:p>
    <w:p>
      <w:pPr>
        <w:ind w:left="5" w:right="319"/>
        <w:spacing w:after="0" w:line="337"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Disaggregation of Revenue</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table disaggregates revenue for the Company’s cemetery and mortuary contracts.</w:t>
      </w:r>
    </w:p>
    <w:p>
      <w:pPr>
        <w:sectPr>
          <w:pgSz w:w="11900" w:h="16838" w:orient="portrait"/>
          <w:cols w:equalWidth="0" w:num="1">
            <w:col w:w="9184"/>
          </w:cols>
          <w:pgMar w:left="1275"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Major goods/service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3702050" cy="150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702050" cy="150495"/>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color w:val="auto"/>
        </w:rPr>
        <w:t>At-need</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Pre-need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3702050" cy="167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02050" cy="16764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 w:right="78"/>
        <w:spacing w:after="0" w:line="365" w:lineRule="auto"/>
        <w:rPr>
          <w:sz w:val="20"/>
          <w:szCs w:val="20"/>
          <w:color w:val="auto"/>
        </w:rPr>
      </w:pPr>
      <w:r>
        <w:rPr>
          <w:rFonts w:ascii="Arial" w:cs="Arial" w:eastAsia="Arial" w:hAnsi="Arial"/>
          <w:sz w:val="15"/>
          <w:szCs w:val="15"/>
          <w:u w:val="single" w:color="auto"/>
          <w:color w:val="auto"/>
        </w:rPr>
        <w:t xml:space="preserve">Timing of Revenue Recognition </w:t>
      </w:r>
      <w:r>
        <w:rPr>
          <w:rFonts w:ascii="Arial" w:cs="Arial" w:eastAsia="Arial" w:hAnsi="Arial"/>
          <w:sz w:val="15"/>
          <w:szCs w:val="15"/>
          <w:color w:val="auto"/>
        </w:rPr>
        <w:t>Goods transferred at a point in time 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3702050" cy="1504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02050" cy="150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3702050" cy="167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702050" cy="167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597"/>
        <w:spacing w:after="0"/>
        <w:rPr>
          <w:sz w:val="20"/>
          <w:szCs w:val="20"/>
          <w:color w:val="auto"/>
        </w:rPr>
      </w:pPr>
      <w:r>
        <w:rPr>
          <w:rFonts w:ascii="Arial" w:cs="Arial" w:eastAsia="Arial" w:hAnsi="Arial"/>
          <w:sz w:val="16"/>
          <w:szCs w:val="16"/>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33655</wp:posOffset>
            </wp:positionV>
            <wp:extent cx="16751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7" w:lineRule="exact"/>
        <w:rPr>
          <w:sz w:val="20"/>
          <w:szCs w:val="20"/>
          <w:color w:val="auto"/>
        </w:rPr>
      </w:pPr>
    </w:p>
    <w:p>
      <w:pPr>
        <w:ind w:left="242"/>
        <w:spacing w:after="0"/>
        <w:tabs>
          <w:tab w:leader="none" w:pos="1522"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19050</wp:posOffset>
            </wp:positionV>
            <wp:extent cx="16751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61" w:lineRule="exact"/>
        <w:rPr>
          <w:sz w:val="20"/>
          <w:szCs w:val="20"/>
          <w:color w:val="auto"/>
        </w:rPr>
      </w:pPr>
    </w:p>
    <w:p>
      <w:pPr>
        <w:jc w:val="right"/>
        <w:ind w:right="3359"/>
        <w:spacing w:after="0"/>
        <w:tabs>
          <w:tab w:leader="none" w:pos="2100" w:val="left"/>
          <w:tab w:leader="none" w:pos="1040" w:val="left"/>
          <w:tab w:leader="none" w:pos="780" w:val="left"/>
        </w:tabs>
        <w:rPr>
          <w:sz w:val="20"/>
          <w:szCs w:val="20"/>
          <w:color w:val="auto"/>
        </w:rPr>
      </w:pPr>
      <w:r>
        <w:rPr>
          <w:rFonts w:ascii="Arial" w:cs="Arial" w:eastAsia="Arial" w:hAnsi="Arial"/>
          <w:sz w:val="18"/>
          <w:szCs w:val="18"/>
          <w:color w:val="auto"/>
        </w:rPr>
        <w:t>$</w:t>
        <w:tab/>
        <w:t>15,212,822</w:t>
        <w:tab/>
        <w:t>$</w:t>
      </w:r>
      <w:r>
        <w:rPr>
          <w:sz w:val="20"/>
          <w:szCs w:val="20"/>
          <w:color w:val="auto"/>
        </w:rPr>
        <w:tab/>
      </w:r>
      <w:r>
        <w:rPr>
          <w:rFonts w:ascii="Arial" w:cs="Arial" w:eastAsia="Arial" w:hAnsi="Arial"/>
          <w:sz w:val="15"/>
          <w:szCs w:val="15"/>
          <w:color w:val="auto"/>
        </w:rPr>
        <w:t>12,334,777</w:t>
      </w:r>
    </w:p>
    <w:p>
      <w:pPr>
        <w:spacing w:after="0" w:line="30" w:lineRule="exact"/>
        <w:rPr>
          <w:sz w:val="20"/>
          <w:szCs w:val="20"/>
          <w:color w:val="auto"/>
        </w:rPr>
      </w:pPr>
    </w:p>
    <w:p>
      <w:pPr>
        <w:jc w:val="both"/>
        <w:ind w:left="342"/>
        <w:spacing w:after="0"/>
        <w:tabs>
          <w:tab w:leader="none" w:pos="1642" w:val="left"/>
        </w:tabs>
        <w:rPr>
          <w:sz w:val="20"/>
          <w:szCs w:val="20"/>
          <w:color w:val="auto"/>
        </w:rPr>
      </w:pPr>
      <w:r>
        <w:rPr>
          <w:rFonts w:ascii="Arial" w:cs="Arial" w:eastAsia="Arial" w:hAnsi="Arial"/>
          <w:sz w:val="18"/>
          <w:szCs w:val="18"/>
          <w:color w:val="auto"/>
        </w:rPr>
        <w:t>5,094,613</w:t>
      </w:r>
      <w:r>
        <w:rPr>
          <w:sz w:val="20"/>
          <w:szCs w:val="20"/>
          <w:color w:val="auto"/>
        </w:rPr>
        <w:tab/>
      </w:r>
      <w:r>
        <w:rPr>
          <w:rFonts w:ascii="Arial" w:cs="Arial" w:eastAsia="Arial" w:hAnsi="Arial"/>
          <w:sz w:val="18"/>
          <w:szCs w:val="18"/>
          <w:color w:val="auto"/>
        </w:rPr>
        <w:t>2,961,458</w:t>
      </w:r>
    </w:p>
    <w:p>
      <w:pPr>
        <w:spacing w:after="0" w:line="44" w:lineRule="exact"/>
        <w:rPr>
          <w:sz w:val="20"/>
          <w:szCs w:val="20"/>
          <w:color w:val="auto"/>
        </w:rPr>
      </w:pPr>
    </w:p>
    <w:p>
      <w:pPr>
        <w:ind w:left="2"/>
        <w:spacing w:after="0"/>
        <w:tabs>
          <w:tab w:leader="none" w:pos="242" w:val="left"/>
          <w:tab w:leader="none" w:pos="1302" w:val="left"/>
          <w:tab w:leader="none" w:pos="1562" w:val="left"/>
        </w:tabs>
        <w:rPr>
          <w:sz w:val="20"/>
          <w:szCs w:val="20"/>
          <w:color w:val="auto"/>
        </w:rPr>
      </w:pPr>
      <w:r>
        <w:rPr>
          <w:rFonts w:ascii="Arial" w:cs="Arial" w:eastAsia="Arial" w:hAnsi="Arial"/>
          <w:sz w:val="18"/>
          <w:szCs w:val="18"/>
          <w:color w:val="auto"/>
        </w:rPr>
        <w:t>$</w:t>
        <w:tab/>
        <w:t>20,307,435</w:t>
        <w:tab/>
        <w:t>$</w:t>
      </w:r>
      <w:r>
        <w:rPr>
          <w:sz w:val="20"/>
          <w:szCs w:val="20"/>
          <w:color w:val="auto"/>
        </w:rPr>
        <w:tab/>
      </w:r>
      <w:r>
        <w:rPr>
          <w:rFonts w:ascii="Arial" w:cs="Arial" w:eastAsia="Arial" w:hAnsi="Arial"/>
          <w:sz w:val="15"/>
          <w:szCs w:val="15"/>
          <w:color w:val="auto"/>
        </w:rPr>
        <w:t>15,296,235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35560</wp:posOffset>
            </wp:positionV>
            <wp:extent cx="1675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62" w:hanging="262"/>
        <w:spacing w:after="0"/>
        <w:tabs>
          <w:tab w:leader="none" w:pos="26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13,438,592   $  10,133,723</w:t>
      </w:r>
    </w:p>
    <w:p>
      <w:pPr>
        <w:spacing w:after="0" w:line="53"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8"/>
          <w:szCs w:val="18"/>
          <w:color w:val="auto"/>
        </w:rPr>
        <w:t>6,868,843</w:t>
      </w:r>
      <w:r>
        <w:rPr>
          <w:rFonts w:ascii="Arial" w:cs="Arial" w:eastAsia="Arial" w:hAnsi="Arial"/>
          <w:sz w:val="16"/>
          <w:szCs w:val="16"/>
          <w:color w:val="auto"/>
        </w:rPr>
        <w:t>5,162,512</w:t>
      </w:r>
    </w:p>
    <w:p>
      <w:pPr>
        <w:spacing w:after="0" w:line="44" w:lineRule="exact"/>
        <w:rPr>
          <w:sz w:val="20"/>
          <w:szCs w:val="20"/>
          <w:color w:val="auto"/>
        </w:rPr>
      </w:pPr>
    </w:p>
    <w:p>
      <w:pPr>
        <w:ind w:left="2"/>
        <w:spacing w:after="0"/>
        <w:tabs>
          <w:tab w:leader="none" w:pos="242" w:val="left"/>
          <w:tab w:leader="none" w:pos="1302" w:val="left"/>
          <w:tab w:leader="none" w:pos="1562" w:val="left"/>
        </w:tabs>
        <w:rPr>
          <w:sz w:val="20"/>
          <w:szCs w:val="20"/>
          <w:color w:val="auto"/>
        </w:rPr>
      </w:pPr>
      <w:r>
        <w:rPr>
          <w:rFonts w:ascii="Arial" w:cs="Arial" w:eastAsia="Arial" w:hAnsi="Arial"/>
          <w:sz w:val="18"/>
          <w:szCs w:val="18"/>
          <w:color w:val="auto"/>
        </w:rPr>
        <w:t>$</w:t>
        <w:tab/>
        <w:t>20,307,435</w:t>
        <w:tab/>
        <w:t>$</w:t>
      </w:r>
      <w:r>
        <w:rPr>
          <w:sz w:val="20"/>
          <w:szCs w:val="20"/>
          <w:color w:val="auto"/>
        </w:rPr>
        <w:tab/>
      </w:r>
      <w:r>
        <w:rPr>
          <w:rFonts w:ascii="Arial" w:cs="Arial" w:eastAsia="Arial" w:hAnsi="Arial"/>
          <w:sz w:val="15"/>
          <w:szCs w:val="15"/>
          <w:color w:val="auto"/>
        </w:rPr>
        <w:t>15,296,235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35560</wp:posOffset>
            </wp:positionV>
            <wp:extent cx="16751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3" w:space="720"/>
            <w:col w:w="5741"/>
          </w:cols>
          <w:pgMar w:left="1275" w:top="121" w:right="1440" w:bottom="1440" w:gutter="0" w:footer="0" w:header="0"/>
          <w:type w:val="continuous"/>
        </w:sectPr>
      </w:pPr>
    </w:p>
    <w:p>
      <w:pPr>
        <w:spacing w:after="0" w:line="7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Significant Judgments and Estimates</w:t>
      </w:r>
    </w:p>
    <w:p>
      <w:pPr>
        <w:spacing w:after="0" w:line="236" w:lineRule="exact"/>
        <w:rPr>
          <w:sz w:val="20"/>
          <w:szCs w:val="20"/>
          <w:color w:val="auto"/>
        </w:rPr>
      </w:pPr>
    </w:p>
    <w:p>
      <w:pPr>
        <w:jc w:val="both"/>
        <w:ind w:left="5" w:right="319"/>
        <w:spacing w:after="0" w:line="271" w:lineRule="auto"/>
        <w:rPr>
          <w:sz w:val="20"/>
          <w:szCs w:val="20"/>
          <w:color w:val="auto"/>
        </w:rPr>
      </w:pPr>
      <w:r>
        <w:rPr>
          <w:rFonts w:ascii="Arial" w:cs="Arial" w:eastAsia="Arial" w:hAnsi="Arial"/>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when revenue should be recognized.</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Practical Expedients</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 has not elected to use any of the practical expedients under ASC 606.</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Contract Costs</w:t>
      </w:r>
    </w:p>
    <w:p>
      <w:pPr>
        <w:spacing w:after="0" w:line="236"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Company's cemetery and mortuary segment defers certain costs associated with obtaining a contract on future obligations.</w:t>
      </w:r>
    </w:p>
    <w:p>
      <w:pPr>
        <w:spacing w:after="0" w:line="170" w:lineRule="exact"/>
        <w:rPr>
          <w:sz w:val="20"/>
          <w:szCs w:val="20"/>
          <w:color w:val="auto"/>
        </w:rPr>
      </w:pPr>
    </w:p>
    <w:p>
      <w:pPr>
        <w:jc w:val="both"/>
        <w:ind w:left="5" w:right="319"/>
        <w:spacing w:after="0" w:line="290"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Pre-need merchandise and service revenues are deferred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goods or services are delivered. Recognition 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64" w:lineRule="exact"/>
        <w:rPr>
          <w:sz w:val="20"/>
          <w:szCs w:val="20"/>
          <w:color w:val="auto"/>
        </w:rPr>
      </w:pPr>
    </w:p>
    <w:p>
      <w:pPr>
        <w:jc w:val="both"/>
        <w:ind w:left="5" w:right="319"/>
        <w:spacing w:after="0" w:line="256" w:lineRule="auto"/>
        <w:rPr>
          <w:sz w:val="20"/>
          <w:szCs w:val="20"/>
          <w:color w:val="auto"/>
        </w:rPr>
      </w:pPr>
      <w:r>
        <w:rPr>
          <w:rFonts w:ascii="Arial" w:cs="Arial" w:eastAsia="Arial" w:hAnsi="Arial"/>
          <w:sz w:val="19"/>
          <w:szCs w:val="19"/>
          <w:i w:val="1"/>
          <w:iCs w:val="1"/>
          <w:u w:val="single" w:color="auto"/>
          <w:color w:val="auto"/>
        </w:rPr>
        <w:t>At-need Specialty Merchandise Revenue</w:t>
      </w:r>
      <w:r>
        <w:rPr>
          <w:rFonts w:ascii="Arial" w:cs="Arial" w:eastAsia="Arial" w:hAnsi="Arial"/>
          <w:sz w:val="19"/>
          <w:szCs w:val="19"/>
          <w:color w:val="auto"/>
        </w:rPr>
        <w:t>: At-need specialty merchandise is ordered from a third-party</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manufacturer. Generally, at-need specialty merchandise is ordered and received within 90 days of order. These orders are also short-term in nature and are deferred until the product is received from the manufacturer and the obligation is satisfied.</w:t>
      </w:r>
    </w:p>
    <w:p>
      <w:pPr>
        <w:spacing w:after="0" w:line="206"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type w:val="continuous"/>
        </w:sectPr>
      </w:pPr>
    </w:p>
    <w:bookmarkStart w:id="110" w:name="page111"/>
    <w:bookmarkEnd w:id="110"/>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214" w:lineRule="exact"/>
        <w:rPr>
          <w:sz w:val="20"/>
          <w:szCs w:val="20"/>
          <w:color w:val="auto"/>
        </w:rPr>
      </w:pPr>
    </w:p>
    <w:p>
      <w:pPr>
        <w:ind w:left="625" w:hanging="625"/>
        <w:spacing w:after="0"/>
        <w:tabs>
          <w:tab w:leader="none" w:pos="625"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r>
        <w:rPr>
          <w:rFonts w:ascii="Arial" w:cs="Arial" w:eastAsia="Arial" w:hAnsi="Arial"/>
          <w:sz w:val="19"/>
          <w:szCs w:val="19"/>
          <w:color w:val="auto"/>
        </w:rPr>
        <w:t xml:space="preserve"> (Continued)</w:t>
      </w:r>
    </w:p>
    <w:p>
      <w:pPr>
        <w:spacing w:after="0" w:line="256" w:lineRule="exact"/>
        <w:rPr>
          <w:sz w:val="20"/>
          <w:szCs w:val="20"/>
          <w:color w:val="auto"/>
        </w:rPr>
      </w:pPr>
    </w:p>
    <w:p>
      <w:pPr>
        <w:jc w:val="both"/>
        <w:ind w:left="5" w:right="319"/>
        <w:spacing w:after="0" w:line="261" w:lineRule="auto"/>
        <w:rPr>
          <w:sz w:val="20"/>
          <w:szCs w:val="20"/>
          <w:color w:val="auto"/>
        </w:rPr>
      </w:pPr>
      <w:r>
        <w:rPr>
          <w:rFonts w:ascii="Arial" w:cs="Arial" w:eastAsia="Arial" w:hAnsi="Arial"/>
          <w:sz w:val="19"/>
          <w:szCs w:val="19"/>
          <w:i w:val="1"/>
          <w:iCs w:val="1"/>
          <w:u w:val="single" w:color="auto"/>
          <w:color w:val="auto"/>
        </w:rPr>
        <w:t>Deferred Pre-need Land Revenue</w:t>
      </w:r>
      <w:r>
        <w:rPr>
          <w:rFonts w:ascii="Arial" w:cs="Arial" w:eastAsia="Arial" w:hAnsi="Arial"/>
          <w:sz w:val="19"/>
          <w:szCs w:val="19"/>
          <w:color w:val="auto"/>
        </w:rPr>
        <w:t>: Revenue is recognized on pre-need land sales when the customer has paid at</w:t>
      </w:r>
      <w:r>
        <w:rPr>
          <w:rFonts w:ascii="Arial" w:cs="Arial" w:eastAsia="Arial" w:hAnsi="Arial"/>
          <w:sz w:val="19"/>
          <w:szCs w:val="19"/>
          <w:i w:val="1"/>
          <w:iCs w:val="1"/>
          <w:color w:val="auto"/>
        </w:rPr>
        <w:t xml:space="preserve"> </w:t>
      </w:r>
      <w:r>
        <w:rPr>
          <w:rFonts w:ascii="Arial" w:cs="Arial" w:eastAsia="Arial" w:hAnsi="Arial"/>
          <w:sz w:val="19"/>
          <w:szCs w:val="19"/>
          <w:color w:val="auto"/>
        </w:rPr>
        <w:t>least 10% toward the land price. In cases, where customers pay less than 10%, the revenue and associated commissions are deferred until such time when 10% of the contract price is received.</w:t>
      </w:r>
    </w:p>
    <w:p>
      <w:pPr>
        <w:spacing w:after="0" w:line="79"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The following table disaggregates contract costs that are included in deferred policy and pre-need contract acquisition costs on the consolidated balances sheets.</w:t>
      </w:r>
    </w:p>
    <w:p>
      <w:pPr>
        <w:sectPr>
          <w:pgSz w:w="11900" w:h="16838" w:orient="portrait"/>
          <w:cols w:equalWidth="0" w:num="1">
            <w:col w:w="9184"/>
          </w:cols>
          <w:pgMar w:left="1275"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
        <w:spacing w:after="0"/>
        <w:rPr>
          <w:sz w:val="20"/>
          <w:szCs w:val="20"/>
          <w:color w:val="auto"/>
        </w:rPr>
      </w:pPr>
      <w:r>
        <w:rPr>
          <w:rFonts w:ascii="Arial" w:cs="Arial" w:eastAsia="Arial" w:hAnsi="Arial"/>
          <w:sz w:val="15"/>
          <w:szCs w:val="15"/>
          <w:color w:val="auto"/>
        </w:rPr>
        <w:t>Pre-need merchandise and services</w:t>
      </w:r>
    </w:p>
    <w:p>
      <w:pPr>
        <w:spacing w:after="0" w:line="65" w:lineRule="exact"/>
        <w:rPr>
          <w:sz w:val="20"/>
          <w:szCs w:val="20"/>
          <w:color w:val="auto"/>
        </w:rPr>
      </w:pPr>
    </w:p>
    <w:p>
      <w:pPr>
        <w:ind w:left="5"/>
        <w:spacing w:after="0"/>
        <w:rPr>
          <w:sz w:val="20"/>
          <w:szCs w:val="20"/>
          <w:color w:val="auto"/>
        </w:rPr>
      </w:pPr>
      <w:r>
        <w:rPr>
          <w:rFonts w:ascii="Arial" w:cs="Arial" w:eastAsia="Arial" w:hAnsi="Arial"/>
          <w:sz w:val="18"/>
          <w:szCs w:val="18"/>
          <w:color w:val="auto"/>
        </w:rPr>
        <w:t>At-need specialty merchandise</w:t>
      </w:r>
    </w:p>
    <w:p>
      <w:pPr>
        <w:spacing w:after="0" w:line="30" w:lineRule="exact"/>
        <w:rPr>
          <w:sz w:val="20"/>
          <w:szCs w:val="20"/>
          <w:color w:val="auto"/>
        </w:rPr>
      </w:pPr>
    </w:p>
    <w:p>
      <w:pPr>
        <w:ind w:left="5"/>
        <w:spacing w:after="0"/>
        <w:rPr>
          <w:sz w:val="20"/>
          <w:szCs w:val="20"/>
          <w:color w:val="auto"/>
        </w:rPr>
      </w:pPr>
      <w:r>
        <w:rPr>
          <w:rFonts w:ascii="Arial" w:cs="Arial" w:eastAsia="Arial" w:hAnsi="Arial"/>
          <w:sz w:val="18"/>
          <w:szCs w:val="18"/>
          <w:color w:val="auto"/>
        </w:rPr>
        <w:t>Pre-need land sales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rPr>
              <w:t>2019</w:t>
            </w:r>
          </w:p>
        </w:tc>
      </w:tr>
      <w:tr>
        <w:trPr>
          <w:trHeight w:val="223"/>
        </w:trPr>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3,601,638</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3,590,266</w:t>
            </w:r>
          </w:p>
        </w:tc>
      </w:tr>
      <w:tr>
        <w:trPr>
          <w:trHeight w:val="237"/>
        </w:trPr>
        <w:tc>
          <w:tcPr>
            <w:tcW w:w="520" w:type="dxa"/>
            <w:vAlign w:val="bottom"/>
          </w:tcPr>
          <w:p>
            <w:pPr>
              <w:spacing w:after="0"/>
              <w:rPr>
                <w:sz w:val="20"/>
                <w:szCs w:val="20"/>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5,302</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10,688</w:t>
            </w:r>
          </w:p>
        </w:tc>
      </w:tr>
      <w:tr>
        <w:trPr>
          <w:trHeight w:val="245"/>
        </w:trPr>
        <w:tc>
          <w:tcPr>
            <w:tcW w:w="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3,606,940</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3,600,954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-644525</wp:posOffset>
            </wp:positionV>
            <wp:extent cx="3961130" cy="159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61130" cy="159385"/>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-334645</wp:posOffset>
            </wp:positionV>
            <wp:extent cx="3961130" cy="150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61130"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5" w:space="540"/>
            <w:col w:w="6159"/>
          </w:cols>
          <w:pgMar w:left="1275" w:top="121" w:right="1440" w:bottom="1440" w:gutter="0" w:footer="0" w:header="0"/>
          <w:type w:val="continuous"/>
        </w:sectPr>
      </w:pPr>
    </w:p>
    <w:p>
      <w:pPr>
        <w:spacing w:after="0" w:line="7" w:lineRule="exact"/>
        <w:rPr>
          <w:sz w:val="20"/>
          <w:szCs w:val="20"/>
          <w:color w:val="auto"/>
        </w:rPr>
      </w:pPr>
    </w:p>
    <w:p>
      <w:pPr>
        <w:ind w:left="625" w:hanging="625"/>
        <w:spacing w:after="0"/>
        <w:tabs>
          <w:tab w:leader="none" w:pos="62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Leases</w:t>
      </w:r>
    </w:p>
    <w:p>
      <w:pPr>
        <w:spacing w:after="0" w:line="243" w:lineRule="exact"/>
        <w:rPr>
          <w:sz w:val="20"/>
          <w:szCs w:val="20"/>
          <w:color w:val="auto"/>
        </w:rPr>
      </w:pPr>
    </w:p>
    <w:p>
      <w:pPr>
        <w:jc w:val="both"/>
        <w:ind w:left="5" w:right="319"/>
        <w:spacing w:after="0" w:line="276" w:lineRule="auto"/>
        <w:rPr>
          <w:sz w:val="20"/>
          <w:szCs w:val="20"/>
          <w:color w:val="auto"/>
        </w:rPr>
      </w:pPr>
      <w:r>
        <w:rPr>
          <w:rFonts w:ascii="Arial" w:cs="Arial" w:eastAsia="Arial" w:hAnsi="Arial"/>
          <w:sz w:val="19"/>
          <w:szCs w:val="19"/>
          <w:color w:val="auto"/>
        </w:rPr>
        <w:t>On January 1, 2019, the Company adopted Accounting Standards Update No. 2016-02 regarding Leases ASC Topic 842. See Note 1 regarding the adoption of this standard.</w:t>
      </w:r>
    </w:p>
    <w:p>
      <w:pPr>
        <w:spacing w:after="0" w:line="170" w:lineRule="exact"/>
        <w:rPr>
          <w:sz w:val="20"/>
          <w:szCs w:val="20"/>
          <w:color w:val="auto"/>
        </w:rPr>
      </w:pPr>
    </w:p>
    <w:p>
      <w:pPr>
        <w:jc w:val="both"/>
        <w:ind w:left="5" w:right="319"/>
        <w:spacing w:after="0" w:line="283" w:lineRule="auto"/>
        <w:rPr>
          <w:sz w:val="20"/>
          <w:szCs w:val="20"/>
          <w:color w:val="auto"/>
        </w:rPr>
      </w:pPr>
      <w:r>
        <w:rPr>
          <w:rFonts w:ascii="Arial" w:cs="Arial" w:eastAsia="Arial" w:hAnsi="Arial"/>
          <w:sz w:val="17"/>
          <w:szCs w:val="17"/>
          <w:color w:val="auto"/>
        </w:rPr>
        <w:t>A lease is defined as a contract, or part of a contract, that conveys the right to control the use of identified property, plant, or equipment (an identified asset) for a period of time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6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Information about the Nature of Leases and Subleases</w:t>
      </w:r>
    </w:p>
    <w:p>
      <w:pPr>
        <w:spacing w:after="0" w:line="236" w:lineRule="exact"/>
        <w:rPr>
          <w:sz w:val="20"/>
          <w:szCs w:val="20"/>
          <w:color w:val="auto"/>
        </w:rPr>
      </w:pPr>
    </w:p>
    <w:p>
      <w:pPr>
        <w:jc w:val="both"/>
        <w:ind w:left="5" w:right="319"/>
        <w:spacing w:after="0" w:line="285" w:lineRule="auto"/>
        <w:rPr>
          <w:sz w:val="20"/>
          <w:szCs w:val="20"/>
          <w:color w:val="auto"/>
        </w:rPr>
      </w:pPr>
      <w:r>
        <w:rPr>
          <w:rFonts w:ascii="Arial" w:cs="Arial" w:eastAsia="Arial" w:hAnsi="Arial"/>
          <w:sz w:val="17"/>
          <w:szCs w:val="17"/>
          <w:color w:val="auto"/>
        </w:rPr>
        <w:t>The Company leases office space and equipment from third-parties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Leases that have not Commenced</w:t>
      </w:r>
    </w:p>
    <w:p>
      <w:pPr>
        <w:spacing w:after="0" w:line="236" w:lineRule="exact"/>
        <w:rPr>
          <w:sz w:val="20"/>
          <w:szCs w:val="20"/>
          <w:color w:val="auto"/>
        </w:rPr>
      </w:pPr>
    </w:p>
    <w:p>
      <w:pPr>
        <w:jc w:val="both"/>
        <w:ind w:left="5" w:right="339"/>
        <w:spacing w:after="0" w:line="276" w:lineRule="auto"/>
        <w:rPr>
          <w:sz w:val="20"/>
          <w:szCs w:val="20"/>
          <w:color w:val="auto"/>
        </w:rPr>
      </w:pPr>
      <w:r>
        <w:rPr>
          <w:rFonts w:ascii="Arial" w:cs="Arial" w:eastAsia="Arial" w:hAnsi="Arial"/>
          <w:sz w:val="19"/>
          <w:szCs w:val="19"/>
          <w:color w:val="auto"/>
        </w:rPr>
        <w:t>The Company does not have any leases that have not commenced that create significant rights or obligations for the Company.</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Related Party Lease Transactions</w:t>
      </w:r>
    </w:p>
    <w:p>
      <w:pPr>
        <w:spacing w:after="0" w:line="236" w:lineRule="exact"/>
        <w:rPr>
          <w:sz w:val="20"/>
          <w:szCs w:val="20"/>
          <w:color w:val="auto"/>
        </w:rPr>
      </w:pPr>
    </w:p>
    <w:p>
      <w:pPr>
        <w:jc w:val="center"/>
        <w:ind w:right="414"/>
        <w:spacing w:after="0"/>
        <w:rPr>
          <w:sz w:val="20"/>
          <w:szCs w:val="20"/>
          <w:color w:val="auto"/>
        </w:rPr>
      </w:pPr>
      <w:r>
        <w:rPr>
          <w:rFonts w:ascii="Arial" w:cs="Arial" w:eastAsia="Arial" w:hAnsi="Arial"/>
          <w:sz w:val="17"/>
          <w:szCs w:val="17"/>
          <w:color w:val="auto"/>
        </w:rPr>
        <w:t>The Company does not have any related party lease transactions that require disclosure as of December 31, 2020.</w:t>
      </w:r>
    </w:p>
    <w:p>
      <w:pPr>
        <w:spacing w:after="0" w:line="27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type w:val="continuous"/>
        </w:sectPr>
      </w:pPr>
    </w:p>
    <w:bookmarkStart w:id="111" w:name="page112"/>
    <w:bookmarkEnd w:id="111"/>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Leases</w:t>
      </w:r>
      <w:r>
        <w:rPr>
          <w:rFonts w:ascii="Arial" w:cs="Arial" w:eastAsia="Arial" w:hAnsi="Arial"/>
          <w:sz w:val="19"/>
          <w:szCs w:val="19"/>
          <w:color w:val="auto"/>
        </w:rPr>
        <w:t xml:space="preserve"> (Continued)</w:t>
      </w:r>
    </w:p>
    <w:p>
      <w:pPr>
        <w:spacing w:after="0" w:line="25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Short-term Leases</w:t>
      </w:r>
    </w:p>
    <w:p>
      <w:pPr>
        <w:spacing w:after="0" w:line="130" w:lineRule="exact"/>
        <w:rPr>
          <w:sz w:val="20"/>
          <w:szCs w:val="20"/>
          <w:color w:val="auto"/>
        </w:rPr>
      </w:pPr>
    </w:p>
    <w:p>
      <w:pPr>
        <w:jc w:val="both"/>
        <w:ind w:left="5" w:right="339"/>
        <w:spacing w:after="0" w:line="306" w:lineRule="auto"/>
        <w:rPr>
          <w:sz w:val="20"/>
          <w:szCs w:val="20"/>
          <w:color w:val="auto"/>
        </w:rPr>
      </w:pPr>
      <w:r>
        <w:rPr>
          <w:rFonts w:ascii="Arial" w:cs="Arial" w:eastAsia="Arial" w:hAnsi="Arial"/>
          <w:sz w:val="17"/>
          <w:szCs w:val="17"/>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Significant Judgments and Assumptions</w:t>
      </w:r>
    </w:p>
    <w:p>
      <w:pPr>
        <w:spacing w:after="0" w:line="236" w:lineRule="exact"/>
        <w:rPr>
          <w:sz w:val="20"/>
          <w:szCs w:val="20"/>
          <w:color w:val="auto"/>
        </w:rPr>
      </w:pPr>
    </w:p>
    <w:p>
      <w:pPr>
        <w:jc w:val="both"/>
        <w:ind w:left="5" w:right="319"/>
        <w:spacing w:after="0" w:line="253" w:lineRule="auto"/>
        <w:rPr>
          <w:sz w:val="20"/>
          <w:szCs w:val="20"/>
          <w:color w:val="auto"/>
        </w:rPr>
      </w:pPr>
      <w:r>
        <w:rPr>
          <w:rFonts w:ascii="Arial" w:cs="Arial" w:eastAsia="Arial" w:hAnsi="Arial"/>
          <w:sz w:val="19"/>
          <w:szCs w:val="19"/>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 use assets and cash flows from lease transactions for the period presented:</w:t>
      </w:r>
    </w:p>
    <w:p>
      <w:pPr>
        <w:spacing w:after="0" w:line="211"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61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6"/>
              </w:rPr>
              <w:t>Year Ended</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6"/>
              </w:rPr>
              <w:t>Year Ended</w:t>
            </w:r>
          </w:p>
        </w:tc>
      </w:tr>
      <w:tr>
        <w:trPr>
          <w:trHeight w:val="230"/>
        </w:trPr>
        <w:tc>
          <w:tcPr>
            <w:tcW w:w="6160" w:type="dxa"/>
            <w:vAlign w:val="bottom"/>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December 31</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December 31</w:t>
            </w:r>
          </w:p>
        </w:tc>
      </w:tr>
      <w:tr>
        <w:trPr>
          <w:trHeight w:val="231"/>
        </w:trPr>
        <w:tc>
          <w:tcPr>
            <w:tcW w:w="6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color w:val="auto"/>
                <w:w w:val="84"/>
              </w:rPr>
              <w:t>2020</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w w:val="89"/>
              </w:rPr>
              <w:t>2019</w:t>
            </w:r>
          </w:p>
        </w:tc>
      </w:tr>
      <w:tr>
        <w:trPr>
          <w:trHeight w:val="237"/>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Finance lease cost:</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4"/>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 (1)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Interest on lease liabilities (2)</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9,001</w:t>
            </w:r>
          </w:p>
        </w:tc>
      </w:tr>
      <w:tr>
        <w:trPr>
          <w:trHeight w:val="244"/>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 (3)</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5,408,737</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5,706,490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Short-term lease cost (3)(4)</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222,311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233,318</w:t>
            </w:r>
          </w:p>
        </w:tc>
      </w:tr>
      <w:tr>
        <w:trPr>
          <w:trHeight w:val="23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 (3)</w:t>
            </w:r>
          </w:p>
        </w:tc>
        <w:tc>
          <w:tcPr>
            <w:tcW w:w="5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(394,758)</w:t>
            </w: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(663,242)</w:t>
            </w:r>
          </w:p>
        </w:tc>
      </w:tr>
      <w:tr>
        <w:trPr>
          <w:trHeight w:val="277"/>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lease cost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5,302,207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5,323,918</w:t>
            </w:r>
          </w:p>
        </w:tc>
      </w:tr>
      <w:tr>
        <w:trPr>
          <w:trHeight w:val="217"/>
        </w:trPr>
        <w:tc>
          <w:tcPr>
            <w:tcW w:w="6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3"/>
        </w:trPr>
        <w:tc>
          <w:tcPr>
            <w:tcW w:w="616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2"/>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5,293,901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5,567,761</w:t>
            </w:r>
          </w:p>
        </w:tc>
      </w:tr>
      <w:tr>
        <w:trPr>
          <w:trHeight w:val="244"/>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56,982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95,931</w:t>
            </w:r>
          </w:p>
        </w:tc>
      </w:tr>
      <w:tr>
        <w:trPr>
          <w:trHeight w:val="244"/>
        </w:trPr>
        <w:tc>
          <w:tcPr>
            <w:tcW w:w="6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4"/>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5,631,193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16,544,406</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252,763</w:t>
            </w:r>
          </w:p>
        </w:tc>
      </w:tr>
      <w:tr>
        <w:trPr>
          <w:trHeight w:val="244"/>
        </w:trPr>
        <w:tc>
          <w:tcPr>
            <w:tcW w:w="6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4"/>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44"/>
        </w:trPr>
        <w:tc>
          <w:tcPr>
            <w:tcW w:w="6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4"/>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61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142875</wp:posOffset>
            </wp:positionV>
            <wp:extent cx="8959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9598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25" w:hanging="325"/>
        <w:spacing w:after="0"/>
        <w:tabs>
          <w:tab w:leader="none" w:pos="3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Included in Depreciation on property and equipment on the consolidated statements of earnings</w:t>
      </w:r>
    </w:p>
    <w:p>
      <w:pPr>
        <w:spacing w:after="0" w:line="15" w:lineRule="exact"/>
        <w:rPr>
          <w:rFonts w:ascii="Arial" w:cs="Arial" w:eastAsia="Arial" w:hAnsi="Arial"/>
          <w:sz w:val="18"/>
          <w:szCs w:val="18"/>
          <w:color w:val="auto"/>
        </w:rPr>
      </w:pPr>
    </w:p>
    <w:p>
      <w:pPr>
        <w:ind w:left="325" w:hanging="325"/>
        <w:spacing w:after="0"/>
        <w:tabs>
          <w:tab w:leader="none" w:pos="3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Included in Interest expense on the consolidated statements of earnings</w:t>
      </w:r>
    </w:p>
    <w:p>
      <w:pPr>
        <w:spacing w:after="0" w:line="4" w:lineRule="exact"/>
        <w:rPr>
          <w:rFonts w:ascii="Arial" w:cs="Arial" w:eastAsia="Arial" w:hAnsi="Arial"/>
          <w:sz w:val="18"/>
          <w:szCs w:val="18"/>
          <w:color w:val="auto"/>
        </w:rPr>
      </w:pPr>
    </w:p>
    <w:p>
      <w:pPr>
        <w:ind w:left="325" w:hanging="325"/>
        <w:spacing w:after="0"/>
        <w:tabs>
          <w:tab w:leader="none" w:pos="3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Included in Rent and rent related expenses on the consolidated statements of earnings</w:t>
      </w:r>
    </w:p>
    <w:p>
      <w:pPr>
        <w:spacing w:after="0" w:line="4" w:lineRule="exact"/>
        <w:rPr>
          <w:rFonts w:ascii="Arial" w:cs="Arial" w:eastAsia="Arial" w:hAnsi="Arial"/>
          <w:sz w:val="18"/>
          <w:szCs w:val="18"/>
          <w:color w:val="auto"/>
        </w:rPr>
      </w:pPr>
    </w:p>
    <w:p>
      <w:pPr>
        <w:ind w:left="325" w:hanging="325"/>
        <w:spacing w:after="0"/>
        <w:tabs>
          <w:tab w:leader="none" w:pos="3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leases with a term of 12 months or less</w:t>
      </w:r>
    </w:p>
    <w:p>
      <w:pPr>
        <w:spacing w:after="0" w:line="230"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2" w:right="1440" w:bottom="1440" w:gutter="0" w:footer="0" w:header="0"/>
        </w:sectPr>
      </w:pPr>
    </w:p>
    <w:bookmarkStart w:id="112" w:name="page113"/>
    <w:bookmarkEnd w:id="112"/>
    <w:p>
      <w:pPr>
        <w:jc w:val="center"/>
        <w:ind w:right="314"/>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Notes to Consolidated Financial Statements</w:t>
      </w:r>
    </w:p>
    <w:p>
      <w:pPr>
        <w:spacing w:after="0" w:line="6" w:lineRule="exact"/>
        <w:rPr>
          <w:sz w:val="20"/>
          <w:szCs w:val="20"/>
          <w:color w:val="auto"/>
        </w:rPr>
      </w:pPr>
    </w:p>
    <w:p>
      <w:pPr>
        <w:jc w:val="center"/>
        <w:ind w:right="314"/>
        <w:spacing w:after="0"/>
        <w:rPr>
          <w:sz w:val="20"/>
          <w:szCs w:val="20"/>
          <w:color w:val="auto"/>
        </w:rPr>
      </w:pPr>
      <w:r>
        <w:rPr>
          <w:rFonts w:ascii="Arial" w:cs="Arial" w:eastAsia="Arial" w:hAnsi="Arial"/>
          <w:sz w:val="19"/>
          <w:szCs w:val="19"/>
          <w:color w:val="auto"/>
        </w:rPr>
        <w:t>Years Ended December 31, 2020 and 2019</w:t>
      </w:r>
    </w:p>
    <w:p>
      <w:pPr>
        <w:spacing w:after="0" w:line="108" w:lineRule="exact"/>
        <w:rPr>
          <w:sz w:val="20"/>
          <w:szCs w:val="20"/>
          <w:color w:val="auto"/>
        </w:rPr>
      </w:pPr>
    </w:p>
    <w:p>
      <w:pPr>
        <w:ind w:left="625" w:hanging="625"/>
        <w:spacing w:after="0"/>
        <w:tabs>
          <w:tab w:leader="none" w:pos="62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Leases</w:t>
      </w:r>
      <w:r>
        <w:rPr>
          <w:rFonts w:ascii="Arial" w:cs="Arial" w:eastAsia="Arial" w:hAnsi="Arial"/>
          <w:sz w:val="19"/>
          <w:szCs w:val="19"/>
          <w:color w:val="auto"/>
        </w:rPr>
        <w:t xml:space="preserve"> (Continued)</w:t>
      </w:r>
    </w:p>
    <w:p>
      <w:pPr>
        <w:spacing w:after="0" w:line="256"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table presents the maturity analysis of the Company’s lease liabilities.</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w w:val="94"/>
              </w:rPr>
              <w:t>Finance Leases</w:t>
            </w:r>
          </w:p>
        </w:tc>
        <w:tc>
          <w:tcPr>
            <w:tcW w:w="14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w w:val="90"/>
              </w:rPr>
              <w:t>Operating Leases</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Lease payments due in:</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46,898</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4,344,756</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34,458</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3,004,271</w:t>
            </w:r>
          </w:p>
        </w:tc>
      </w:tr>
      <w:tr>
        <w:trPr>
          <w:trHeight w:val="24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27,220</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2,088,028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4,354</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1,567,924</w:t>
            </w:r>
          </w:p>
        </w:tc>
      </w:tr>
      <w:tr>
        <w:trPr>
          <w:trHeight w:val="24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837,526</w:t>
            </w:r>
          </w:p>
        </w:tc>
      </w:tr>
      <w:tr>
        <w:trPr>
          <w:trHeight w:val="231"/>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2,938,906</w:t>
            </w: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5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113,622</w:t>
            </w: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14,781,411</w:t>
            </w:r>
          </w:p>
        </w:tc>
      </w:tr>
      <w:tr>
        <w:trPr>
          <w:trHeight w:val="224"/>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 on cash flows</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(2,859,527)</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5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104,951</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11,921,884</w:t>
            </w:r>
          </w:p>
        </w:tc>
      </w:tr>
      <w:tr>
        <w:trPr>
          <w:trHeight w:val="20"/>
        </w:trPr>
        <w:tc>
          <w:tcPr>
            <w:tcW w:w="3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following table presents the Company’s right-of-use assets and lease liabilities for the period presented:</w:t>
      </w:r>
    </w:p>
    <w:p>
      <w:pPr>
        <w:spacing w:after="0" w:line="259"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Year Ended</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Year Ended</w:t>
            </w: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20" w:type="dxa"/>
            <w:vAlign w:val="bottom"/>
            <w:gridSpan w:val="2"/>
          </w:tcPr>
          <w:p>
            <w:pPr>
              <w:ind w:left="820"/>
              <w:spacing w:after="0"/>
              <w:rPr>
                <w:sz w:val="20"/>
                <w:szCs w:val="20"/>
                <w:color w:val="auto"/>
              </w:rPr>
            </w:pPr>
            <w:r>
              <w:rPr>
                <w:rFonts w:ascii="Arial" w:cs="Arial" w:eastAsia="Arial" w:hAnsi="Arial"/>
                <w:sz w:val="18"/>
                <w:szCs w:val="18"/>
                <w:color w:val="auto"/>
              </w:rPr>
              <w:t>Balance Sheet Location</w:t>
            </w:r>
          </w:p>
        </w:tc>
        <w:tc>
          <w:tcPr>
            <w:tcW w:w="1520" w:type="dxa"/>
            <w:vAlign w:val="bottom"/>
            <w:gridSpan w:val="2"/>
          </w:tcPr>
          <w:p>
            <w:pPr>
              <w:jc w:val="right"/>
              <w:ind w:right="12"/>
              <w:spacing w:after="0"/>
              <w:rPr>
                <w:sz w:val="20"/>
                <w:szCs w:val="20"/>
                <w:color w:val="auto"/>
              </w:rPr>
            </w:pPr>
            <w:r>
              <w:rPr>
                <w:rFonts w:ascii="Arial" w:cs="Arial" w:eastAsia="Arial" w:hAnsi="Arial"/>
                <w:sz w:val="18"/>
                <w:szCs w:val="18"/>
                <w:color w:val="auto"/>
                <w:w w:val="91"/>
              </w:rPr>
              <w:t>December 31 2020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88"/>
              </w:rPr>
              <w:t>December 31 2019</w:t>
            </w:r>
          </w:p>
        </w:tc>
      </w:tr>
      <w:tr>
        <w:trPr>
          <w:trHeight w:val="208"/>
        </w:trPr>
        <w:tc>
          <w:tcPr>
            <w:tcW w:w="1240" w:type="dxa"/>
            <w:vAlign w:val="bottom"/>
            <w:tcBorders>
              <w:bottom w:val="single" w:sz="8" w:color="auto"/>
            </w:tcBorders>
            <w:gridSpan w:val="2"/>
          </w:tcPr>
          <w:p>
            <w:pPr>
              <w:spacing w:after="0" w:line="198" w:lineRule="exact"/>
              <w:rPr>
                <w:sz w:val="20"/>
                <w:szCs w:val="20"/>
                <w:color w:val="auto"/>
              </w:rPr>
            </w:pPr>
            <w:r>
              <w:rPr>
                <w:rFonts w:ascii="Arial" w:cs="Arial" w:eastAsia="Arial" w:hAnsi="Arial"/>
                <w:sz w:val="18"/>
                <w:szCs w:val="18"/>
                <w:color w:val="auto"/>
                <w:w w:val="85"/>
              </w:rPr>
              <w:t>Operating Leases</w:t>
            </w:r>
          </w:p>
        </w:tc>
        <w:tc>
          <w:tcPr>
            <w:tcW w:w="1140" w:type="dxa"/>
            <w:vAlign w:val="bottom"/>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4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11,663,245</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11,267,247</w:t>
            </w:r>
          </w:p>
        </w:tc>
      </w:tr>
      <w:tr>
        <w:trPr>
          <w:trHeight w:val="237"/>
        </w:trPr>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 and accrued expenses</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11,921,884</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11,405,976</w:t>
            </w:r>
          </w:p>
        </w:tc>
      </w:tr>
      <w:tr>
        <w:trPr>
          <w:trHeight w:val="448"/>
        </w:trPr>
        <w:tc>
          <w:tcPr>
            <w:tcW w:w="2380" w:type="dxa"/>
            <w:vAlign w:val="bottom"/>
            <w:gridSpan w:val="3"/>
          </w:tcPr>
          <w:p>
            <w:pPr>
              <w:spacing w:after="0"/>
              <w:rPr>
                <w:sz w:val="20"/>
                <w:szCs w:val="20"/>
                <w:color w:val="auto"/>
              </w:rPr>
            </w:pPr>
            <w:r>
              <w:rPr>
                <w:rFonts w:ascii="Arial" w:cs="Arial" w:eastAsia="Arial" w:hAnsi="Arial"/>
                <w:sz w:val="18"/>
                <w:szCs w:val="18"/>
                <w:color w:val="auto"/>
              </w:rPr>
              <w:t>Finance Leases</w:t>
            </w: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
        </w:trPr>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248,565</w:t>
            </w:r>
          </w:p>
        </w:tc>
      </w:tr>
      <w:tr>
        <w:trPr>
          <w:trHeight w:val="231"/>
        </w:trPr>
        <w:tc>
          <w:tcPr>
            <w:tcW w:w="2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Accumulated amortization</w:t>
            </w:r>
          </w:p>
        </w:tc>
        <w:tc>
          <w:tcPr>
            <w:tcW w:w="3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(154,144)</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(98,351)</w:t>
            </w:r>
          </w:p>
        </w:tc>
      </w:tr>
      <w:tr>
        <w:trPr>
          <w:trHeight w:val="237"/>
        </w:trPr>
        <w:tc>
          <w:tcPr>
            <w:tcW w:w="2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150,214</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and other loans payable</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153,439</w:t>
            </w:r>
          </w:p>
        </w:tc>
      </w:tr>
    </w:tbl>
    <w:p>
      <w:pPr>
        <w:spacing w:after="0" w:line="207" w:lineRule="exact"/>
        <w:rPr>
          <w:sz w:val="20"/>
          <w:szCs w:val="20"/>
          <w:color w:val="auto"/>
        </w:rPr>
      </w:pPr>
    </w:p>
    <w:p>
      <w:pPr>
        <w:jc w:val="both"/>
        <w:ind w:left="5" w:right="339"/>
        <w:spacing w:after="0" w:line="337" w:lineRule="auto"/>
        <w:rPr>
          <w:sz w:val="20"/>
          <w:szCs w:val="20"/>
          <w:color w:val="auto"/>
        </w:rPr>
      </w:pPr>
      <w:r>
        <w:rPr>
          <w:rFonts w:ascii="Arial" w:cs="Arial" w:eastAsia="Arial" w:hAnsi="Arial"/>
          <w:sz w:val="17"/>
          <w:szCs w:val="17"/>
          <w:color w:val="auto"/>
        </w:rPr>
        <w:t>The Company is also a lessor and has operating lease agreements with various tenants that lease its commercial and residential properties. See Note 2 for information about the Company’s real estate held for investment.</w:t>
      </w:r>
    </w:p>
    <w:p>
      <w:pPr>
        <w:spacing w:after="0" w:line="141"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5628005" cy="336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280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113" w:name="page114"/>
    <w:bookmarkEnd w:id="113"/>
    <w:p>
      <w:pPr>
        <w:ind w:left="5"/>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9"/>
          <w:szCs w:val="19"/>
          <w:color w:val="auto"/>
        </w:rPr>
        <w:t>None</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Item 9A. Controls and Procedures</w:t>
      </w:r>
    </w:p>
    <w:p>
      <w:pPr>
        <w:spacing w:after="0" w:line="236" w:lineRule="exact"/>
        <w:rPr>
          <w:sz w:val="20"/>
          <w:szCs w:val="20"/>
          <w:color w:val="auto"/>
        </w:rPr>
      </w:pPr>
    </w:p>
    <w:p>
      <w:pPr>
        <w:jc w:val="both"/>
        <w:ind w:left="5" w:right="279"/>
        <w:spacing w:after="0" w:line="253" w:lineRule="auto"/>
        <w:rPr>
          <w:sz w:val="20"/>
          <w:szCs w:val="20"/>
          <w:color w:val="auto"/>
        </w:rPr>
      </w:pPr>
      <w:r>
        <w:rPr>
          <w:rFonts w:ascii="Arial" w:cs="Arial" w:eastAsia="Arial" w:hAnsi="Arial"/>
          <w:sz w:val="19"/>
          <w:szCs w:val="19"/>
          <w:color w:val="auto"/>
        </w:rPr>
        <w:t>Under the supervision and with the participation of the Company’s management, including the Chief Executive Officer and Chief Financial Officer, the Company has evaluated the effectiveness of its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94" w:lineRule="exact"/>
        <w:rPr>
          <w:sz w:val="20"/>
          <w:szCs w:val="20"/>
          <w:color w:val="auto"/>
        </w:rPr>
      </w:pPr>
    </w:p>
    <w:p>
      <w:pPr>
        <w:ind w:left="465" w:hanging="465"/>
        <w:spacing w:after="0"/>
        <w:tabs>
          <w:tab w:leader="none" w:pos="46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Management’s annual report on internal control over financial reporting.</w:t>
      </w:r>
    </w:p>
    <w:p>
      <w:pPr>
        <w:spacing w:after="0" w:line="230" w:lineRule="exact"/>
        <w:rPr>
          <w:sz w:val="20"/>
          <w:szCs w:val="20"/>
          <w:color w:val="auto"/>
        </w:rPr>
      </w:pPr>
    </w:p>
    <w:p>
      <w:pPr>
        <w:jc w:val="both"/>
        <w:ind w:left="5" w:right="279"/>
        <w:spacing w:after="0" w:line="253"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The Company's internal control over financial reporting is a process that is designed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94" w:lineRule="exact"/>
        <w:rPr>
          <w:sz w:val="20"/>
          <w:szCs w:val="20"/>
          <w:color w:val="auto"/>
        </w:rPr>
      </w:pPr>
    </w:p>
    <w:p>
      <w:pPr>
        <w:ind w:left="625" w:right="279" w:hanging="308"/>
        <w:spacing w:after="0" w:line="276" w:lineRule="auto"/>
        <w:tabs>
          <w:tab w:leader="none" w:pos="62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9"/>
          <w:szCs w:val="19"/>
          <w:color w:val="auto"/>
        </w:rPr>
      </w:pPr>
    </w:p>
    <w:p>
      <w:pPr>
        <w:jc w:val="both"/>
        <w:ind w:left="625" w:right="279" w:hanging="308"/>
        <w:spacing w:after="0" w:line="271" w:lineRule="auto"/>
        <w:tabs>
          <w:tab w:leader="none" w:pos="6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the Board of Directors of the Company, and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ind w:left="5" w:right="279"/>
        <w:spacing w:after="0" w:line="271" w:lineRule="auto"/>
        <w:rPr>
          <w:sz w:val="20"/>
          <w:szCs w:val="20"/>
          <w:color w:val="auto"/>
        </w:rPr>
      </w:pPr>
      <w:r>
        <w:rPr>
          <w:rFonts w:ascii="Arial" w:cs="Arial" w:eastAsia="Arial" w:hAnsi="Arial"/>
          <w:sz w:val="18"/>
          <w:szCs w:val="18"/>
          <w:color w:val="auto"/>
        </w:rPr>
        <w:t>As disclosed in Item 8: Financial Statements, the Company acquired Kilpatrick Life in December 2019. Prior to the acquisition, the Company identified a material weakness in Kilpatrick Life’s internal control over financial reporting related to change management and segregation of duties for the policy administration system. As of December 31, 2020, the known deficiencies have been remediated to the extent that they no longer give rise to a material weakness with the following controls implemented by management.</w:t>
      </w:r>
    </w:p>
    <w:p>
      <w:pPr>
        <w:spacing w:after="0" w:line="177" w:lineRule="exact"/>
        <w:rPr>
          <w:sz w:val="20"/>
          <w:szCs w:val="20"/>
          <w:color w:val="auto"/>
        </w:rPr>
      </w:pPr>
    </w:p>
    <w:p>
      <w:pPr>
        <w:ind w:left="625" w:hanging="308"/>
        <w:spacing w:after="0"/>
        <w:tabs>
          <w:tab w:leader="none" w:pos="62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Execution of a formal consultant agreement with the former system developer.</w:t>
      </w:r>
    </w:p>
    <w:p>
      <w:pPr>
        <w:spacing w:after="0" w:line="21" w:lineRule="exact"/>
        <w:rPr>
          <w:rFonts w:ascii="Arial" w:cs="Arial" w:eastAsia="Arial" w:hAnsi="Arial"/>
          <w:sz w:val="19"/>
          <w:szCs w:val="19"/>
          <w:color w:val="auto"/>
        </w:rPr>
      </w:pPr>
    </w:p>
    <w:p>
      <w:pPr>
        <w:ind w:left="625" w:hanging="308"/>
        <w:spacing w:after="0"/>
        <w:tabs>
          <w:tab w:leader="none" w:pos="62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Creation of unique login credentials for system users.</w:t>
      </w:r>
    </w:p>
    <w:p>
      <w:pPr>
        <w:spacing w:after="0" w:line="5" w:lineRule="exact"/>
        <w:rPr>
          <w:rFonts w:ascii="Arial" w:cs="Arial" w:eastAsia="Arial" w:hAnsi="Arial"/>
          <w:sz w:val="19"/>
          <w:szCs w:val="19"/>
          <w:color w:val="auto"/>
        </w:rPr>
      </w:pPr>
    </w:p>
    <w:p>
      <w:pPr>
        <w:ind w:left="625" w:right="279" w:hanging="308"/>
        <w:spacing w:after="0" w:line="259" w:lineRule="auto"/>
        <w:tabs>
          <w:tab w:leader="none" w:pos="62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Implementation of system change control processes, including the installation of a third-party database logging software.</w:t>
      </w:r>
    </w:p>
    <w:p>
      <w:pPr>
        <w:spacing w:after="0" w:line="185" w:lineRule="exact"/>
        <w:rPr>
          <w:sz w:val="20"/>
          <w:szCs w:val="20"/>
          <w:color w:val="auto"/>
        </w:rPr>
      </w:pPr>
    </w:p>
    <w:p>
      <w:pPr>
        <w:jc w:val="both"/>
        <w:ind w:left="5" w:right="299"/>
        <w:spacing w:after="0" w:line="276" w:lineRule="auto"/>
        <w:rPr>
          <w:sz w:val="20"/>
          <w:szCs w:val="20"/>
          <w:color w:val="auto"/>
        </w:rPr>
      </w:pPr>
      <w:r>
        <w:rPr>
          <w:rFonts w:ascii="Arial" w:cs="Arial" w:eastAsia="Arial" w:hAnsi="Arial"/>
          <w:sz w:val="19"/>
          <w:szCs w:val="19"/>
          <w:color w:val="auto"/>
        </w:rPr>
        <w:t>In addition to the steps taken above, the Company will also transition Kilpatrick Life’s policies to its own Policy Administration System, which has appropriate controls in place.</w:t>
      </w:r>
    </w:p>
    <w:p>
      <w:pPr>
        <w:spacing w:after="0" w:line="170" w:lineRule="exact"/>
        <w:rPr>
          <w:sz w:val="20"/>
          <w:szCs w:val="20"/>
          <w:color w:val="auto"/>
        </w:rPr>
      </w:pPr>
    </w:p>
    <w:p>
      <w:pPr>
        <w:jc w:val="both"/>
        <w:ind w:left="5" w:right="279"/>
        <w:spacing w:after="0" w:line="256" w:lineRule="auto"/>
        <w:rPr>
          <w:sz w:val="20"/>
          <w:szCs w:val="20"/>
          <w:color w:val="auto"/>
        </w:rPr>
      </w:pPr>
      <w:r>
        <w:rPr>
          <w:rFonts w:ascii="Arial" w:cs="Arial" w:eastAsia="Arial" w:hAnsi="Arial"/>
          <w:sz w:val="19"/>
          <w:szCs w:val="19"/>
          <w:color w:val="auto"/>
        </w:rPr>
        <w:t>As of March 31, 2021, the Company has performed additional analysis and procedures to conclude that it believes the consolidated financial statements included in this Form 10-K present fairly, in all material respects, the Company’s financial position, results of operations, comprehensive income (loss) and cash flows for the periods presented in conformity with U.S. GAAP.</w:t>
      </w:r>
    </w:p>
    <w:p>
      <w:pPr>
        <w:spacing w:after="0" w:line="189" w:lineRule="exact"/>
        <w:rPr>
          <w:sz w:val="20"/>
          <w:szCs w:val="20"/>
          <w:color w:val="auto"/>
        </w:rPr>
      </w:pPr>
    </w:p>
    <w:p>
      <w:pPr>
        <w:jc w:val="both"/>
        <w:ind w:left="5" w:right="279"/>
        <w:spacing w:after="0" w:line="261" w:lineRule="auto"/>
        <w:rPr>
          <w:sz w:val="20"/>
          <w:szCs w:val="20"/>
          <w:color w:val="auto"/>
        </w:rPr>
      </w:pPr>
      <w:r>
        <w:rPr>
          <w:rFonts w:ascii="Arial" w:cs="Arial" w:eastAsia="Arial" w:hAnsi="Arial"/>
          <w:sz w:val="19"/>
          <w:szCs w:val="19"/>
          <w:color w:val="auto"/>
        </w:rPr>
        <w:t>The Company is committed to continuous improvement of its internal control processes and will continue to diligently review its financial reporting controls and procedures as it works to remedy Kilpatrick Life’s internal controls.</w:t>
      </w:r>
    </w:p>
    <w:p>
      <w:pPr>
        <w:spacing w:after="0" w:line="184" w:lineRule="exact"/>
        <w:rPr>
          <w:sz w:val="20"/>
          <w:szCs w:val="20"/>
          <w:color w:val="auto"/>
        </w:rPr>
      </w:pPr>
    </w:p>
    <w:p>
      <w:pPr>
        <w:jc w:val="both"/>
        <w:ind w:left="5" w:right="279"/>
        <w:spacing w:after="0" w:line="261"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15"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5653405" cy="336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84"/>
          </w:cols>
          <w:pgMar w:left="1275" w:top="118" w:right="1440" w:bottom="1440" w:gutter="0" w:footer="0" w:header="0"/>
        </w:sectPr>
      </w:pPr>
    </w:p>
    <w:bookmarkStart w:id="114" w:name="page115"/>
    <w:bookmarkEnd w:id="114"/>
    <w:p>
      <w:pPr>
        <w:jc w:val="both"/>
        <w:ind w:right="299"/>
        <w:spacing w:after="0" w:line="278" w:lineRule="auto"/>
        <w:rPr>
          <w:sz w:val="20"/>
          <w:szCs w:val="20"/>
          <w:color w:val="auto"/>
        </w:rPr>
      </w:pPr>
      <w:r>
        <w:rPr>
          <w:rFonts w:ascii="Arial" w:cs="Arial" w:eastAsia="Arial" w:hAnsi="Arial"/>
          <w:sz w:val="19"/>
          <w:szCs w:val="19"/>
          <w:color w:val="auto"/>
        </w:rPr>
        <w:t>inadequate because of changes in conditions, or that the degree of compliance with the policies and procedures may deteriorate.</w:t>
      </w:r>
    </w:p>
    <w:p>
      <w:pPr>
        <w:spacing w:after="0" w:line="168" w:lineRule="exact"/>
        <w:rPr>
          <w:sz w:val="20"/>
          <w:szCs w:val="20"/>
          <w:color w:val="auto"/>
        </w:rPr>
      </w:pPr>
    </w:p>
    <w:p>
      <w:pPr>
        <w:jc w:val="both"/>
        <w:ind w:right="279"/>
        <w:spacing w:after="0" w:line="252" w:lineRule="auto"/>
        <w:rPr>
          <w:sz w:val="20"/>
          <w:szCs w:val="20"/>
          <w:color w:val="auto"/>
        </w:rPr>
      </w:pPr>
      <w:r>
        <w:rPr>
          <w:rFonts w:ascii="Arial" w:cs="Arial" w:eastAsia="Arial" w:hAnsi="Arial"/>
          <w:sz w:val="19"/>
          <w:szCs w:val="19"/>
          <w:color w:val="auto"/>
        </w:rPr>
        <w:t>Management performed an assessment of the effectiveness of the Company's internal control over financial reporting as of December 31, 2020 based on the framework in “Internal Control-Integrated Framework (2013)” issued by the Committee of Sponsoring Organizations of the Treadway Commission. The objective of this assessment was to determine whether the Company's internal control over financial reporting was effective as of December 31, 2020. Based on that assessment management believes that at December 31, 2020, the Company’s internal control over financial reporting was effective.</w:t>
      </w:r>
    </w:p>
    <w:p>
      <w:pPr>
        <w:spacing w:after="0" w:line="193"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This annual report on internal control over financial reporting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(b) Changes in internal control over financial reporting.</w:t>
      </w:r>
    </w:p>
    <w:p>
      <w:pPr>
        <w:spacing w:after="0" w:line="230"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Except for the remediation steps taken to address the material weakness related to the acquisition of Kilpatrick Life, there have not been significant changes in the Company’s internal control over financial reporting (as defined in Rule 13a-15(f) under the Securities and Exchange Act of 1934, as amended) during the last fiscal quarter that has materially affected, or is reasonably likely to materially affect,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115" w:name="page116"/>
    <w:bookmarkEnd w:id="115"/>
    <w:p>
      <w:pPr>
        <w:jc w:val="center"/>
        <w:ind w:right="279"/>
        <w:spacing w:after="0"/>
        <w:rPr>
          <w:sz w:val="20"/>
          <w:szCs w:val="20"/>
          <w:color w:val="auto"/>
        </w:rPr>
      </w:pPr>
      <w:r>
        <w:rPr>
          <w:rFonts w:ascii="Arial" w:cs="Arial" w:eastAsia="Arial" w:hAnsi="Arial"/>
          <w:sz w:val="19"/>
          <w:szCs w:val="19"/>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36"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The Company’s Board of Directors consists of eight persons, five of whom are not employees of the Company. There are no family relationships between or among any of the directors and executive officers, except that S. Andrew Quist and Adam G. Quist are sons of Scott M. Quist, and Jason G. Overbaugh is a nephew of Scott M. Quist. The following table sets forth certain information with respect to the directors and executive officers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20" w:type="dxa"/>
            <w:vAlign w:val="bottom"/>
            <w:gridSpan w:val="2"/>
          </w:tcPr>
          <w:p>
            <w:pPr>
              <w:spacing w:after="0"/>
              <w:rPr>
                <w:sz w:val="20"/>
                <w:szCs w:val="20"/>
                <w:color w:val="auto"/>
              </w:rPr>
            </w:pPr>
            <w:r>
              <w:rPr>
                <w:rFonts w:ascii="Arial" w:cs="Arial" w:eastAsia="Arial" w:hAnsi="Arial"/>
                <w:sz w:val="19"/>
                <w:szCs w:val="19"/>
                <w:color w:val="auto"/>
              </w:rPr>
              <w:t>Name</w:t>
            </w:r>
          </w:p>
        </w:tc>
        <w:tc>
          <w:tcPr>
            <w:tcW w:w="1000" w:type="dxa"/>
            <w:vAlign w:val="bottom"/>
            <w:gridSpan w:val="2"/>
          </w:tcPr>
          <w:p>
            <w:pPr>
              <w:jc w:val="center"/>
              <w:ind w:right="120"/>
              <w:spacing w:after="0"/>
              <w:rPr>
                <w:sz w:val="20"/>
                <w:szCs w:val="20"/>
                <w:color w:val="auto"/>
              </w:rPr>
            </w:pPr>
            <w:r>
              <w:rPr>
                <w:rFonts w:ascii="Arial" w:cs="Arial" w:eastAsia="Arial" w:hAnsi="Arial"/>
                <w:sz w:val="19"/>
                <w:szCs w:val="19"/>
                <w:color w:val="auto"/>
                <w:w w:val="94"/>
              </w:rPr>
              <w:t>Age</w:t>
            </w:r>
          </w:p>
        </w:tc>
        <w:tc>
          <w:tcPr>
            <w:tcW w:w="5560" w:type="dxa"/>
            <w:vAlign w:val="bottom"/>
          </w:tcPr>
          <w:p>
            <w:pPr>
              <w:ind w:left="20"/>
              <w:spacing w:after="0"/>
              <w:rPr>
                <w:sz w:val="20"/>
                <w:szCs w:val="20"/>
                <w:color w:val="auto"/>
              </w:rPr>
            </w:pPr>
            <w:r>
              <w:rPr>
                <w:rFonts w:ascii="Arial" w:cs="Arial" w:eastAsia="Arial" w:hAnsi="Arial"/>
                <w:sz w:val="19"/>
                <w:szCs w:val="19"/>
                <w:color w:val="auto"/>
              </w:rPr>
              <w:t>Position with the Company</w:t>
            </w:r>
          </w:p>
        </w:tc>
      </w:tr>
      <w:tr>
        <w:trPr>
          <w:trHeight w:val="218"/>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Scott M. Quist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4"/>
              </w:rPr>
              <w:t>67</w:t>
            </w:r>
          </w:p>
        </w:tc>
        <w:tc>
          <w:tcPr>
            <w:tcW w:w="140" w:type="dxa"/>
            <w:vAlign w:val="bottom"/>
            <w:tcBorders>
              <w:top w:val="single" w:sz="8" w:color="CCEEFF"/>
            </w:tcBorders>
            <w:shd w:val="clear" w:color="auto" w:fill="CCEEFF"/>
          </w:tcPr>
          <w:p>
            <w:pPr>
              <w:spacing w:after="0"/>
              <w:rPr>
                <w:sz w:val="18"/>
                <w:szCs w:val="18"/>
                <w:color w:val="auto"/>
              </w:rPr>
            </w:pPr>
          </w:p>
        </w:tc>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9"/>
                <w:szCs w:val="19"/>
                <w:color w:val="auto"/>
              </w:rPr>
              <w:t>Chairman of the Board, President, Chief Executive Officer, and</w:t>
            </w:r>
          </w:p>
        </w:tc>
      </w:tr>
      <w:tr>
        <w:trPr>
          <w:trHeight w:val="254"/>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r>
        <w:trPr>
          <w:trHeight w:val="237"/>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Garrett S. Sill</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50</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Chief Financial Officer and Treasurer</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2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Jason G. Overbaugh</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46</w:t>
            </w:r>
          </w:p>
        </w:tc>
        <w:tc>
          <w:tcPr>
            <w:tcW w:w="14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Vice President, National Marketing Director of Life Insurance and</w:t>
            </w:r>
          </w:p>
        </w:tc>
      </w:tr>
      <w:tr>
        <w:trPr>
          <w:trHeight w:val="254"/>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r>
        <w:trPr>
          <w:trHeight w:val="237"/>
        </w:trPr>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 Andrew Quist</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40</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Vice President, General Counsel, and Director</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Jeffrey R. Stephens</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67</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Senior General Counsel and Secretary</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Stephen C. Johnson</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64</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Vice President - Mortgage Operations</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2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Adam G. Quist</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35</w:t>
            </w:r>
          </w:p>
        </w:tc>
        <w:tc>
          <w:tcPr>
            <w:tcW w:w="14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w w:val="94"/>
              </w:rPr>
              <w:t>Vice President - Memorial Services, Assistant Secretary, and General</w:t>
            </w:r>
          </w:p>
        </w:tc>
      </w:tr>
      <w:tr>
        <w:trPr>
          <w:trHeight w:val="254"/>
        </w:trPr>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Counsel</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John L. Cook</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66</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Gilbert A. Fuller</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80</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Robert G. Hunter</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61</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H. Craig Moody</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69</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r>
        <w:trPr>
          <w:trHeight w:val="251"/>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560" w:type="dxa"/>
            <w:vAlign w:val="bottom"/>
          </w:tcPr>
          <w:p>
            <w:pPr>
              <w:spacing w:after="0"/>
              <w:rPr>
                <w:sz w:val="21"/>
                <w:szCs w:val="21"/>
                <w:color w:val="auto"/>
              </w:rPr>
            </w:pPr>
          </w:p>
        </w:tc>
      </w:tr>
      <w:tr>
        <w:trPr>
          <w:trHeight w:val="251"/>
        </w:trPr>
        <w:tc>
          <w:tcPr>
            <w:tcW w:w="23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Norman G. Wilbur</w:t>
            </w:r>
          </w:p>
        </w:tc>
        <w:tc>
          <w:tcPr>
            <w:tcW w:w="8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4"/>
              </w:rPr>
              <w:t>82</w:t>
            </w:r>
          </w:p>
        </w:tc>
        <w:tc>
          <w:tcPr>
            <w:tcW w:w="140" w:type="dxa"/>
            <w:vAlign w:val="bottom"/>
            <w:shd w:val="clear" w:color="auto" w:fill="CCEEFF"/>
          </w:tcPr>
          <w:p>
            <w:pPr>
              <w:spacing w:after="0"/>
              <w:rPr>
                <w:sz w:val="21"/>
                <w:szCs w:val="21"/>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9"/>
                <w:szCs w:val="19"/>
                <w:color w:val="auto"/>
              </w:rPr>
              <w:t>Director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description of the business experience of each of the Company’s directors.</w:t>
      </w:r>
    </w:p>
    <w:p>
      <w:pPr>
        <w:spacing w:after="0" w:line="230" w:lineRule="exact"/>
        <w:rPr>
          <w:sz w:val="20"/>
          <w:szCs w:val="20"/>
          <w:color w:val="auto"/>
        </w:rPr>
      </w:pPr>
    </w:p>
    <w:p>
      <w:pPr>
        <w:jc w:val="both"/>
        <w:ind w:right="279" w:firstLine="633"/>
        <w:spacing w:after="0" w:line="280" w:lineRule="auto"/>
        <w:rPr>
          <w:sz w:val="20"/>
          <w:szCs w:val="20"/>
          <w:color w:val="auto"/>
        </w:rPr>
      </w:pPr>
      <w:r>
        <w:rPr>
          <w:rFonts w:ascii="Arial" w:cs="Arial" w:eastAsia="Arial" w:hAnsi="Arial"/>
          <w:sz w:val="17"/>
          <w:szCs w:val="17"/>
          <w:i w:val="1"/>
          <w:iCs w:val="1"/>
          <w:color w:val="auto"/>
        </w:rPr>
        <w:t xml:space="preserve">Scott M. Quist </w:t>
      </w:r>
      <w:r>
        <w:rPr>
          <w:rFonts w:ascii="Arial" w:cs="Arial" w:eastAsia="Arial" w:hAnsi="Arial"/>
          <w:sz w:val="17"/>
          <w:szCs w:val="17"/>
          <w:color w:val="auto"/>
        </w:rPr>
        <w:t>has served as Chairman of the Board and Chief Executive Officer of the Company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2012. Mr. Quist also serves as the Company’s President, a position he has held since 2002. He has additionally served as a director of the Company since 1986. From 1993 to 2013, Mr. Quist served as Treasurer and a director of the National Alliance of Life Companies (NALC), a national trade association of over 200 life insurance companies, and as its President from 1990 to 2000. From 1986 to 1991, Mr. Quist was Treasurer and a director of The National Association of Life Companies, a trade association of 642 insurance companies until its merger with the American Council of Life Companies. Mr. Quist has been a member of the Board of Governors of the Forum 500 Section (representing small insurance companies) of the American Council of Life Insurance. He has also served as a regional director of Key Bank of Utah since 1993. Mr. Quist holds a B.S. degree in Accounting from Brigham Young University and received his law degree also from Brigham Young University. Mr. Quist’s significant expertise and deep understanding of the technical, organizational and strategic business aspects of the insurance industry, his management expertise, his 19 year tenure as President of the Company and 34 year tenure as a director, and his years of business and leadership experience led the Board of Directors to conclude that Mr. Quist should serve as Chairman of the Board, President, and Chief Executive Officer of the Company.</w:t>
      </w:r>
    </w:p>
    <w:p>
      <w:pPr>
        <w:sectPr>
          <w:pgSz w:w="11900" w:h="16838" w:orient="portrait"/>
          <w:cols w:equalWidth="0" w:num="1">
            <w:col w:w="9179"/>
          </w:cols>
          <w:pgMar w:left="1280" w:top="121" w:right="1440" w:bottom="1440" w:gutter="0" w:footer="0" w:header="0"/>
        </w:sectPr>
      </w:pP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5653405" cy="336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type w:val="continuous"/>
        </w:sectPr>
      </w:pPr>
    </w:p>
    <w:bookmarkStart w:id="116" w:name="page117"/>
    <w:bookmarkEnd w:id="116"/>
    <w:p>
      <w:pPr>
        <w:jc w:val="both"/>
        <w:ind w:right="279" w:firstLine="633"/>
        <w:spacing w:after="0" w:line="281" w:lineRule="auto"/>
        <w:rPr>
          <w:sz w:val="20"/>
          <w:szCs w:val="20"/>
          <w:color w:val="auto"/>
        </w:rPr>
      </w:pPr>
      <w:r>
        <w:rPr>
          <w:rFonts w:ascii="Arial" w:cs="Arial" w:eastAsia="Arial" w:hAnsi="Arial"/>
          <w:sz w:val="17"/>
          <w:szCs w:val="17"/>
          <w:i w:val="1"/>
          <w:iCs w:val="1"/>
          <w:color w:val="auto"/>
        </w:rPr>
        <w:t xml:space="preserve">Jason G. Overbaugh </w:t>
      </w:r>
      <w:r>
        <w:rPr>
          <w:rFonts w:ascii="Arial" w:cs="Arial" w:eastAsia="Arial" w:hAnsi="Arial"/>
          <w:sz w:val="17"/>
          <w:szCs w:val="17"/>
          <w:color w:val="auto"/>
        </w:rPr>
        <w:t>has served as a director of the Company since 2013. Mr. Overbaugh has also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a Vice President and the Assistant Secretary of the Company from 2002 to 2013. Mr. Overbaugh has additionally served as Vice President and National Marketing Director of Security National Life Insurance Company since 2006. From 2003 to 2006, he served as a Vice President of Security National Life Insurance Company with responsibilities as an investment manager over construction lending and commercial real estate investments. From 2000 to 2003, he served as a Vice President of Memorial Estates, Inc., with responsibilities over operations and sales. Mr. Overbaugh has served since 2007 as a director of the LOMA Life Insurance Council, a trade association of life insurance companies. He is also a member of the NFDA Trade Association. Mr. Overbaugh received a B.S. degree in Finance from the University of Utah. Mr. Overbaugh’s expertise in insurance and marketing, and his 24 years of experience with the Company in its insurance, real estate, and mortuary and cemetery operations led the Board of Directors to conclude that he should serve as a director of the Company.</w:t>
      </w:r>
    </w:p>
    <w:p>
      <w:pPr>
        <w:spacing w:after="0" w:line="174" w:lineRule="exact"/>
        <w:rPr>
          <w:sz w:val="20"/>
          <w:szCs w:val="20"/>
          <w:color w:val="auto"/>
        </w:rPr>
      </w:pPr>
    </w:p>
    <w:p>
      <w:pPr>
        <w:jc w:val="both"/>
        <w:ind w:right="279" w:firstLine="681"/>
        <w:spacing w:after="0" w:line="265" w:lineRule="auto"/>
        <w:rPr>
          <w:sz w:val="20"/>
          <w:szCs w:val="20"/>
          <w:color w:val="auto"/>
        </w:rPr>
      </w:pPr>
      <w:r>
        <w:rPr>
          <w:rFonts w:ascii="Arial" w:cs="Arial" w:eastAsia="Arial" w:hAnsi="Arial"/>
          <w:sz w:val="18"/>
          <w:szCs w:val="18"/>
          <w:i w:val="1"/>
          <w:iCs w:val="1"/>
          <w:color w:val="auto"/>
        </w:rPr>
        <w:t xml:space="preserve">S. Andrew Quist </w:t>
      </w:r>
      <w:r>
        <w:rPr>
          <w:rFonts w:ascii="Arial" w:cs="Arial" w:eastAsia="Arial" w:hAnsi="Arial"/>
          <w:sz w:val="18"/>
          <w:szCs w:val="18"/>
          <w:color w:val="auto"/>
        </w:rPr>
        <w:t>has served as a director of the Company since 2013. Mr. Quist has also served as a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Company since 2010. In addition, from 2007 to December 2017, he served as the Company’s Associate General Counsel and since December 2017 as the Company’s General Counsel, where his responsibilities have included the Company’s regulatory matters and acquisitions. In addition, Mr. Quist has served as Executive Vice President and Chief Operating Officer since 2010, and as Vice President from 2008 to 2010, of C&amp;J Financial, LLC, which funds the purchase of funeral and burial policies from funeral homes after the death of the insureds. Mr. Quist has also served since 2013 as a director of the National Alliance of Life Companies (NALC), a national trade association of over 200 life insurance companies. From 2014 to 2016, he served as President of the NALC. Mr. Quist previously served as President of the Utah Life Convention, a consortium of Utah domestic life insurers. Mr. Quist holds a B.S. degree in Accounting from Brigham Young University and received his law degree from the University of Southern California. Mr. Quist is a member of the State Bar of California. Mr. Quist’s expertise in insurance, legal and regulatory matters led the Board of Directors to conclude that he should serve as a director of the Company.</w:t>
      </w:r>
    </w:p>
    <w:p>
      <w:pPr>
        <w:spacing w:after="0" w:line="181" w:lineRule="exact"/>
        <w:rPr>
          <w:sz w:val="20"/>
          <w:szCs w:val="20"/>
          <w:color w:val="auto"/>
        </w:rPr>
      </w:pPr>
    </w:p>
    <w:p>
      <w:pPr>
        <w:jc w:val="both"/>
        <w:ind w:right="279" w:firstLine="633"/>
        <w:spacing w:after="0" w:line="266" w:lineRule="auto"/>
        <w:rPr>
          <w:sz w:val="20"/>
          <w:szCs w:val="20"/>
          <w:color w:val="auto"/>
        </w:rPr>
      </w:pPr>
      <w:r>
        <w:rPr>
          <w:rFonts w:ascii="Arial" w:cs="Arial" w:eastAsia="Arial" w:hAnsi="Arial"/>
          <w:sz w:val="18"/>
          <w:szCs w:val="18"/>
          <w:i w:val="1"/>
          <w:iCs w:val="1"/>
          <w:color w:val="auto"/>
        </w:rPr>
        <w:t xml:space="preserve">John L. Cook </w:t>
      </w:r>
      <w:r>
        <w:rPr>
          <w:rFonts w:ascii="Arial" w:cs="Arial" w:eastAsia="Arial" w:hAnsi="Arial"/>
          <w:sz w:val="18"/>
          <w:szCs w:val="18"/>
          <w:color w:val="auto"/>
        </w:rPr>
        <w:t>has served as a director of the Company since 2013. Mr. Cook has served since 1982 as co-owner and operator of Cook Brothers Painting, Inc., a company that provides painting services for contractors and builders of residential and commercial properties. In addition, Mr. Cook attended the University of Utah. As a director, Mr. Cook advised the Board concerning the Company’s investments in commercial and residential real estate projects. Moreover, Mr. Cook’s extensive background in construction and building is important as the Company continues to acquire new real estate holdings and develop its current portfolio of undeveloped land. Mr. Cook’s years of experience in the construction industry and with construction projects led the Board of Directors to conclude that he should serve as a director of the Company.</w:t>
      </w:r>
    </w:p>
    <w:p>
      <w:pPr>
        <w:spacing w:after="0" w:line="183" w:lineRule="exact"/>
        <w:rPr>
          <w:sz w:val="20"/>
          <w:szCs w:val="20"/>
          <w:color w:val="auto"/>
        </w:rPr>
      </w:pPr>
    </w:p>
    <w:p>
      <w:pPr>
        <w:jc w:val="both"/>
        <w:ind w:right="279" w:firstLine="633"/>
        <w:spacing w:after="0" w:line="265" w:lineRule="auto"/>
        <w:rPr>
          <w:sz w:val="20"/>
          <w:szCs w:val="20"/>
          <w:color w:val="auto"/>
        </w:rPr>
      </w:pPr>
      <w:r>
        <w:rPr>
          <w:rFonts w:ascii="Arial" w:cs="Arial" w:eastAsia="Arial" w:hAnsi="Arial"/>
          <w:sz w:val="18"/>
          <w:szCs w:val="18"/>
          <w:i w:val="1"/>
          <w:iCs w:val="1"/>
          <w:color w:val="auto"/>
        </w:rPr>
        <w:t xml:space="preserve">Gilbert A. Fuller </w:t>
      </w:r>
      <w:r>
        <w:rPr>
          <w:rFonts w:ascii="Arial" w:cs="Arial" w:eastAsia="Arial" w:hAnsi="Arial"/>
          <w:sz w:val="18"/>
          <w:szCs w:val="18"/>
          <w:color w:val="auto"/>
        </w:rPr>
        <w:t>has served as a director of the Company since 2012. From 2006 until his retirement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Mr. Fuller served as Executive Vice President, Chief Financial Officer and Secretary of USANA Health Sciences, Inc., a multinational manufacturer and direct seller of nutritional supplements. Mr. Fuller joined USANA in 1996 as the Vice President of Finance and served in that role until 1999 when he was appointed as its Senior Vice President. Mr. Fuller has served as a member of the Board of Directors of USANA since 2008. Mr. Fuller received a B.S. degree in Accounting and an M.B.A. degree from the University of Utah. Mr. Fuller’s accounting, finance and corporate strategy expertise and his years of financial, accounting and business experience with public and private companies, including USANA Health Sciences, Inc., which is listed on the New York Stock Exchange, where he served as an executive officer and continues to serve as a director, led the Board of Directors to conclude that he should serve as a director of the Company.</w:t>
      </w:r>
    </w:p>
    <w:p>
      <w:pPr>
        <w:spacing w:after="0" w:line="181" w:lineRule="exact"/>
        <w:rPr>
          <w:sz w:val="20"/>
          <w:szCs w:val="20"/>
          <w:color w:val="auto"/>
        </w:rPr>
      </w:pPr>
    </w:p>
    <w:p>
      <w:pPr>
        <w:jc w:val="both"/>
        <w:ind w:right="279" w:firstLine="633"/>
        <w:spacing w:after="0" w:line="250" w:lineRule="auto"/>
        <w:rPr>
          <w:sz w:val="20"/>
          <w:szCs w:val="20"/>
          <w:color w:val="auto"/>
        </w:rPr>
      </w:pPr>
      <w:r>
        <w:rPr>
          <w:rFonts w:ascii="Arial" w:cs="Arial" w:eastAsia="Arial" w:hAnsi="Arial"/>
          <w:sz w:val="19"/>
          <w:szCs w:val="19"/>
          <w:i w:val="1"/>
          <w:iCs w:val="1"/>
          <w:color w:val="auto"/>
        </w:rPr>
        <w:t xml:space="preserve">Robert G. Hunter, M.D. </w:t>
      </w:r>
      <w:r>
        <w:rPr>
          <w:rFonts w:ascii="Arial" w:cs="Arial" w:eastAsia="Arial" w:hAnsi="Arial"/>
          <w:sz w:val="19"/>
          <w:szCs w:val="19"/>
          <w:color w:val="auto"/>
        </w:rPr>
        <w:t>has served as a director of the Company since 1998. Dr. Hunter is currently a</w:t>
      </w:r>
      <w:r>
        <w:rPr>
          <w:rFonts w:ascii="Arial" w:cs="Arial" w:eastAsia="Arial" w:hAnsi="Arial"/>
          <w:sz w:val="19"/>
          <w:szCs w:val="19"/>
          <w:i w:val="1"/>
          <w:iCs w:val="1"/>
          <w:color w:val="auto"/>
        </w:rPr>
        <w:t xml:space="preserve"> </w:t>
      </w:r>
      <w:r>
        <w:rPr>
          <w:rFonts w:ascii="Arial" w:cs="Arial" w:eastAsia="Arial" w:hAnsi="Arial"/>
          <w:sz w:val="19"/>
          <w:szCs w:val="19"/>
          <w:color w:val="auto"/>
        </w:rPr>
        <w:t>practicing physician in private practice. Dr. Hunter is Department Head of Otolaryngology, Head and Neck Surgery at Intermountain Medical Center and a past President of the medical staff of the Intermountain Medical Center. He is also a delegate to the Utah Medical Association and has served as a delegate representing the State of Utah to the American Medical Association. Dr. Hunter holds a B.S. degree in Microbiology from the University of Utah and received his medical degree from the University of Utah College of Medicine. Dr. Hunter’s medical expertise and experience, and his administrative and leadership experience from serving in a number of administrative positions in the medical profession led the Board of Directors to conclude that he should serve as a director of the Company.</w:t>
      </w:r>
    </w:p>
    <w:p>
      <w:pPr>
        <w:spacing w:after="0" w:line="194" w:lineRule="exact"/>
        <w:rPr>
          <w:sz w:val="20"/>
          <w:szCs w:val="20"/>
          <w:color w:val="auto"/>
        </w:rPr>
      </w:pPr>
    </w:p>
    <w:p>
      <w:pPr>
        <w:jc w:val="both"/>
        <w:ind w:right="299" w:firstLine="633"/>
        <w:spacing w:after="0" w:line="337" w:lineRule="auto"/>
        <w:rPr>
          <w:sz w:val="20"/>
          <w:szCs w:val="20"/>
          <w:color w:val="auto"/>
        </w:rPr>
      </w:pPr>
      <w:r>
        <w:rPr>
          <w:rFonts w:ascii="Arial" w:cs="Arial" w:eastAsia="Arial" w:hAnsi="Arial"/>
          <w:sz w:val="17"/>
          <w:szCs w:val="17"/>
          <w:i w:val="1"/>
          <w:iCs w:val="1"/>
          <w:color w:val="auto"/>
        </w:rPr>
        <w:t xml:space="preserve">H. Craig Moody </w:t>
      </w:r>
      <w:r>
        <w:rPr>
          <w:rFonts w:ascii="Arial" w:cs="Arial" w:eastAsia="Arial" w:hAnsi="Arial"/>
          <w:sz w:val="17"/>
          <w:szCs w:val="17"/>
          <w:color w:val="auto"/>
        </w:rPr>
        <w:t>has served as a director of the Company since 1995. Mr. Moody is owner of Moody &amp;</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Associates, a political consulting and real estate company. He is a former Speaker and House Majority Leader of</w:t>
      </w:r>
    </w:p>
    <w:p>
      <w:pPr>
        <w:sectPr>
          <w:pgSz w:w="11900" w:h="16838" w:orient="portrait"/>
          <w:cols w:equalWidth="0" w:num="1">
            <w:col w:w="9179"/>
          </w:cols>
          <w:pgMar w:left="1280" w:top="122" w:right="1440" w:bottom="1440" w:gutter="0" w:footer="0" w:header="0"/>
        </w:sectPr>
      </w:pP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5653405" cy="336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type w:val="continuous"/>
        </w:sectPr>
      </w:pPr>
    </w:p>
    <w:bookmarkStart w:id="117" w:name="page118"/>
    <w:bookmarkEnd w:id="117"/>
    <w:p>
      <w:pPr>
        <w:jc w:val="both"/>
        <w:ind w:right="299"/>
        <w:spacing w:after="0" w:line="275" w:lineRule="auto"/>
        <w:rPr>
          <w:sz w:val="20"/>
          <w:szCs w:val="20"/>
          <w:color w:val="auto"/>
        </w:rPr>
      </w:pPr>
      <w:r>
        <w:rPr>
          <w:rFonts w:ascii="Arial" w:cs="Arial" w:eastAsia="Arial" w:hAnsi="Arial"/>
          <w:sz w:val="18"/>
          <w:szCs w:val="18"/>
          <w:color w:val="auto"/>
        </w:rPr>
        <w:t>the House of Representatives of the State of Utah. From 1989 to 1992, Mr. Moody was Co-Chairman of the Utah Legislative Audit Committee. Mr. Moody holds a B.S. degree in Political Science from the University of Utah. Mr. Moody’s real estate and governmental affairs expertise and years of business and leadership experience led the Board of Directors to conclude that he should serve as a director of the Company.</w:t>
      </w:r>
    </w:p>
    <w:p>
      <w:pPr>
        <w:spacing w:after="0" w:line="174" w:lineRule="exact"/>
        <w:rPr>
          <w:sz w:val="20"/>
          <w:szCs w:val="20"/>
          <w:color w:val="auto"/>
        </w:rPr>
      </w:pPr>
    </w:p>
    <w:p>
      <w:pPr>
        <w:jc w:val="both"/>
        <w:ind w:right="279" w:firstLine="633"/>
        <w:spacing w:after="0" w:line="250" w:lineRule="auto"/>
        <w:rPr>
          <w:sz w:val="20"/>
          <w:szCs w:val="20"/>
          <w:color w:val="auto"/>
        </w:rPr>
      </w:pPr>
      <w:r>
        <w:rPr>
          <w:rFonts w:ascii="Arial" w:cs="Arial" w:eastAsia="Arial" w:hAnsi="Arial"/>
          <w:sz w:val="19"/>
          <w:szCs w:val="19"/>
          <w:i w:val="1"/>
          <w:iCs w:val="1"/>
          <w:color w:val="auto"/>
        </w:rPr>
        <w:t xml:space="preserve">Norman G. Wilbur </w:t>
      </w:r>
      <w:r>
        <w:rPr>
          <w:rFonts w:ascii="Arial" w:cs="Arial" w:eastAsia="Arial" w:hAnsi="Arial"/>
          <w:sz w:val="19"/>
          <w:szCs w:val="19"/>
          <w:color w:val="auto"/>
        </w:rPr>
        <w:t>has served as a director of the Company since 1998. Mr. Wilbur worked for J.C.</w:t>
      </w:r>
      <w:r>
        <w:rPr>
          <w:rFonts w:ascii="Arial" w:cs="Arial" w:eastAsia="Arial" w:hAnsi="Arial"/>
          <w:sz w:val="19"/>
          <w:szCs w:val="19"/>
          <w:i w:val="1"/>
          <w:iCs w:val="1"/>
          <w:color w:val="auto"/>
        </w:rPr>
        <w:t xml:space="preserve"> </w:t>
      </w:r>
      <w:r>
        <w:rPr>
          <w:rFonts w:ascii="Arial" w:cs="Arial" w:eastAsia="Arial" w:hAnsi="Arial"/>
          <w:sz w:val="19"/>
          <w:szCs w:val="19"/>
          <w:color w:val="auto"/>
        </w:rPr>
        <w:t>Penny's regional offices in budget and analysis. His final position was Manager of Planning and Reporting for J.C. Penny's stores. After 36 years with J.C. Penny's, Mr. Wilbur opted for early retirement in 1997. Mr. Wilbur holds a B.S. degree in Accounting from the University of Utah. Mr. Wilbur’s financial expertise and business experience from a successful career at JC Penny’s led the Board of Directors to conclude that he should serve as a director of the Company. In addition, the Board of Directors’ determination that Mr. Wilbur is the Audit Committee “financial expert” lends further support to his financial acumen and qualification for serving as a director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Board of Directors, Board Committees, and Meetings</w:t>
      </w:r>
    </w:p>
    <w:p>
      <w:pPr>
        <w:spacing w:after="0" w:line="236" w:lineRule="exact"/>
        <w:rPr>
          <w:sz w:val="20"/>
          <w:szCs w:val="20"/>
          <w:color w:val="auto"/>
        </w:rPr>
      </w:pPr>
    </w:p>
    <w:p>
      <w:pPr>
        <w:jc w:val="both"/>
        <w:ind w:right="279"/>
        <w:spacing w:after="0" w:line="271" w:lineRule="auto"/>
        <w:rPr>
          <w:sz w:val="20"/>
          <w:szCs w:val="20"/>
          <w:color w:val="auto"/>
        </w:rPr>
      </w:pPr>
      <w:r>
        <w:rPr>
          <w:rFonts w:ascii="Arial" w:cs="Arial" w:eastAsia="Arial" w:hAnsi="Arial"/>
          <w:sz w:val="18"/>
          <w:szCs w:val="18"/>
          <w:color w:val="auto"/>
        </w:rPr>
        <w:t>The Company's Bylaws provide that the Board of Directors shall consist of not less than five or more than twelve members. The term of office of each director is for a period of one year or until the election and qualification of his successor. A director is not required to be a resident of the State of Utah or a stockholder of the Company. The Board of Directors held a total of five meetings during the fiscal year ended December 31, 2020. Each of the directors attended 75% or more of the meetings of the Board of Directors during 2020.</w:t>
      </w:r>
    </w:p>
    <w:p>
      <w:pPr>
        <w:spacing w:after="0" w:line="177"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The size of the Board of Directors of the Company is eight members. A majority of the Board of Directors must qualify as "independent" as that term is defined in Rule 4200 of the listing standards of the Nasdaq Stock Market. The Board of Directors has affirmatively determined that five of the eight members of the Board of Directors, namely Messrs. John L. Cook, Gilbert A. Fuller, Robert G. Hunter, M.D., H. Craig Moody and Norman G. Wilbur, are independent under the listing standards of the Nasdaq Stock Market.</w:t>
      </w:r>
    </w:p>
    <w:p>
      <w:pPr>
        <w:spacing w:after="0" w:line="194" w:lineRule="exact"/>
        <w:rPr>
          <w:sz w:val="20"/>
          <w:szCs w:val="20"/>
          <w:color w:val="auto"/>
        </w:rPr>
      </w:pPr>
    </w:p>
    <w:p>
      <w:pPr>
        <w:jc w:val="both"/>
        <w:ind w:right="279"/>
        <w:spacing w:after="0" w:line="261" w:lineRule="auto"/>
        <w:rPr>
          <w:sz w:val="20"/>
          <w:szCs w:val="20"/>
          <w:color w:val="auto"/>
        </w:rPr>
      </w:pPr>
      <w:r>
        <w:rPr>
          <w:rFonts w:ascii="Arial" w:cs="Arial" w:eastAsia="Arial" w:hAnsi="Arial"/>
          <w:sz w:val="19"/>
          <w:szCs w:val="19"/>
          <w:color w:val="auto"/>
        </w:rPr>
        <w:t>There are four committees of the Board of Directors, which meet periodically during the year: the Audit Committee, the Compensation Committee, the Executive Committee, and the Nominating and Corporate Governance Committee.</w:t>
      </w:r>
    </w:p>
    <w:p>
      <w:pPr>
        <w:spacing w:after="0" w:line="184" w:lineRule="exact"/>
        <w:rPr>
          <w:sz w:val="20"/>
          <w:szCs w:val="20"/>
          <w:color w:val="auto"/>
        </w:rPr>
      </w:pPr>
    </w:p>
    <w:p>
      <w:pPr>
        <w:jc w:val="both"/>
        <w:ind w:right="279"/>
        <w:spacing w:after="0" w:line="256" w:lineRule="auto"/>
        <w:rPr>
          <w:sz w:val="20"/>
          <w:szCs w:val="20"/>
          <w:color w:val="auto"/>
        </w:rPr>
      </w:pPr>
      <w:r>
        <w:rPr>
          <w:rFonts w:ascii="Arial" w:cs="Arial" w:eastAsia="Arial" w:hAnsi="Arial"/>
          <w:sz w:val="19"/>
          <w:szCs w:val="19"/>
          <w:color w:val="auto"/>
        </w:rPr>
        <w:t>The Audit Committee directs the auditing activities of the Company's internal auditors and outside public accounting firm and approves the services of the outside public accounting firm. The Audit Committee consists of Messrs. John L. Cook, Gilbert A. Fuller, H. Craig Moody, and Norman G. Wilbur (Chairman of the committee). During 2020, the Audit Committee met on three occasions.</w:t>
      </w:r>
    </w:p>
    <w:p>
      <w:pPr>
        <w:spacing w:after="0" w:line="189" w:lineRule="exact"/>
        <w:rPr>
          <w:sz w:val="20"/>
          <w:szCs w:val="20"/>
          <w:color w:val="auto"/>
        </w:rPr>
      </w:pPr>
    </w:p>
    <w:p>
      <w:pPr>
        <w:jc w:val="both"/>
        <w:ind w:right="279"/>
        <w:spacing w:after="0" w:line="267" w:lineRule="auto"/>
        <w:rPr>
          <w:sz w:val="20"/>
          <w:szCs w:val="20"/>
          <w:color w:val="auto"/>
        </w:rPr>
      </w:pPr>
      <w:r>
        <w:rPr>
          <w:rFonts w:ascii="Arial" w:cs="Arial" w:eastAsia="Arial" w:hAnsi="Arial"/>
          <w:sz w:val="18"/>
          <w:szCs w:val="18"/>
          <w:color w:val="auto"/>
        </w:rPr>
        <w:t>The Compensation Committee is responsible for recommending to the Board of Directors for approval the annual compensation of each executive officer of the Company and the executive officers of the Company's subsidiaries, developing policy in the areas of compensation and fringe benefits, contributions under the 401(k) Retirement Savings Plans, Non-Qualified Deferred Compensation Plan, granting of options under the stock option plans, and creating other employee compensation plans. The Compensation Committee consists of Messrs. John L. Cook, Gilbert A. Fuller, Robert G. Hunter, M.D., H. Craig Moody and Norman G. Wilbur (Chairman of the committee). During 2020, the Compensation Committee met on two occasions.</w:t>
      </w:r>
    </w:p>
    <w:p>
      <w:pPr>
        <w:spacing w:after="0" w:line="182" w:lineRule="exact"/>
        <w:rPr>
          <w:sz w:val="20"/>
          <w:szCs w:val="20"/>
          <w:color w:val="auto"/>
        </w:rPr>
      </w:pPr>
    </w:p>
    <w:p>
      <w:pPr>
        <w:jc w:val="both"/>
        <w:ind w:right="299"/>
        <w:spacing w:after="0" w:line="306" w:lineRule="auto"/>
        <w:rPr>
          <w:sz w:val="20"/>
          <w:szCs w:val="20"/>
          <w:color w:val="auto"/>
        </w:rPr>
      </w:pPr>
      <w:r>
        <w:rPr>
          <w:rFonts w:ascii="Arial" w:cs="Arial" w:eastAsia="Arial" w:hAnsi="Arial"/>
          <w:sz w:val="17"/>
          <w:szCs w:val="17"/>
          <w:color w:val="auto"/>
        </w:rPr>
        <w:t>The Executive Committee reviews Company policy, major investment activities and other pertinent transactions of the Company. The Executive Committee consists of Messrs. Gilbert A. Fuller, H. Craig Moody, S. Andrew Quist and Scott M. Quist (Chairman of the committee). During 2020, the Executive Committee met on one occasion.</w:t>
      </w:r>
    </w:p>
    <w:p>
      <w:pPr>
        <w:spacing w:after="0" w:line="149" w:lineRule="exact"/>
        <w:rPr>
          <w:sz w:val="20"/>
          <w:szCs w:val="20"/>
          <w:color w:val="auto"/>
        </w:rPr>
      </w:pPr>
    </w:p>
    <w:p>
      <w:pPr>
        <w:jc w:val="both"/>
        <w:ind w:right="279"/>
        <w:spacing w:after="0" w:line="266" w:lineRule="auto"/>
        <w:rPr>
          <w:sz w:val="20"/>
          <w:szCs w:val="20"/>
          <w:color w:val="auto"/>
        </w:rPr>
      </w:pPr>
      <w:r>
        <w:rPr>
          <w:rFonts w:ascii="Arial" w:cs="Arial" w:eastAsia="Arial" w:hAnsi="Arial"/>
          <w:sz w:val="18"/>
          <w:szCs w:val="18"/>
          <w:color w:val="auto"/>
        </w:rPr>
        <w:t>The Nominating and Corporate Governance Committee identifies individuals qualified to become Board members consistent with criteria approved by the Board, recommends to the Board the persons to be nominated by the Board for election as directors at a meeting of stockholders, and develops and recommends to the Board a set of corporate governance principles. The Nominating and Corporate Governance Committee consists of Messrs. John L. Cook, Gilbert A. Fuller, Robert G. Hunter, M.D., H. Craig Moody (Chairman of the committee), and Norman G. Wilbur. The Nominating and Corporate Governance Committee is composed solely of independent directors, as defined in the listing standards of the Nasdaq Stock Market. During 2020, the Nominating and Corporate Governance Committee met on two occasions.</w:t>
      </w:r>
    </w:p>
    <w:p>
      <w:pPr>
        <w:spacing w:after="0" w:line="2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b w:val="1"/>
          <w:bCs w:val="1"/>
          <w:color w:val="auto"/>
        </w:rPr>
        <w:t>Director Nominating Process</w:t>
      </w:r>
    </w:p>
    <w:p>
      <w:pPr>
        <w:spacing w:after="0" w:line="235" w:lineRule="exact"/>
        <w:rPr>
          <w:sz w:val="20"/>
          <w:szCs w:val="20"/>
          <w:color w:val="auto"/>
        </w:rPr>
      </w:pPr>
    </w:p>
    <w:p>
      <w:pPr>
        <w:jc w:val="both"/>
        <w:ind w:right="279"/>
        <w:spacing w:after="0" w:line="280" w:lineRule="auto"/>
        <w:rPr>
          <w:sz w:val="20"/>
          <w:szCs w:val="20"/>
          <w:color w:val="auto"/>
        </w:rPr>
      </w:pPr>
      <w:r>
        <w:rPr>
          <w:rFonts w:ascii="Arial" w:cs="Arial" w:eastAsia="Arial" w:hAnsi="Arial"/>
          <w:sz w:val="17"/>
          <w:szCs w:val="17"/>
          <w:color w:val="auto"/>
        </w:rPr>
        <w:t>The process for identifying and evaluating nominees for directors include the following steps: (1) the Nominating and Corporate Governance Committee, Chairman of the Board or other board members identify a need to fill vacancies or add newly created directorships; (2) the Chairman of the Nominating and Corporate Governance Committee initiates a search and seeks input from board members and senior management and, if necessary, obtains advice from legal or other advisors (but does not hire an outside search firm); (3) director candidates, including any candidates properly proposed by stockholders in accordance with the Company's Bylaws, are identified and presented to the Nominating and Corporate Governance Committee; (4) initial interviews with candidates are conducted by the Chairman of the Nominating and Corporate Governance Committee; (5) the Nominating and Corporate Governance Committee meets to consider and approve final candidate(s) and conduct further interviews as necessary; and (6) the Nominating and Corporate Governance Committee makes recommendations to the board for inclusion in the slate of directors at the annual meeting. The evaluation process will be the same whether the nominee is recommended by a stockholder or by a member of the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of Non-Management Directors</w:t>
      </w:r>
    </w:p>
    <w:p>
      <w:pPr>
        <w:spacing w:after="0" w:line="130" w:lineRule="exact"/>
        <w:rPr>
          <w:sz w:val="20"/>
          <w:szCs w:val="20"/>
          <w:color w:val="auto"/>
        </w:rPr>
      </w:pPr>
    </w:p>
    <w:p>
      <w:pPr>
        <w:jc w:val="both"/>
        <w:ind w:right="279"/>
        <w:spacing w:after="0" w:line="261" w:lineRule="auto"/>
        <w:rPr>
          <w:sz w:val="20"/>
          <w:szCs w:val="20"/>
          <w:color w:val="auto"/>
        </w:rPr>
      </w:pPr>
      <w:r>
        <w:rPr>
          <w:rFonts w:ascii="Arial" w:cs="Arial" w:eastAsia="Arial" w:hAnsi="Arial"/>
          <w:sz w:val="19"/>
          <w:szCs w:val="19"/>
          <w:color w:val="auto"/>
        </w:rPr>
        <w:t>The Company's independent directors meet regularly in executive session without management. The Board of Directors has designated a lead director to preside at executive sessions of independent directors. Mr. H. Craig Moody is currently the lead director.</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w:t>
      </w:r>
    </w:p>
    <w:p>
      <w:pPr>
        <w:spacing w:after="0" w:line="236" w:lineRule="exact"/>
        <w:rPr>
          <w:sz w:val="20"/>
          <w:szCs w:val="20"/>
          <w:color w:val="auto"/>
        </w:rPr>
      </w:pPr>
    </w:p>
    <w:p>
      <w:pPr>
        <w:jc w:val="both"/>
        <w:ind w:right="279" w:firstLine="633"/>
        <w:spacing w:after="0" w:line="267" w:lineRule="auto"/>
        <w:rPr>
          <w:sz w:val="20"/>
          <w:szCs w:val="20"/>
          <w:color w:val="auto"/>
        </w:rPr>
      </w:pPr>
      <w:r>
        <w:rPr>
          <w:rFonts w:ascii="Arial" w:cs="Arial" w:eastAsia="Arial" w:hAnsi="Arial"/>
          <w:sz w:val="18"/>
          <w:szCs w:val="18"/>
          <w:i w:val="1"/>
          <w:iCs w:val="1"/>
          <w:color w:val="auto"/>
        </w:rPr>
        <w:t xml:space="preserve">Garrett S. Sill </w:t>
      </w:r>
      <w:r>
        <w:rPr>
          <w:rFonts w:ascii="Arial" w:cs="Arial" w:eastAsia="Arial" w:hAnsi="Arial"/>
          <w:sz w:val="18"/>
          <w:szCs w:val="18"/>
          <w:color w:val="auto"/>
        </w:rPr>
        <w:t>has served as Chief Financial Officer and Treasurer since 2013. From 2011 to 2013, Mr. Sill</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and Assistant Treasurer of Security National Life Insurance Company, a wholly owned subsidiary of the Company. From 2002 to 2011, Mr. Sill was Chief Financial Officer and Treasurer of SecurityNational Mortgage, a wholly owned subsidiary of the Company. Mr. Sill is a certified public accountant, having been licensed since 2002. He holds a B.A. degree in Accounting from Weber State University and a Master’s degree in Business Administration from the University of Utah. Mr. Sill also serves as a member of the Advisory Council of the School of Accounting and Taxation at Weber State University.</w:t>
      </w:r>
    </w:p>
    <w:p>
      <w:pPr>
        <w:spacing w:after="0" w:line="182" w:lineRule="exact"/>
        <w:rPr>
          <w:sz w:val="20"/>
          <w:szCs w:val="20"/>
          <w:color w:val="auto"/>
        </w:rPr>
      </w:pPr>
    </w:p>
    <w:p>
      <w:pPr>
        <w:jc w:val="both"/>
        <w:ind w:right="279" w:firstLine="633"/>
        <w:spacing w:after="0" w:line="271" w:lineRule="auto"/>
        <w:rPr>
          <w:sz w:val="20"/>
          <w:szCs w:val="20"/>
          <w:color w:val="auto"/>
        </w:rPr>
      </w:pPr>
      <w:r>
        <w:rPr>
          <w:rFonts w:ascii="Arial" w:cs="Arial" w:eastAsia="Arial" w:hAnsi="Arial"/>
          <w:sz w:val="18"/>
          <w:szCs w:val="18"/>
          <w:i w:val="1"/>
          <w:iCs w:val="1"/>
          <w:color w:val="auto"/>
        </w:rPr>
        <w:t xml:space="preserve">Jeffrey R. Stephens </w:t>
      </w:r>
      <w:r>
        <w:rPr>
          <w:rFonts w:ascii="Arial" w:cs="Arial" w:eastAsia="Arial" w:hAnsi="Arial"/>
          <w:sz w:val="18"/>
          <w:szCs w:val="18"/>
          <w:color w:val="auto"/>
        </w:rPr>
        <w:t>has served as Senior General Counsel of the Company since 2017, as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from 2006 to 2017, and as Secretary of the Company since 2008. Mr. Stephens was in private practice from 1981 to 2006 in the states of Washington and Utah. Mr. Stephens holds a B.A. degree in Geography from the University of Utah and received his law degree from Brigham Young University. Mr. Stephens is a member of the Utah State Bar Association and the Washington State Bar Association.</w:t>
      </w:r>
    </w:p>
    <w:p>
      <w:pPr>
        <w:spacing w:after="0" w:line="177" w:lineRule="exact"/>
        <w:rPr>
          <w:sz w:val="20"/>
          <w:szCs w:val="20"/>
          <w:color w:val="auto"/>
        </w:rPr>
      </w:pPr>
    </w:p>
    <w:p>
      <w:pPr>
        <w:jc w:val="both"/>
        <w:ind w:right="279" w:firstLine="633"/>
        <w:spacing w:after="0" w:line="251" w:lineRule="auto"/>
        <w:rPr>
          <w:sz w:val="20"/>
          <w:szCs w:val="20"/>
          <w:color w:val="auto"/>
        </w:rPr>
      </w:pPr>
      <w:r>
        <w:rPr>
          <w:rFonts w:ascii="Arial" w:cs="Arial" w:eastAsia="Arial" w:hAnsi="Arial"/>
          <w:sz w:val="19"/>
          <w:szCs w:val="19"/>
          <w:i w:val="1"/>
          <w:iCs w:val="1"/>
          <w:color w:val="auto"/>
        </w:rPr>
        <w:t xml:space="preserve">Stephen C. Johnson </w:t>
      </w:r>
      <w:r>
        <w:rPr>
          <w:rFonts w:ascii="Arial" w:cs="Arial" w:eastAsia="Arial" w:hAnsi="Arial"/>
          <w:sz w:val="19"/>
          <w:szCs w:val="19"/>
          <w:color w:val="auto"/>
        </w:rPr>
        <w:t>began serving as the Vice President of Mortgage Operations of the Company and as</w:t>
      </w:r>
      <w:r>
        <w:rPr>
          <w:rFonts w:ascii="Arial" w:cs="Arial" w:eastAsia="Arial" w:hAnsi="Arial"/>
          <w:sz w:val="19"/>
          <w:szCs w:val="19"/>
          <w:i w:val="1"/>
          <w:iCs w:val="1"/>
          <w:color w:val="auto"/>
        </w:rPr>
        <w:t xml:space="preserve"> </w:t>
      </w:r>
      <w:r>
        <w:rPr>
          <w:rFonts w:ascii="Arial" w:cs="Arial" w:eastAsia="Arial" w:hAnsi="Arial"/>
          <w:sz w:val="19"/>
          <w:szCs w:val="19"/>
          <w:color w:val="auto"/>
        </w:rPr>
        <w:t>the President of SecurityNational Mortgage in 2016. Prior to Mr. Johnson’s appointment as President of SecurityNational Mortgage, Mr. Johnson served as Executive Vice President and Chief Operating Officer of SecurityNational Mortgage. Mr. Johnson has over 30 years of experience at the executive management level in the mortgage banking industry. Mr. Johnson holds a B.A. degree in International Relations from Brigham Young University and Master's degree in International Management and Finance from the American Graduate School of International Management (Thunderbird).</w:t>
      </w:r>
    </w:p>
    <w:p>
      <w:pPr>
        <w:spacing w:after="0" w:line="194" w:lineRule="exact"/>
        <w:rPr>
          <w:sz w:val="20"/>
          <w:szCs w:val="20"/>
          <w:color w:val="auto"/>
        </w:rPr>
      </w:pPr>
    </w:p>
    <w:p>
      <w:pPr>
        <w:jc w:val="both"/>
        <w:ind w:right="279" w:firstLine="633"/>
        <w:spacing w:after="0" w:line="265" w:lineRule="auto"/>
        <w:rPr>
          <w:sz w:val="20"/>
          <w:szCs w:val="20"/>
          <w:color w:val="auto"/>
        </w:rPr>
      </w:pPr>
      <w:r>
        <w:rPr>
          <w:rFonts w:ascii="Arial" w:cs="Arial" w:eastAsia="Arial" w:hAnsi="Arial"/>
          <w:sz w:val="18"/>
          <w:szCs w:val="18"/>
          <w:i w:val="1"/>
          <w:iCs w:val="1"/>
          <w:color w:val="auto"/>
        </w:rPr>
        <w:t xml:space="preserve">Adam G. Quist </w:t>
      </w:r>
      <w:r>
        <w:rPr>
          <w:rFonts w:ascii="Arial" w:cs="Arial" w:eastAsia="Arial" w:hAnsi="Arial"/>
          <w:sz w:val="18"/>
          <w:szCs w:val="18"/>
          <w:color w:val="auto"/>
        </w:rPr>
        <w:t>has served as Vice President – Memorial Services and Assistant Secretary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2015. From 2015 to 2017, he also served as the Company’s Associate General Counsel. Since 2017, Mr. Quist has served as the Company’s General Counsel. Mr. Quist has also served since 2015 as Vice President of Memorial Estates, Inc. (“Memorial Estates”) and since 2016 as Chief Operating Officer of Memorial Estates. Additionally, Mr. Quist has further served since 2015 as Vice President of Memorial Mortuary, Inc. (“Memorial Mortuary”) and since 2016 as Chief Operating Officer of Memorial Mortuary. Both Memorial Estates and Memorial Mortuary are wholly owned subsidiaries of the Company. Mr. Quist hold a B.S. degree and a Master’s degree in Accounting with an emphasis on taxation from Brigham Young University. He received his law degree from the University of Utah. Mr. Quist is a member of the Utah State Bar.</w:t>
      </w:r>
    </w:p>
    <w:p>
      <w:pPr>
        <w:spacing w:after="0" w:line="185" w:lineRule="exact"/>
        <w:rPr>
          <w:sz w:val="20"/>
          <w:szCs w:val="20"/>
          <w:color w:val="auto"/>
        </w:rPr>
      </w:pPr>
    </w:p>
    <w:p>
      <w:pPr>
        <w:jc w:val="both"/>
        <w:ind w:right="279"/>
        <w:spacing w:after="0" w:line="261" w:lineRule="auto"/>
        <w:rPr>
          <w:sz w:val="20"/>
          <w:szCs w:val="20"/>
          <w:color w:val="auto"/>
        </w:rPr>
      </w:pPr>
      <w:r>
        <w:rPr>
          <w:rFonts w:ascii="Arial" w:cs="Arial" w:eastAsia="Arial" w:hAnsi="Arial"/>
          <w:sz w:val="19"/>
          <w:szCs w:val="19"/>
          <w:color w:val="auto"/>
        </w:rPr>
        <w:t>The Board of Directors of the Company has a written procedure, which requires disclosure to the board of any material interest or any affiliation on the part of any of its officers, directors or employees that is in conflict or may be in conflict with the Company’s interests.</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19" w:name="page120"/>
    <w:bookmarkEnd w:id="119"/>
    <w:p>
      <w:pPr>
        <w:jc w:val="both"/>
        <w:ind w:left="5" w:right="920"/>
        <w:spacing w:after="0" w:line="278" w:lineRule="auto"/>
        <w:rPr>
          <w:sz w:val="20"/>
          <w:szCs w:val="20"/>
          <w:color w:val="auto"/>
        </w:rPr>
      </w:pPr>
      <w:r>
        <w:rPr>
          <w:rFonts w:ascii="Arial" w:cs="Arial" w:eastAsia="Arial" w:hAnsi="Arial"/>
          <w:sz w:val="19"/>
          <w:szCs w:val="19"/>
          <w:color w:val="auto"/>
        </w:rPr>
        <w:t>All executive officers and directors of the Company hold office until the next Annual Meeting of Stockholders and until their successors have been elected and qualified.</w:t>
      </w:r>
    </w:p>
    <w:p>
      <w:pPr>
        <w:spacing w:after="0" w:line="16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Corporate Governance</w:t>
      </w:r>
    </w:p>
    <w:p>
      <w:pPr>
        <w:spacing w:after="0" w:line="230" w:lineRule="exact"/>
        <w:rPr>
          <w:sz w:val="20"/>
          <w:szCs w:val="20"/>
          <w:color w:val="auto"/>
        </w:rPr>
      </w:pPr>
    </w:p>
    <w:p>
      <w:pPr>
        <w:jc w:val="both"/>
        <w:ind w:left="5" w:right="900"/>
        <w:spacing w:after="0" w:line="250" w:lineRule="auto"/>
        <w:rPr>
          <w:sz w:val="20"/>
          <w:szCs w:val="20"/>
          <w:color w:val="auto"/>
        </w:rPr>
      </w:pPr>
      <w:r>
        <w:rPr>
          <w:rFonts w:ascii="Arial" w:cs="Arial" w:eastAsia="Arial" w:hAnsi="Arial"/>
          <w:sz w:val="19"/>
          <w:szCs w:val="19"/>
          <w:b w:val="1"/>
          <w:bCs w:val="1"/>
          <w:color w:val="auto"/>
        </w:rPr>
        <w:t>Corporate Governance Guidelines</w:t>
      </w:r>
      <w:r>
        <w:rPr>
          <w:rFonts w:ascii="Arial" w:cs="Arial" w:eastAsia="Arial" w:hAnsi="Arial"/>
          <w:sz w:val="19"/>
          <w:szCs w:val="19"/>
          <w:color w:val="auto"/>
        </w:rPr>
        <w:t>. The Board of Directors has adopted the Security National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Corporate Governance Guidelines. These guidelines outline the functions of the board, director qualifications and responsibilities, and various processes and procedures designed to insure effective and responsive governance. The Board of Directors has also adopted a written committee charter for its Audit Committee and Compensation Committee. The guidelines and committee charters are reviewed from time to time in response to regulatory requirements and best practices and are revised accordingly. The full text of the guidelines and the committee charters are available on the Company’s website at </w:t>
      </w:r>
      <w:r>
        <w:rPr>
          <w:rFonts w:ascii="Arial" w:cs="Arial" w:eastAsia="Arial" w:hAnsi="Arial"/>
          <w:sz w:val="19"/>
          <w:szCs w:val="19"/>
          <w:u w:val="single" w:color="auto"/>
          <w:color w:val="0000FF"/>
        </w:rPr>
        <w:t>www.securitynational.com</w:t>
      </w:r>
      <w:r>
        <w:rPr>
          <w:rFonts w:ascii="Arial" w:cs="Arial" w:eastAsia="Arial" w:hAnsi="Arial"/>
          <w:sz w:val="19"/>
          <w:szCs w:val="19"/>
          <w:color w:val="0000FF"/>
        </w:rPr>
        <w:t>.</w:t>
      </w:r>
      <w:r>
        <w:rPr>
          <w:rFonts w:ascii="Arial" w:cs="Arial" w:eastAsia="Arial" w:hAnsi="Arial"/>
          <w:sz w:val="19"/>
          <w:szCs w:val="19"/>
          <w:color w:val="auto"/>
        </w:rPr>
        <w:t xml:space="preserve"> A copy of the Corporate Governance Guidelines may also be obtained at no charge by written request to the attention of Jeffrey R. Stephens, Secretary, Security National Financial Corporation, 121 West Election Road., Suite 100, Draper, Utah 84020.</w:t>
      </w:r>
    </w:p>
    <w:p>
      <w:pPr>
        <w:spacing w:after="0" w:line="190" w:lineRule="exact"/>
        <w:rPr>
          <w:sz w:val="20"/>
          <w:szCs w:val="20"/>
          <w:color w:val="auto"/>
        </w:rPr>
      </w:pPr>
    </w:p>
    <w:p>
      <w:pPr>
        <w:jc w:val="both"/>
        <w:ind w:left="5" w:right="900"/>
        <w:spacing w:after="0" w:line="265" w:lineRule="auto"/>
        <w:rPr>
          <w:sz w:val="20"/>
          <w:szCs w:val="20"/>
          <w:color w:val="auto"/>
        </w:rPr>
      </w:pPr>
      <w:r>
        <w:rPr>
          <w:rFonts w:ascii="Arial" w:cs="Arial" w:eastAsia="Arial" w:hAnsi="Arial"/>
          <w:sz w:val="18"/>
          <w:szCs w:val="18"/>
          <w:b w:val="1"/>
          <w:bCs w:val="1"/>
          <w:color w:val="auto"/>
        </w:rPr>
        <w:t>Code of Business Conduct and Ethics</w:t>
      </w:r>
      <w:r>
        <w:rPr>
          <w:rFonts w:ascii="Arial" w:cs="Arial" w:eastAsia="Arial" w:hAnsi="Arial"/>
          <w:sz w:val="18"/>
          <w:szCs w:val="18"/>
          <w:color w:val="auto"/>
        </w:rPr>
        <w:t>. All of the Company’s officers, employees, and directors are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comply with the Company’s Code of Business Conduct and Ethics to help ensure that the Company’s business is conducted in accordance with appropriate standards of ethical behavior. The Company’s Code of Business Conduct and Ethics covers all areas of professional conduct, including customer relationships, conflicts of interest, insider trading, financial disclosures, intellectual property, and confidential information, as well as requiring adherence to all laws and regulations applicable to the Company’s business. Employees are required to report any violations or suspected violations of the Code. The Code includes an anti-retaliation statement. The full text of the Code of Business Conduct and Ethics is available on the Company’s website at </w:t>
      </w:r>
      <w:r>
        <w:rPr>
          <w:rFonts w:ascii="Arial" w:cs="Arial" w:eastAsia="Arial" w:hAnsi="Arial"/>
          <w:sz w:val="18"/>
          <w:szCs w:val="18"/>
          <w:u w:val="single" w:color="auto"/>
          <w:color w:val="0000FF"/>
        </w:rPr>
        <w:t>www.securitynational.com</w:t>
      </w:r>
      <w:r>
        <w:rPr>
          <w:rFonts w:ascii="Arial" w:cs="Arial" w:eastAsia="Arial" w:hAnsi="Arial"/>
          <w:sz w:val="18"/>
          <w:szCs w:val="18"/>
          <w:color w:val="0000FF"/>
        </w:rPr>
        <w:t>.</w:t>
      </w:r>
      <w:r>
        <w:rPr>
          <w:rFonts w:ascii="Arial" w:cs="Arial" w:eastAsia="Arial" w:hAnsi="Arial"/>
          <w:sz w:val="18"/>
          <w:szCs w:val="18"/>
          <w:color w:val="auto"/>
        </w:rPr>
        <w:t xml:space="preserve"> A copy of the Code of Business Conduct and Ethics may also be obtained at no charge by written request to the attention of Jeffrey R. Stephens, Secretary, Security National Financial Corporation, 121 West Election Road., Suite 100, Draper, Utah 84020.</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Item 11. Executive Compensation</w:t>
      </w:r>
    </w:p>
    <w:p>
      <w:pPr>
        <w:spacing w:after="0" w:line="236" w:lineRule="exact"/>
        <w:rPr>
          <w:sz w:val="20"/>
          <w:szCs w:val="20"/>
          <w:color w:val="auto"/>
        </w:rPr>
      </w:pPr>
    </w:p>
    <w:p>
      <w:pPr>
        <w:jc w:val="both"/>
        <w:ind w:left="5" w:right="900"/>
        <w:spacing w:after="0" w:line="256" w:lineRule="auto"/>
        <w:rPr>
          <w:sz w:val="20"/>
          <w:szCs w:val="20"/>
          <w:color w:val="auto"/>
        </w:rPr>
      </w:pPr>
      <w:r>
        <w:rPr>
          <w:rFonts w:ascii="Arial" w:cs="Arial" w:eastAsia="Arial" w:hAnsi="Arial"/>
          <w:sz w:val="19"/>
          <w:szCs w:val="19"/>
          <w:color w:val="auto"/>
        </w:rPr>
        <w:t>The following table sets forth, for each of the last two fiscal years, the compensation received by the Company’s Chief Executive Officer, the Company’s Chief Financial Officer, and the Company’s three other most highly compensated executive officers who were serving as executive officers at the end of 2020 (collectively, the “Named Executive Officers”).</w:t>
      </w:r>
    </w:p>
    <w:p>
      <w:pPr>
        <w:spacing w:after="0" w:line="183" w:lineRule="exact"/>
        <w:rPr>
          <w:sz w:val="20"/>
          <w:szCs w:val="20"/>
          <w:color w:val="auto"/>
        </w:rPr>
      </w:pPr>
    </w:p>
    <w:p>
      <w:pPr>
        <w:ind w:left="2785"/>
        <w:spacing w:after="0"/>
        <w:rPr>
          <w:sz w:val="20"/>
          <w:szCs w:val="20"/>
          <w:color w:val="auto"/>
        </w:rPr>
      </w:pPr>
      <w:r>
        <w:rPr>
          <w:rFonts w:ascii="Arial" w:cs="Arial" w:eastAsia="Arial" w:hAnsi="Arial"/>
          <w:sz w:val="19"/>
          <w:szCs w:val="19"/>
          <w:b w:val="1"/>
          <w:bCs w:val="1"/>
          <w:color w:val="auto"/>
        </w:rPr>
        <w:t>SUMMARY COMPENSATION TABLE</w:t>
      </w:r>
    </w:p>
    <w:p>
      <w:pPr>
        <w:spacing w:after="0" w:line="246"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Change in Pension</w:t>
            </w: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3"/>
              </w:rPr>
              <w:t>Value Non-</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7"/>
              </w:rPr>
              <w:t>Non-Equity</w:t>
            </w:r>
          </w:p>
        </w:tc>
        <w:tc>
          <w:tcPr>
            <w:tcW w:w="120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4"/>
              </w:rPr>
              <w:t>qualified Deferred</w:t>
            </w:r>
          </w:p>
        </w:tc>
        <w:tc>
          <w:tcPr>
            <w:tcW w:w="1060" w:type="dxa"/>
            <w:vAlign w:val="bottom"/>
            <w:gridSpan w:val="3"/>
          </w:tcPr>
          <w:p>
            <w:pPr>
              <w:jc w:val="center"/>
              <w:ind w:right="240"/>
              <w:spacing w:after="0" w:line="132" w:lineRule="exact"/>
              <w:rPr>
                <w:sz w:val="20"/>
                <w:szCs w:val="20"/>
                <w:color w:val="auto"/>
              </w:rPr>
            </w:pPr>
            <w:r>
              <w:rPr>
                <w:rFonts w:ascii="Arial" w:cs="Arial" w:eastAsia="Arial" w:hAnsi="Arial"/>
                <w:sz w:val="12"/>
                <w:szCs w:val="12"/>
                <w:color w:val="auto"/>
                <w:w w:val="98"/>
              </w:rPr>
              <w:t>All Other</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6"/>
              </w:rPr>
              <w:t>Options</w:t>
            </w:r>
          </w:p>
        </w:tc>
        <w:tc>
          <w:tcPr>
            <w:tcW w:w="104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2"/>
              </w:rPr>
              <w:t>Incentive Plan</w:t>
            </w:r>
          </w:p>
        </w:tc>
        <w:tc>
          <w:tcPr>
            <w:tcW w:w="120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3"/>
              </w:rPr>
              <w:t>Compensation</w:t>
            </w:r>
          </w:p>
        </w:tc>
        <w:tc>
          <w:tcPr>
            <w:tcW w:w="1060" w:type="dxa"/>
            <w:vAlign w:val="bottom"/>
            <w:gridSpan w:val="3"/>
          </w:tcPr>
          <w:p>
            <w:pPr>
              <w:jc w:val="center"/>
              <w:ind w:right="240"/>
              <w:spacing w:after="0" w:line="132" w:lineRule="exact"/>
              <w:rPr>
                <w:sz w:val="20"/>
                <w:szCs w:val="20"/>
                <w:color w:val="auto"/>
              </w:rPr>
            </w:pPr>
            <w:r>
              <w:rPr>
                <w:rFonts w:ascii="Arial" w:cs="Arial" w:eastAsia="Arial" w:hAnsi="Arial"/>
                <w:sz w:val="12"/>
                <w:szCs w:val="12"/>
                <w:color w:val="auto"/>
                <w:w w:val="90"/>
              </w:rPr>
              <w:t>Compen-sation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900" w:type="dxa"/>
            <w:vAlign w:val="bottom"/>
          </w:tcPr>
          <w:p>
            <w:pPr>
              <w:ind w:left="700"/>
              <w:spacing w:after="0" w:line="132" w:lineRule="exact"/>
              <w:rPr>
                <w:sz w:val="20"/>
                <w:szCs w:val="20"/>
                <w:color w:val="auto"/>
              </w:rPr>
            </w:pPr>
            <w:r>
              <w:rPr>
                <w:rFonts w:ascii="Arial" w:cs="Arial" w:eastAsia="Arial" w:hAnsi="Arial"/>
                <w:sz w:val="12"/>
                <w:szCs w:val="12"/>
                <w:color w:val="auto"/>
              </w:rPr>
              <w:t>Name and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ind w:left="220"/>
              <w:spacing w:after="0" w:line="132" w:lineRule="exact"/>
              <w:rPr>
                <w:sz w:val="20"/>
                <w:szCs w:val="20"/>
                <w:color w:val="auto"/>
              </w:rPr>
            </w:pPr>
            <w:r>
              <w:rPr>
                <w:rFonts w:ascii="Arial" w:cs="Arial" w:eastAsia="Arial" w:hAnsi="Arial"/>
                <w:sz w:val="12"/>
                <w:szCs w:val="12"/>
                <w:color w:val="auto"/>
              </w:rPr>
              <w:t>Salary</w:t>
            </w:r>
          </w:p>
        </w:tc>
        <w:tc>
          <w:tcPr>
            <w:tcW w:w="100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Bonus</w:t>
            </w:r>
          </w:p>
        </w:tc>
        <w:tc>
          <w:tcPr>
            <w:tcW w:w="86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4"/>
              </w:rPr>
              <w:t>Awards</w:t>
            </w:r>
          </w:p>
        </w:tc>
        <w:tc>
          <w:tcPr>
            <w:tcW w:w="104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0"/>
              </w:rPr>
              <w:t>Compen-sation</w:t>
            </w:r>
          </w:p>
        </w:tc>
        <w:tc>
          <w:tcPr>
            <w:tcW w:w="120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4"/>
              </w:rPr>
              <w:t>Earnings (1)</w:t>
            </w:r>
          </w:p>
        </w:tc>
        <w:tc>
          <w:tcPr>
            <w:tcW w:w="340" w:type="dxa"/>
            <w:vAlign w:val="bottom"/>
          </w:tcPr>
          <w:p>
            <w:pPr>
              <w:spacing w:after="0"/>
              <w:rPr>
                <w:sz w:val="11"/>
                <w:szCs w:val="11"/>
                <w:color w:val="auto"/>
              </w:rPr>
            </w:pPr>
          </w:p>
        </w:tc>
        <w:tc>
          <w:tcPr>
            <w:tcW w:w="480" w:type="dxa"/>
            <w:vAlign w:val="bottom"/>
          </w:tcPr>
          <w:p>
            <w:pPr>
              <w:jc w:val="center"/>
              <w:ind w:right="278"/>
              <w:spacing w:after="0" w:line="132" w:lineRule="exact"/>
              <w:rPr>
                <w:sz w:val="20"/>
                <w:szCs w:val="20"/>
                <w:color w:val="auto"/>
              </w:rPr>
            </w:pPr>
            <w:r>
              <w:rPr>
                <w:rFonts w:ascii="Arial" w:cs="Arial" w:eastAsia="Arial" w:hAnsi="Arial"/>
                <w:sz w:val="12"/>
                <w:szCs w:val="12"/>
                <w:color w:val="auto"/>
                <w:w w:val="95"/>
              </w:rPr>
              <w:t>(2)</w:t>
            </w:r>
          </w:p>
        </w:tc>
        <w:tc>
          <w:tcPr>
            <w:tcW w:w="240" w:type="dxa"/>
            <w:vAlign w:val="bottom"/>
          </w:tcPr>
          <w:p>
            <w:pPr>
              <w:spacing w:after="0"/>
              <w:rPr>
                <w:sz w:val="11"/>
                <w:szCs w:val="11"/>
                <w:color w:val="auto"/>
              </w:rPr>
            </w:pPr>
          </w:p>
        </w:tc>
        <w:tc>
          <w:tcPr>
            <w:tcW w:w="720" w:type="dxa"/>
            <w:vAlign w:val="bottom"/>
          </w:tcPr>
          <w:p>
            <w:pPr>
              <w:jc w:val="right"/>
              <w:ind w:right="158"/>
              <w:spacing w:after="0" w:line="132"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7"/>
        </w:trPr>
        <w:tc>
          <w:tcPr>
            <w:tcW w:w="1900" w:type="dxa"/>
            <w:vAlign w:val="bottom"/>
          </w:tcPr>
          <w:p>
            <w:pPr>
              <w:ind w:left="500"/>
              <w:spacing w:after="0"/>
              <w:rPr>
                <w:sz w:val="20"/>
                <w:szCs w:val="20"/>
                <w:color w:val="auto"/>
              </w:rPr>
            </w:pPr>
            <w:r>
              <w:rPr>
                <w:rFonts w:ascii="Arial" w:cs="Arial" w:eastAsia="Arial" w:hAnsi="Arial"/>
                <w:sz w:val="12"/>
                <w:szCs w:val="12"/>
                <w:color w:val="auto"/>
              </w:rPr>
              <w:t>Principal Position</w:t>
            </w:r>
          </w:p>
        </w:tc>
        <w:tc>
          <w:tcPr>
            <w:tcW w:w="24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color w:val="auto"/>
              </w:rPr>
              <w:t>Year</w:t>
            </w:r>
          </w:p>
        </w:tc>
        <w:tc>
          <w:tcPr>
            <w:tcW w:w="7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78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2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jc w:val="center"/>
              <w:ind w:right="278"/>
              <w:spacing w:after="0"/>
              <w:rPr>
                <w:sz w:val="20"/>
                <w:szCs w:val="20"/>
                <w:color w:val="auto"/>
              </w:rPr>
            </w:pPr>
            <w:r>
              <w:rPr>
                <w:rFonts w:ascii="Arial" w:cs="Arial" w:eastAsia="Arial" w:hAnsi="Arial"/>
                <w:sz w:val="12"/>
                <w:szCs w:val="12"/>
                <w:color w:val="auto"/>
                <w:w w:val="95"/>
              </w:rPr>
              <w:t>($)</w:t>
            </w:r>
          </w:p>
        </w:tc>
        <w:tc>
          <w:tcPr>
            <w:tcW w:w="240" w:type="dxa"/>
            <w:vAlign w:val="bottom"/>
          </w:tcPr>
          <w:p>
            <w:pPr>
              <w:spacing w:after="0"/>
              <w:rPr>
                <w:sz w:val="13"/>
                <w:szCs w:val="13"/>
                <w:color w:val="auto"/>
              </w:rPr>
            </w:pPr>
          </w:p>
        </w:tc>
        <w:tc>
          <w:tcPr>
            <w:tcW w:w="7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1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2"/>
                <w:szCs w:val="12"/>
                <w:color w:val="auto"/>
              </w:rPr>
              <w:t>Scott M. Quist</w:t>
            </w:r>
          </w:p>
        </w:tc>
        <w:tc>
          <w:tcPr>
            <w:tcW w:w="2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2"/>
                <w:szCs w:val="12"/>
                <w:color w:val="auto"/>
              </w:rPr>
              <w:t>2020</w:t>
            </w:r>
          </w:p>
        </w:tc>
        <w:tc>
          <w:tcPr>
            <w:tcW w:w="2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$ 558,950</w:t>
            </w:r>
          </w:p>
        </w:tc>
        <w:tc>
          <w:tcPr>
            <w:tcW w:w="2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$ 157,800</w:t>
            </w: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49,969</w:t>
            </w:r>
          </w:p>
        </w:tc>
        <w:tc>
          <w:tcPr>
            <w:tcW w:w="2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$ 766,719</w:t>
            </w:r>
          </w:p>
        </w:tc>
        <w:tc>
          <w:tcPr>
            <w:tcW w:w="0" w:type="dxa"/>
            <w:vAlign w:val="bottom"/>
          </w:tcPr>
          <w:p>
            <w:pPr>
              <w:spacing w:after="0"/>
              <w:rPr>
                <w:sz w:val="1"/>
                <w:szCs w:val="1"/>
                <w:color w:val="auto"/>
              </w:rPr>
            </w:pPr>
          </w:p>
        </w:tc>
      </w:tr>
      <w:tr>
        <w:trPr>
          <w:trHeight w:val="77"/>
        </w:trPr>
        <w:tc>
          <w:tcPr>
            <w:tcW w:w="1900" w:type="dxa"/>
            <w:vAlign w:val="bottom"/>
            <w:vMerge w:val="restart"/>
            <w:shd w:val="clear" w:color="auto" w:fill="CCEEFF"/>
          </w:tcPr>
          <w:p>
            <w:pPr>
              <w:ind w:left="40"/>
              <w:spacing w:after="0" w:line="132" w:lineRule="exact"/>
              <w:rPr>
                <w:sz w:val="20"/>
                <w:szCs w:val="20"/>
                <w:color w:val="auto"/>
              </w:rPr>
            </w:pPr>
            <w:r>
              <w:rPr>
                <w:rFonts w:ascii="Arial" w:cs="Arial" w:eastAsia="Arial" w:hAnsi="Arial"/>
                <w:sz w:val="12"/>
                <w:szCs w:val="12"/>
                <w:color w:val="auto"/>
              </w:rPr>
              <w:t>Chairman of the Board, President</w:t>
            </w:r>
          </w:p>
        </w:tc>
        <w:tc>
          <w:tcPr>
            <w:tcW w:w="24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9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and Chief Executive Officer</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528,498</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151,300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48,012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727,810</w:t>
            </w: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Garrett S. Sill</w:t>
            </w:r>
          </w:p>
        </w:tc>
        <w:tc>
          <w:tcPr>
            <w:tcW w:w="2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$ 239,333</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$ 112,000</w:t>
            </w:r>
          </w:p>
        </w:tc>
        <w:tc>
          <w:tcPr>
            <w:tcW w:w="2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37,986</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$ 389,319</w:t>
            </w:r>
          </w:p>
        </w:tc>
        <w:tc>
          <w:tcPr>
            <w:tcW w:w="0" w:type="dxa"/>
            <w:vAlign w:val="bottom"/>
          </w:tcPr>
          <w:p>
            <w:pPr>
              <w:spacing w:after="0"/>
              <w:rPr>
                <w:sz w:val="1"/>
                <w:szCs w:val="1"/>
                <w:color w:val="auto"/>
              </w:rPr>
            </w:pPr>
          </w:p>
        </w:tc>
      </w:tr>
      <w:tr>
        <w:trPr>
          <w:trHeight w:val="77"/>
        </w:trPr>
        <w:tc>
          <w:tcPr>
            <w:tcW w:w="1900" w:type="dxa"/>
            <w:vAlign w:val="bottom"/>
            <w:vMerge w:val="restart"/>
            <w:shd w:val="clear" w:color="auto" w:fill="CCEEFF"/>
          </w:tcPr>
          <w:p>
            <w:pPr>
              <w:ind w:left="40"/>
              <w:spacing w:after="0" w:line="132" w:lineRule="exact"/>
              <w:rPr>
                <w:sz w:val="20"/>
                <w:szCs w:val="20"/>
                <w:color w:val="auto"/>
              </w:rPr>
            </w:pPr>
            <w:r>
              <w:rPr>
                <w:rFonts w:ascii="Arial" w:cs="Arial" w:eastAsia="Arial" w:hAnsi="Arial"/>
                <w:sz w:val="12"/>
                <w:szCs w:val="12"/>
                <w:color w:val="auto"/>
              </w:rPr>
              <w:t>Chief Financial Officer</w:t>
            </w:r>
          </w:p>
        </w:tc>
        <w:tc>
          <w:tcPr>
            <w:tcW w:w="24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9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and Treasurer</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223,373</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36,200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36,934</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296,507</w:t>
            </w: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Stephen C. Johnson</w:t>
            </w:r>
          </w:p>
        </w:tc>
        <w:tc>
          <w:tcPr>
            <w:tcW w:w="2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$ 360,000</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$ 284,828</w:t>
            </w:r>
          </w:p>
        </w:tc>
        <w:tc>
          <w:tcPr>
            <w:tcW w:w="2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24,400</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$ 669,228</w:t>
            </w:r>
          </w:p>
        </w:tc>
        <w:tc>
          <w:tcPr>
            <w:tcW w:w="0" w:type="dxa"/>
            <w:vAlign w:val="bottom"/>
          </w:tcPr>
          <w:p>
            <w:pPr>
              <w:spacing w:after="0"/>
              <w:rPr>
                <w:sz w:val="1"/>
                <w:szCs w:val="1"/>
                <w:color w:val="auto"/>
              </w:rPr>
            </w:pPr>
          </w:p>
        </w:tc>
      </w:tr>
      <w:tr>
        <w:trPr>
          <w:trHeight w:val="77"/>
        </w:trPr>
        <w:tc>
          <w:tcPr>
            <w:tcW w:w="1900" w:type="dxa"/>
            <w:vAlign w:val="bottom"/>
            <w:vMerge w:val="restart"/>
            <w:shd w:val="clear" w:color="auto" w:fill="CCEEFF"/>
          </w:tcPr>
          <w:p>
            <w:pPr>
              <w:ind w:left="40"/>
              <w:spacing w:after="0" w:line="132" w:lineRule="exact"/>
              <w:rPr>
                <w:sz w:val="20"/>
                <w:szCs w:val="20"/>
                <w:color w:val="auto"/>
              </w:rPr>
            </w:pPr>
            <w:r>
              <w:rPr>
                <w:rFonts w:ascii="Arial" w:cs="Arial" w:eastAsia="Arial" w:hAnsi="Arial"/>
                <w:sz w:val="12"/>
                <w:szCs w:val="12"/>
                <w:color w:val="auto"/>
              </w:rPr>
              <w:t>Vice President of Mortgage</w:t>
            </w:r>
          </w:p>
        </w:tc>
        <w:tc>
          <w:tcPr>
            <w:tcW w:w="24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9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shd w:val="clear" w:color="auto" w:fill="CCEEFF"/>
          </w:tcPr>
          <w:p>
            <w:pPr>
              <w:ind w:left="60"/>
              <w:spacing w:after="0"/>
              <w:rPr>
                <w:sz w:val="20"/>
                <w:szCs w:val="20"/>
                <w:color w:val="auto"/>
              </w:rPr>
            </w:pPr>
            <w:r>
              <w:rPr>
                <w:rFonts w:ascii="Arial" w:cs="Arial" w:eastAsia="Arial" w:hAnsi="Arial"/>
                <w:sz w:val="12"/>
                <w:szCs w:val="12"/>
                <w:color w:val="auto"/>
              </w:rPr>
              <w:t>Operations</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325,841</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87,617</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11,706</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425,164</w:t>
            </w: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S. Andrew Quist</w:t>
            </w:r>
          </w:p>
        </w:tc>
        <w:tc>
          <w:tcPr>
            <w:tcW w:w="2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$ 265,667</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$ 138,325</w:t>
            </w:r>
          </w:p>
        </w:tc>
        <w:tc>
          <w:tcPr>
            <w:tcW w:w="2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33,561</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$ 437,553</w:t>
            </w:r>
          </w:p>
        </w:tc>
        <w:tc>
          <w:tcPr>
            <w:tcW w:w="0" w:type="dxa"/>
            <w:vAlign w:val="bottom"/>
          </w:tcPr>
          <w:p>
            <w:pPr>
              <w:spacing w:after="0"/>
              <w:rPr>
                <w:sz w:val="1"/>
                <w:szCs w:val="1"/>
                <w:color w:val="auto"/>
              </w:rPr>
            </w:pPr>
          </w:p>
        </w:tc>
      </w:tr>
      <w:tr>
        <w:trPr>
          <w:trHeight w:val="77"/>
        </w:trPr>
        <w:tc>
          <w:tcPr>
            <w:tcW w:w="1900" w:type="dxa"/>
            <w:vAlign w:val="bottom"/>
            <w:vMerge w:val="restart"/>
            <w:shd w:val="clear" w:color="auto" w:fill="CCEEFF"/>
          </w:tcPr>
          <w:p>
            <w:pPr>
              <w:ind w:left="40"/>
              <w:spacing w:after="0" w:line="132" w:lineRule="exact"/>
              <w:rPr>
                <w:sz w:val="20"/>
                <w:szCs w:val="20"/>
                <w:color w:val="auto"/>
              </w:rPr>
            </w:pPr>
            <w:r>
              <w:rPr>
                <w:rFonts w:ascii="Arial" w:cs="Arial" w:eastAsia="Arial" w:hAnsi="Arial"/>
                <w:sz w:val="12"/>
                <w:szCs w:val="12"/>
                <w:color w:val="auto"/>
              </w:rPr>
              <w:t>Vice President and</w:t>
            </w:r>
          </w:p>
        </w:tc>
        <w:tc>
          <w:tcPr>
            <w:tcW w:w="24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9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shd w:val="clear" w:color="auto" w:fill="CCEEFF"/>
          </w:tcPr>
          <w:p>
            <w:pPr>
              <w:ind w:left="40"/>
              <w:spacing w:after="0"/>
              <w:rPr>
                <w:sz w:val="20"/>
                <w:szCs w:val="20"/>
                <w:color w:val="auto"/>
              </w:rPr>
            </w:pPr>
            <w:r>
              <w:rPr>
                <w:rFonts w:ascii="Arial" w:cs="Arial" w:eastAsia="Arial" w:hAnsi="Arial"/>
                <w:sz w:val="12"/>
                <w:szCs w:val="12"/>
                <w:color w:val="auto"/>
              </w:rPr>
              <w:t>General Counsel</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245,440</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92,325</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31,686</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369,451</w:t>
            </w: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Jeffrey R. Stephens</w:t>
            </w:r>
          </w:p>
        </w:tc>
        <w:tc>
          <w:tcPr>
            <w:tcW w:w="24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$ 205,167</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30,275</w:t>
            </w:r>
          </w:p>
        </w:tc>
        <w:tc>
          <w:tcPr>
            <w:tcW w:w="2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24,928</w:t>
            </w:r>
          </w:p>
        </w:tc>
        <w:tc>
          <w:tcPr>
            <w:tcW w:w="2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$ 260,370</w:t>
            </w:r>
          </w:p>
        </w:tc>
        <w:tc>
          <w:tcPr>
            <w:tcW w:w="0" w:type="dxa"/>
            <w:vAlign w:val="bottom"/>
          </w:tcPr>
          <w:p>
            <w:pPr>
              <w:spacing w:after="0"/>
              <w:rPr>
                <w:sz w:val="1"/>
                <w:szCs w:val="1"/>
                <w:color w:val="auto"/>
              </w:rPr>
            </w:pPr>
          </w:p>
        </w:tc>
      </w:tr>
      <w:tr>
        <w:trPr>
          <w:trHeight w:val="77"/>
        </w:trPr>
        <w:tc>
          <w:tcPr>
            <w:tcW w:w="1900" w:type="dxa"/>
            <w:vAlign w:val="bottom"/>
            <w:vMerge w:val="restart"/>
            <w:shd w:val="clear" w:color="auto" w:fill="CCEEFF"/>
          </w:tcPr>
          <w:p>
            <w:pPr>
              <w:ind w:left="40"/>
              <w:spacing w:after="0" w:line="132" w:lineRule="exact"/>
              <w:rPr>
                <w:sz w:val="20"/>
                <w:szCs w:val="20"/>
                <w:color w:val="auto"/>
              </w:rPr>
            </w:pPr>
            <w:r>
              <w:rPr>
                <w:rFonts w:ascii="Arial" w:cs="Arial" w:eastAsia="Arial" w:hAnsi="Arial"/>
                <w:sz w:val="12"/>
                <w:szCs w:val="12"/>
                <w:color w:val="auto"/>
              </w:rPr>
              <w:t>Senior General Counsel and</w:t>
            </w:r>
          </w:p>
        </w:tc>
        <w:tc>
          <w:tcPr>
            <w:tcW w:w="24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1900" w:type="dxa"/>
            <w:vAlign w:val="bottom"/>
            <w:vMerge w:val="continue"/>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shd w:val="clear" w:color="auto" w:fill="CCEEFF"/>
          </w:tcPr>
          <w:p>
            <w:pPr>
              <w:ind w:left="40"/>
              <w:spacing w:after="0"/>
              <w:rPr>
                <w:sz w:val="20"/>
                <w:szCs w:val="20"/>
                <w:color w:val="auto"/>
              </w:rPr>
            </w:pPr>
            <w:r>
              <w:rPr>
                <w:rFonts w:ascii="Arial" w:cs="Arial" w:eastAsia="Arial" w:hAnsi="Arial"/>
                <w:sz w:val="12"/>
                <w:szCs w:val="12"/>
                <w:color w:val="auto"/>
              </w:rPr>
              <w:t>Secretary</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197,205</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15,875</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23,201</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236,281</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
        <w:spacing w:after="0"/>
        <w:rPr>
          <w:sz w:val="20"/>
          <w:szCs w:val="20"/>
          <w:color w:val="auto"/>
        </w:rPr>
      </w:pPr>
      <w:r>
        <w:rPr>
          <w:rFonts w:ascii="Arial" w:cs="Arial" w:eastAsia="Arial" w:hAnsi="Arial"/>
          <w:sz w:val="21"/>
          <w:szCs w:val="21"/>
          <w:color w:val="auto"/>
        </w:rPr>
        <w:t>_____________</w:t>
      </w:r>
    </w:p>
    <w:p>
      <w:pPr>
        <w:spacing w:after="0" w:line="119" w:lineRule="exact"/>
        <w:rPr>
          <w:sz w:val="20"/>
          <w:szCs w:val="20"/>
          <w:color w:val="auto"/>
        </w:rPr>
      </w:pPr>
    </w:p>
    <w:p>
      <w:pPr>
        <w:ind w:left="325" w:right="940" w:hanging="325"/>
        <w:spacing w:after="0" w:line="261" w:lineRule="auto"/>
        <w:tabs>
          <w:tab w:leader="none" w:pos="32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amounts indicated under “Change in Pension Value and Non-Qualified Deferred Compensation Earnings” consist of amounts that the Company contributed into a trust for the benefit of the Named Executive Officers under the Company’s Non-Qualified Deferred Compensation Plan.</w:t>
      </w:r>
    </w:p>
    <w:p>
      <w:pPr>
        <w:sectPr>
          <w:pgSz w:w="11900" w:h="16838" w:orient="portrait"/>
          <w:cols w:equalWidth="0" w:num="1">
            <w:col w:w="9805"/>
          </w:cols>
          <w:pgMar w:left="1275" w:top="122" w:right="819" w:bottom="1440" w:gutter="0" w:footer="0" w:header="0"/>
        </w:sectPr>
      </w:pPr>
    </w:p>
    <w:p>
      <w:pPr>
        <w:spacing w:after="0" w:line="215" w:lineRule="exact"/>
        <w:rPr>
          <w:sz w:val="20"/>
          <w:szCs w:val="20"/>
          <w:color w:val="auto"/>
        </w:rPr>
      </w:pPr>
    </w:p>
    <w:p>
      <w:pPr>
        <w:ind w:left="4325"/>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5653405" cy="336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805"/>
          </w:cols>
          <w:pgMar w:left="1275" w:top="122" w:right="819" w:bottom="1440" w:gutter="0" w:footer="0" w:header="0"/>
          <w:type w:val="continuous"/>
        </w:sectPr>
      </w:pPr>
    </w:p>
    <w:bookmarkStart w:id="120" w:name="page121"/>
    <w:bookmarkEnd w:id="120"/>
    <w:p>
      <w:pPr>
        <w:ind w:left="325" w:right="1120" w:hanging="325"/>
        <w:spacing w:after="0" w:line="255" w:lineRule="auto"/>
        <w:tabs>
          <w:tab w:leader="none" w:pos="32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amounts indicated under “All Other Compensation” consist of the following amounts that the Company paid for the benefit of the Named Executive Officers:</w:t>
      </w:r>
    </w:p>
    <w:p>
      <w:pPr>
        <w:spacing w:after="0" w:line="1" w:lineRule="exact"/>
        <w:rPr>
          <w:rFonts w:ascii="Arial" w:cs="Arial" w:eastAsia="Arial" w:hAnsi="Arial"/>
          <w:sz w:val="19"/>
          <w:szCs w:val="19"/>
          <w:color w:val="auto"/>
        </w:rPr>
      </w:pPr>
    </w:p>
    <w:p>
      <w:pPr>
        <w:ind w:left="625" w:right="900" w:hanging="308"/>
        <w:spacing w:after="0" w:line="259" w:lineRule="auto"/>
        <w:tabs>
          <w:tab w:leader="none" w:pos="62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payments related to the operation of automobiles for Scott M. Quist ($7,200 for each of the years 2020 and 2019); Garrett S. Sill ($4,400 for 2020 and $5,400 for 2019) and, Stephen C. Johnson, S. Andrew Quist, and Jeffrey R. Stephens ($-0- for each of the years 2020 and 2019). However, such payments do not include the furnishing of an automobile by the Company to Scott M. Quist, nor the payment of insurance and property taxes with respect to the automobile operated by such executive officer;</w:t>
      </w:r>
    </w:p>
    <w:p>
      <w:pPr>
        <w:spacing w:after="0" w:line="4" w:lineRule="exact"/>
        <w:rPr>
          <w:rFonts w:ascii="Arial" w:cs="Arial" w:eastAsia="Arial" w:hAnsi="Arial"/>
          <w:sz w:val="18"/>
          <w:szCs w:val="18"/>
          <w:color w:val="auto"/>
        </w:rPr>
      </w:pPr>
    </w:p>
    <w:p>
      <w:pPr>
        <w:ind w:left="625" w:right="920" w:hanging="308"/>
        <w:spacing w:after="0" w:line="246" w:lineRule="auto"/>
        <w:tabs>
          <w:tab w:leader="none" w:pos="6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group life insurance premiums that the Company paid to a group life insurance plan for Scott M. Quist, Garrett S. Sill, Stephen C. Johnson, S. Andrew Quist, and Jeffrey R. Stephens ($114 for 2020 and $176 for 2019);</w:t>
      </w:r>
    </w:p>
    <w:p>
      <w:pPr>
        <w:ind w:left="625" w:right="1180" w:hanging="308"/>
        <w:spacing w:after="0" w:line="246" w:lineRule="auto"/>
        <w:tabs>
          <w:tab w:leader="none" w:pos="6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life insurance premiums that the Company paid for the benefit of Scott M. Quist ($15,765 for 2020 and $14,934 for 2019); and Garrett S. Sill, Stephen C. Johnson, S. Andrew Quist, and Jeffrey R. Stephens ($-0- for each of the years 2020 and 2019);</w:t>
      </w:r>
    </w:p>
    <w:p>
      <w:pPr>
        <w:ind w:left="625" w:right="1260" w:hanging="308"/>
        <w:spacing w:after="0" w:line="259" w:lineRule="auto"/>
        <w:tabs>
          <w:tab w:leader="none" w:pos="62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medical insurance premiums that the Company paid to a medical insurance plan for Scott M. Quist ($15,118 for 2020 and $14,251 for 2019); Garrett S. Sill ($21,756 for 2020 and $20,508 for 2019); Stephen C. Johnson ($11,764 for 2020 and $11,079 for 2019); S. Andrew Quist ($21,756 for 2020 and $20,508 for 2019); and Jeffrey R. Stephens ($15,118 for 2020 and $14,251 for 2019);</w:t>
      </w:r>
    </w:p>
    <w:p>
      <w:pPr>
        <w:spacing w:after="0" w:line="3" w:lineRule="exact"/>
        <w:rPr>
          <w:rFonts w:ascii="Arial" w:cs="Arial" w:eastAsia="Arial" w:hAnsi="Arial"/>
          <w:sz w:val="18"/>
          <w:szCs w:val="18"/>
          <w:color w:val="auto"/>
        </w:rPr>
      </w:pPr>
    </w:p>
    <w:p>
      <w:pPr>
        <w:jc w:val="both"/>
        <w:ind w:left="625" w:right="1060" w:hanging="308"/>
        <w:spacing w:after="0" w:line="246" w:lineRule="auto"/>
        <w:tabs>
          <w:tab w:leader="none" w:pos="6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long term disability insurance premiums that the Company paid to a provider of such insurance for Scott M. Quist ($372 for 2020 and $251 for 2019), Garrett S. Sill ($316 for 2020 and $251 for 2019), Stephen C. Johnson ($372 for 2020 and $251 for 2019), S. Andrew Quist ($339 for 2020 and $251 for 2019), and Jeffrey R. Stephens ($278 for 2020 and $251 for 2019);</w:t>
      </w:r>
    </w:p>
    <w:p>
      <w:pPr>
        <w:spacing w:after="0" w:line="1" w:lineRule="exact"/>
        <w:rPr>
          <w:rFonts w:ascii="Arial" w:cs="Arial" w:eastAsia="Arial" w:hAnsi="Arial"/>
          <w:sz w:val="19"/>
          <w:szCs w:val="19"/>
          <w:color w:val="auto"/>
        </w:rPr>
      </w:pPr>
    </w:p>
    <w:p>
      <w:pPr>
        <w:ind w:left="625" w:right="1080" w:hanging="308"/>
        <w:spacing w:after="0" w:line="246" w:lineRule="auto"/>
        <w:tabs>
          <w:tab w:leader="none" w:pos="6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contributions that the Company made to defined contribution plans for Scott M. Quist ($11,400 for 2020 and $11,200 for 2019); Garrett S. Sill ($11,400 for 2020 and $10,599 for 2019); Stephen C. Johnson ($11,400 for 2020 and $-0- for 2019); S. Andrew Quist ($10,927 for 2020 and $10,344 for 2019); and Jeffrey R. Stephens ($9,418 for 2020 and $8,523 for 2019); and</w:t>
      </w:r>
    </w:p>
    <w:p>
      <w:pPr>
        <w:spacing w:after="0" w:line="1" w:lineRule="exact"/>
        <w:rPr>
          <w:rFonts w:ascii="Arial" w:cs="Arial" w:eastAsia="Arial" w:hAnsi="Arial"/>
          <w:sz w:val="19"/>
          <w:szCs w:val="19"/>
          <w:color w:val="auto"/>
        </w:rPr>
      </w:pPr>
    </w:p>
    <w:p>
      <w:pPr>
        <w:ind w:left="625" w:right="920" w:hanging="308"/>
        <w:spacing w:after="0" w:line="246" w:lineRule="auto"/>
        <w:tabs>
          <w:tab w:leader="none" w:pos="6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contributions that the Company made to health savings accounts for Scott M. Quist, Garrett S. Sill, S. Andrew Quist and Jeffrey R. Stephens ($-0- for each of the years 2020 and 2019); and Stephen C. Johnson ($750 for 2020 and $200 for 2019);</w:t>
      </w:r>
    </w:p>
    <w:p>
      <w:pPr>
        <w:jc w:val="both"/>
        <w:ind w:left="625" w:right="1100" w:hanging="308"/>
        <w:spacing w:after="0" w:line="252" w:lineRule="auto"/>
        <w:tabs>
          <w:tab w:leader="none" w:pos="625" w:val="left"/>
        </w:tabs>
        <w:numPr>
          <w:ilvl w:val="1"/>
          <w:numId w:val="115"/>
        </w:numPr>
        <w:rPr>
          <w:rFonts w:ascii="Arial" w:cs="Arial" w:eastAsia="Arial" w:hAnsi="Arial"/>
          <w:sz w:val="19"/>
          <w:szCs w:val="19"/>
          <w:color w:val="auto"/>
        </w:rPr>
      </w:pPr>
      <w:r>
        <w:rPr>
          <w:rFonts w:ascii="Arial" w:cs="Arial" w:eastAsia="Arial" w:hAnsi="Arial"/>
          <w:sz w:val="19"/>
          <w:szCs w:val="19"/>
          <w:color w:val="auto"/>
        </w:rPr>
        <w:t>gym membership incentives for Scott M. Quist, Garrett S. Sill, and Stephen C. Johnson ($-0- for each of the years 2020 and 2019); S. Andrew Quist ($425 for 2020 and $407 for 2019); and Jeffrey R. Stephens ($-0- for each of the years 2020 and 2019);</w:t>
      </w:r>
    </w:p>
    <w:p>
      <w:pPr>
        <w:spacing w:after="0" w:line="187" w:lineRule="exact"/>
        <w:rPr>
          <w:sz w:val="20"/>
          <w:szCs w:val="20"/>
          <w:color w:val="auto"/>
        </w:rPr>
      </w:pPr>
    </w:p>
    <w:p>
      <w:pPr>
        <w:jc w:val="center"/>
        <w:ind w:right="895"/>
        <w:spacing w:after="0"/>
        <w:rPr>
          <w:sz w:val="20"/>
          <w:szCs w:val="20"/>
          <w:color w:val="auto"/>
        </w:rPr>
      </w:pPr>
      <w:r>
        <w:rPr>
          <w:rFonts w:ascii="Arial" w:cs="Arial" w:eastAsia="Arial" w:hAnsi="Arial"/>
          <w:sz w:val="19"/>
          <w:szCs w:val="19"/>
          <w:b w:val="1"/>
          <w:bCs w:val="1"/>
          <w:color w:val="auto"/>
        </w:rPr>
        <w:t>SUPPLEMENTAL ALL OTHER COMPENSATION TABLE</w:t>
      </w:r>
    </w:p>
    <w:p>
      <w:pPr>
        <w:spacing w:after="0" w:line="130" w:lineRule="exact"/>
        <w:rPr>
          <w:sz w:val="20"/>
          <w:szCs w:val="20"/>
          <w:color w:val="auto"/>
        </w:rPr>
      </w:pPr>
    </w:p>
    <w:p>
      <w:pPr>
        <w:ind w:left="5" w:right="920"/>
        <w:spacing w:after="0" w:line="276" w:lineRule="auto"/>
        <w:rPr>
          <w:sz w:val="20"/>
          <w:szCs w:val="20"/>
          <w:color w:val="auto"/>
        </w:rPr>
      </w:pPr>
      <w:r>
        <w:rPr>
          <w:rFonts w:ascii="Arial" w:cs="Arial" w:eastAsia="Arial" w:hAnsi="Arial"/>
          <w:sz w:val="19"/>
          <w:szCs w:val="19"/>
          <w:color w:val="auto"/>
        </w:rPr>
        <w:t>The following table sets forth all other compensation provided the Named Executive Officers for fiscal years 2020 and 2019.</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2"/>
                <w:szCs w:val="12"/>
                <w:color w:val="auto"/>
                <w:w w:val="95"/>
              </w:rPr>
              <w:t>Registrant</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color w:val="auto"/>
                <w:w w:val="95"/>
              </w:rPr>
              <w:t>Dividends or</w:t>
            </w:r>
          </w:p>
        </w:tc>
        <w:tc>
          <w:tcPr>
            <w:tcW w:w="460" w:type="dxa"/>
            <w:vAlign w:val="bottom"/>
          </w:tcPr>
          <w:p>
            <w:pPr>
              <w:spacing w:after="0"/>
              <w:rPr>
                <w:sz w:val="12"/>
                <w:szCs w:val="12"/>
                <w:color w:val="auto"/>
              </w:rPr>
            </w:pPr>
          </w:p>
        </w:tc>
      </w:tr>
      <w:tr>
        <w:trPr>
          <w:trHeight w:val="132"/>
        </w:trPr>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jc w:val="center"/>
              <w:ind w:right="220"/>
              <w:spacing w:after="0" w:line="132" w:lineRule="exact"/>
              <w:rPr>
                <w:sz w:val="20"/>
                <w:szCs w:val="20"/>
                <w:color w:val="auto"/>
              </w:rPr>
            </w:pPr>
            <w:r>
              <w:rPr>
                <w:rFonts w:ascii="Arial" w:cs="Arial" w:eastAsia="Arial" w:hAnsi="Arial"/>
                <w:sz w:val="12"/>
                <w:szCs w:val="12"/>
                <w:color w:val="auto"/>
                <w:w w:val="88"/>
              </w:rPr>
              <w:t>Perks and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1"/>
              </w:rPr>
              <w:t>Payments/</w:t>
            </w:r>
          </w:p>
        </w:tc>
        <w:tc>
          <w:tcPr>
            <w:tcW w:w="1140" w:type="dxa"/>
            <w:vAlign w:val="bottom"/>
            <w:gridSpan w:val="3"/>
          </w:tcPr>
          <w:p>
            <w:pPr>
              <w:jc w:val="center"/>
              <w:ind w:right="260"/>
              <w:spacing w:after="0" w:line="132" w:lineRule="exact"/>
              <w:rPr>
                <w:sz w:val="20"/>
                <w:szCs w:val="20"/>
                <w:color w:val="auto"/>
              </w:rPr>
            </w:pPr>
            <w:r>
              <w:rPr>
                <w:rFonts w:ascii="Arial" w:cs="Arial" w:eastAsia="Arial" w:hAnsi="Arial"/>
                <w:sz w:val="12"/>
                <w:szCs w:val="12"/>
                <w:color w:val="auto"/>
                <w:w w:val="95"/>
              </w:rPr>
              <w:t>Contributions to</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3"/>
              </w:rPr>
              <w:t>Earnings on</w:t>
            </w:r>
          </w:p>
        </w:tc>
        <w:tc>
          <w:tcPr>
            <w:tcW w:w="460" w:type="dxa"/>
            <w:vAlign w:val="bottom"/>
          </w:tcPr>
          <w:p>
            <w:pPr>
              <w:spacing w:after="0"/>
              <w:rPr>
                <w:sz w:val="11"/>
                <w:szCs w:val="11"/>
                <w:color w:val="auto"/>
              </w:rPr>
            </w:pPr>
          </w:p>
        </w:tc>
      </w:tr>
      <w:tr>
        <w:trPr>
          <w:trHeight w:val="132"/>
        </w:trPr>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jc w:val="center"/>
              <w:ind w:right="220"/>
              <w:spacing w:after="0" w:line="132" w:lineRule="exact"/>
              <w:rPr>
                <w:sz w:val="20"/>
                <w:szCs w:val="20"/>
                <w:color w:val="auto"/>
              </w:rPr>
            </w:pPr>
            <w:r>
              <w:rPr>
                <w:rFonts w:ascii="Arial" w:cs="Arial" w:eastAsia="Arial" w:hAnsi="Arial"/>
                <w:sz w:val="12"/>
                <w:szCs w:val="12"/>
                <w:color w:val="auto"/>
                <w:w w:val="93"/>
              </w:rPr>
              <w:t>Other</w:t>
            </w:r>
          </w:p>
        </w:tc>
        <w:tc>
          <w:tcPr>
            <w:tcW w:w="102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89"/>
              </w:rPr>
              <w:t>Tax</w:t>
            </w: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3"/>
              </w:rPr>
              <w:t>Discounted</w:t>
            </w: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5"/>
              </w:rPr>
              <w:t>Accruals on</w:t>
            </w:r>
          </w:p>
        </w:tc>
        <w:tc>
          <w:tcPr>
            <w:tcW w:w="1140" w:type="dxa"/>
            <w:vAlign w:val="bottom"/>
            <w:gridSpan w:val="3"/>
          </w:tcPr>
          <w:p>
            <w:pPr>
              <w:jc w:val="center"/>
              <w:ind w:right="260"/>
              <w:spacing w:after="0" w:line="132" w:lineRule="exact"/>
              <w:rPr>
                <w:sz w:val="20"/>
                <w:szCs w:val="20"/>
                <w:color w:val="auto"/>
              </w:rPr>
            </w:pPr>
            <w:r>
              <w:rPr>
                <w:rFonts w:ascii="Arial" w:cs="Arial" w:eastAsia="Arial" w:hAnsi="Arial"/>
                <w:sz w:val="12"/>
                <w:szCs w:val="12"/>
                <w:color w:val="auto"/>
                <w:w w:val="96"/>
              </w:rPr>
              <w:t>Defined</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0"/>
              </w:rPr>
              <w:t>Stock or</w:t>
            </w:r>
          </w:p>
        </w:tc>
        <w:tc>
          <w:tcPr>
            <w:tcW w:w="460" w:type="dxa"/>
            <w:vAlign w:val="bottom"/>
          </w:tcPr>
          <w:p>
            <w:pPr>
              <w:spacing w:after="0"/>
              <w:rPr>
                <w:sz w:val="11"/>
                <w:szCs w:val="11"/>
                <w:color w:val="auto"/>
              </w:rPr>
            </w:pPr>
          </w:p>
        </w:tc>
      </w:tr>
      <w:tr>
        <w:trPr>
          <w:trHeight w:val="132"/>
        </w:trPr>
        <w:tc>
          <w:tcPr>
            <w:tcW w:w="1180" w:type="dxa"/>
            <w:vAlign w:val="bottom"/>
          </w:tcPr>
          <w:p>
            <w:pPr>
              <w:ind w:left="120"/>
              <w:spacing w:after="0" w:line="132" w:lineRule="exact"/>
              <w:rPr>
                <w:sz w:val="20"/>
                <w:szCs w:val="20"/>
                <w:color w:val="auto"/>
              </w:rPr>
            </w:pPr>
            <w:r>
              <w:rPr>
                <w:rFonts w:ascii="Arial" w:cs="Arial" w:eastAsia="Arial" w:hAnsi="Arial"/>
                <w:sz w:val="12"/>
                <w:szCs w:val="12"/>
                <w:color w:val="auto"/>
              </w:rPr>
              <w:t>Name of Executive</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jc w:val="center"/>
              <w:ind w:right="220"/>
              <w:spacing w:after="0" w:line="132" w:lineRule="exact"/>
              <w:rPr>
                <w:sz w:val="20"/>
                <w:szCs w:val="20"/>
                <w:color w:val="auto"/>
              </w:rPr>
            </w:pPr>
            <w:r>
              <w:rPr>
                <w:rFonts w:ascii="Arial" w:cs="Arial" w:eastAsia="Arial" w:hAnsi="Arial"/>
                <w:sz w:val="12"/>
                <w:szCs w:val="12"/>
                <w:color w:val="auto"/>
                <w:w w:val="92"/>
              </w:rPr>
              <w:t>Personal</w:t>
            </w:r>
          </w:p>
        </w:tc>
        <w:tc>
          <w:tcPr>
            <w:tcW w:w="102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3"/>
              </w:rPr>
              <w:t>Reimburse-</w:t>
            </w:r>
          </w:p>
        </w:tc>
        <w:tc>
          <w:tcPr>
            <w:tcW w:w="104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4"/>
              </w:rPr>
              <w:t>Securities</w:t>
            </w:r>
          </w:p>
        </w:tc>
        <w:tc>
          <w:tcPr>
            <w:tcW w:w="104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94"/>
              </w:rPr>
              <w:t>Termination</w:t>
            </w:r>
          </w:p>
        </w:tc>
        <w:tc>
          <w:tcPr>
            <w:tcW w:w="1140" w:type="dxa"/>
            <w:vAlign w:val="bottom"/>
            <w:gridSpan w:val="3"/>
          </w:tcPr>
          <w:p>
            <w:pPr>
              <w:jc w:val="center"/>
              <w:ind w:right="260"/>
              <w:spacing w:after="0" w:line="132" w:lineRule="exact"/>
              <w:rPr>
                <w:sz w:val="20"/>
                <w:szCs w:val="20"/>
                <w:color w:val="auto"/>
              </w:rPr>
            </w:pPr>
            <w:r>
              <w:rPr>
                <w:rFonts w:ascii="Arial" w:cs="Arial" w:eastAsia="Arial" w:hAnsi="Arial"/>
                <w:sz w:val="12"/>
                <w:szCs w:val="12"/>
                <w:color w:val="auto"/>
                <w:w w:val="98"/>
              </w:rPr>
              <w:t>Contribution</w:t>
            </w:r>
          </w:p>
        </w:tc>
        <w:tc>
          <w:tcPr>
            <w:tcW w:w="1020" w:type="dxa"/>
            <w:vAlign w:val="bottom"/>
            <w:gridSpan w:val="3"/>
          </w:tcPr>
          <w:p>
            <w:pPr>
              <w:ind w:left="160"/>
              <w:spacing w:after="0" w:line="132" w:lineRule="exact"/>
              <w:rPr>
                <w:sz w:val="20"/>
                <w:szCs w:val="20"/>
                <w:color w:val="auto"/>
              </w:rPr>
            </w:pPr>
            <w:r>
              <w:rPr>
                <w:rFonts w:ascii="Arial" w:cs="Arial" w:eastAsia="Arial" w:hAnsi="Arial"/>
                <w:sz w:val="12"/>
                <w:szCs w:val="12"/>
                <w:color w:val="auto"/>
              </w:rPr>
              <w:t>Insurance</w:t>
            </w:r>
          </w:p>
        </w:tc>
        <w:tc>
          <w:tcPr>
            <w:tcW w:w="96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rPr>
              <w:t>Option</w:t>
            </w:r>
          </w:p>
        </w:tc>
        <w:tc>
          <w:tcPr>
            <w:tcW w:w="460" w:type="dxa"/>
            <w:vAlign w:val="bottom"/>
          </w:tcPr>
          <w:p>
            <w:pPr>
              <w:jc w:val="right"/>
              <w:ind w:right="118"/>
              <w:spacing w:after="0" w:line="132" w:lineRule="exact"/>
              <w:rPr>
                <w:sz w:val="20"/>
                <w:szCs w:val="20"/>
                <w:color w:val="auto"/>
              </w:rPr>
            </w:pPr>
            <w:r>
              <w:rPr>
                <w:rFonts w:ascii="Arial" w:cs="Arial" w:eastAsia="Arial" w:hAnsi="Arial"/>
                <w:sz w:val="12"/>
                <w:szCs w:val="12"/>
                <w:color w:val="auto"/>
                <w:w w:val="86"/>
              </w:rPr>
              <w:t>Other</w:t>
            </w:r>
          </w:p>
        </w:tc>
      </w:tr>
      <w:tr>
        <w:trPr>
          <w:trHeight w:val="157"/>
        </w:trPr>
        <w:tc>
          <w:tcPr>
            <w:tcW w:w="1180" w:type="dxa"/>
            <w:vAlign w:val="bottom"/>
          </w:tcPr>
          <w:p>
            <w:pPr>
              <w:ind w:left="420"/>
              <w:spacing w:after="0"/>
              <w:rPr>
                <w:sz w:val="20"/>
                <w:szCs w:val="20"/>
                <w:color w:val="auto"/>
              </w:rPr>
            </w:pPr>
            <w:r>
              <w:rPr>
                <w:rFonts w:ascii="Arial" w:cs="Arial" w:eastAsia="Arial" w:hAnsi="Arial"/>
                <w:sz w:val="12"/>
                <w:szCs w:val="12"/>
                <w:color w:val="auto"/>
              </w:rPr>
              <w:t>Officer</w:t>
            </w:r>
          </w:p>
        </w:tc>
        <w:tc>
          <w:tcPr>
            <w:tcW w:w="2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2"/>
                <w:szCs w:val="12"/>
                <w:color w:val="auto"/>
              </w:rPr>
              <w:t>Year</w:t>
            </w:r>
          </w:p>
        </w:tc>
        <w:tc>
          <w:tcPr>
            <w:tcW w:w="900" w:type="dxa"/>
            <w:vAlign w:val="bottom"/>
            <w:gridSpan w:val="3"/>
          </w:tcPr>
          <w:p>
            <w:pPr>
              <w:jc w:val="center"/>
              <w:ind w:right="220"/>
              <w:spacing w:after="0"/>
              <w:rPr>
                <w:sz w:val="20"/>
                <w:szCs w:val="20"/>
                <w:color w:val="auto"/>
              </w:rPr>
            </w:pPr>
            <w:r>
              <w:rPr>
                <w:rFonts w:ascii="Arial" w:cs="Arial" w:eastAsia="Arial" w:hAnsi="Arial"/>
                <w:sz w:val="12"/>
                <w:szCs w:val="12"/>
                <w:color w:val="auto"/>
                <w:w w:val="92"/>
              </w:rPr>
              <w:t>Benefits</w:t>
            </w:r>
          </w:p>
        </w:tc>
        <w:tc>
          <w:tcPr>
            <w:tcW w:w="102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ments</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Purchases</w:t>
            </w: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color w:val="auto"/>
                <w:w w:val="93"/>
              </w:rPr>
              <w:t>Plans</w:t>
            </w:r>
          </w:p>
        </w:tc>
        <w:tc>
          <w:tcPr>
            <w:tcW w:w="1140" w:type="dxa"/>
            <w:vAlign w:val="bottom"/>
            <w:gridSpan w:val="3"/>
          </w:tcPr>
          <w:p>
            <w:pPr>
              <w:jc w:val="center"/>
              <w:ind w:right="260"/>
              <w:spacing w:after="0"/>
              <w:rPr>
                <w:sz w:val="20"/>
                <w:szCs w:val="20"/>
                <w:color w:val="auto"/>
              </w:rPr>
            </w:pPr>
            <w:r>
              <w:rPr>
                <w:rFonts w:ascii="Arial" w:cs="Arial" w:eastAsia="Arial" w:hAnsi="Arial"/>
                <w:sz w:val="12"/>
                <w:szCs w:val="12"/>
                <w:color w:val="auto"/>
                <w:w w:val="93"/>
              </w:rPr>
              <w:t>Plans</w:t>
            </w: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Premiums</w:t>
            </w:r>
          </w:p>
        </w:tc>
        <w:tc>
          <w:tcPr>
            <w:tcW w:w="96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Awards</w:t>
            </w:r>
          </w:p>
        </w:tc>
        <w:tc>
          <w:tcPr>
            <w:tcW w:w="460" w:type="dxa"/>
            <w:vAlign w:val="bottom"/>
          </w:tcPr>
          <w:p>
            <w:pPr>
              <w:jc w:val="right"/>
              <w:ind w:right="258"/>
              <w:spacing w:after="0"/>
              <w:rPr>
                <w:sz w:val="20"/>
                <w:szCs w:val="20"/>
                <w:color w:val="auto"/>
              </w:rPr>
            </w:pPr>
            <w:r>
              <w:rPr>
                <w:rFonts w:ascii="Arial" w:cs="Arial" w:eastAsia="Arial" w:hAnsi="Arial"/>
                <w:sz w:val="12"/>
                <w:szCs w:val="12"/>
                <w:color w:val="auto"/>
                <w:w w:val="81"/>
              </w:rPr>
              <w:t>(1)</w:t>
            </w:r>
          </w:p>
        </w:tc>
      </w:tr>
      <w:tr>
        <w:trPr>
          <w:trHeight w:val="151"/>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Scott M. Quist</w:t>
            </w:r>
          </w:p>
        </w:tc>
        <w:tc>
          <w:tcPr>
            <w:tcW w:w="2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2020</w:t>
            </w:r>
          </w:p>
        </w:tc>
        <w:tc>
          <w:tcPr>
            <w:tcW w:w="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7,200</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11,400</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31,369</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1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11,200</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Garrett S. Sill</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11,400</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22,186</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1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10,599</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20,935</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Stephen C. Johnson</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11,400</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1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11,706</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S. Andrew Quist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10,927</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22,209</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1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10,344</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20,935</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6"/>
        </w:trPr>
        <w:tc>
          <w:tcPr>
            <w:tcW w:w="1180" w:type="dxa"/>
            <w:vAlign w:val="bottom"/>
            <w:shd w:val="clear" w:color="auto" w:fill="CCEEFF"/>
          </w:tcPr>
          <w:p>
            <w:pPr>
              <w:spacing w:after="0"/>
              <w:rPr>
                <w:sz w:val="20"/>
                <w:szCs w:val="20"/>
                <w:color w:val="auto"/>
              </w:rPr>
            </w:pPr>
            <w:r>
              <w:rPr>
                <w:rFonts w:ascii="Arial" w:cs="Arial" w:eastAsia="Arial" w:hAnsi="Arial"/>
                <w:sz w:val="12"/>
                <w:szCs w:val="12"/>
                <w:color w:val="auto"/>
              </w:rPr>
              <w:t>Jeffrey R. Stephens</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9,418</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15,510</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1"/>
        </w:trPr>
        <w:tc>
          <w:tcPr>
            <w:tcW w:w="1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8,523</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14,678</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38" w:lineRule="exact"/>
        <w:rPr>
          <w:sz w:val="20"/>
          <w:szCs w:val="20"/>
          <w:color w:val="auto"/>
        </w:rPr>
      </w:pPr>
    </w:p>
    <w:p>
      <w:pPr>
        <w:ind w:left="4325"/>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5653405" cy="336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805"/>
          </w:cols>
          <w:pgMar w:left="1275" w:top="121" w:right="81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b w:val="1"/>
          <w:bCs w:val="1"/>
          <w:color w:val="auto"/>
        </w:rPr>
        <w:t>GRANTS OF PLAN-BASED AWARDS</w:t>
      </w:r>
    </w:p>
    <w:p>
      <w:pPr>
        <w:spacing w:after="0" w:line="129" w:lineRule="exact"/>
        <w:rPr>
          <w:sz w:val="20"/>
          <w:szCs w:val="20"/>
          <w:color w:val="auto"/>
        </w:rPr>
      </w:pPr>
    </w:p>
    <w:p>
      <w:pPr>
        <w:ind w:right="960"/>
        <w:spacing w:after="0" w:line="276" w:lineRule="auto"/>
        <w:rPr>
          <w:sz w:val="20"/>
          <w:szCs w:val="20"/>
          <w:color w:val="auto"/>
        </w:rPr>
      </w:pPr>
      <w:r>
        <w:rPr>
          <w:rFonts w:ascii="Arial" w:cs="Arial" w:eastAsia="Arial" w:hAnsi="Arial"/>
          <w:sz w:val="19"/>
          <w:szCs w:val="19"/>
          <w:color w:val="auto"/>
        </w:rPr>
        <w:t>The following table sets forth certain information regarding options granted to the Named Executive Officers during the fiscal year ended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58"/>
              <w:spacing w:after="0"/>
              <w:rPr>
                <w:sz w:val="20"/>
                <w:szCs w:val="20"/>
                <w:color w:val="auto"/>
              </w:rPr>
            </w:pPr>
            <w:r>
              <w:rPr>
                <w:rFonts w:ascii="Arial" w:cs="Arial" w:eastAsia="Arial" w:hAnsi="Arial"/>
                <w:sz w:val="12"/>
                <w:szCs w:val="12"/>
                <w:color w:val="auto"/>
              </w:rPr>
              <w:t>All Other</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gridSpan w:val="5"/>
            <w:vMerge w:val="restart"/>
          </w:tcPr>
          <w:p>
            <w:pPr>
              <w:jc w:val="center"/>
              <w:spacing w:after="0"/>
              <w:rPr>
                <w:sz w:val="20"/>
                <w:szCs w:val="20"/>
                <w:color w:val="auto"/>
              </w:rPr>
            </w:pPr>
            <w:r>
              <w:rPr>
                <w:rFonts w:ascii="Arial" w:cs="Arial" w:eastAsia="Arial" w:hAnsi="Arial"/>
                <w:sz w:val="12"/>
                <w:szCs w:val="12"/>
                <w:color w:val="auto"/>
                <w:w w:val="93"/>
              </w:rPr>
              <w:t>Estimated Future Payouts Under Equity Incentive</w:t>
            </w:r>
          </w:p>
        </w:tc>
        <w:tc>
          <w:tcPr>
            <w:tcW w:w="240" w:type="dxa"/>
            <w:vAlign w:val="bottom"/>
          </w:tcPr>
          <w:p>
            <w:pPr>
              <w:spacing w:after="0"/>
              <w:rPr>
                <w:sz w:val="11"/>
                <w:szCs w:val="11"/>
                <w:color w:val="auto"/>
              </w:rPr>
            </w:pPr>
          </w:p>
        </w:tc>
        <w:tc>
          <w:tcPr>
            <w:tcW w:w="1220" w:type="dxa"/>
            <w:vAlign w:val="bottom"/>
            <w:gridSpan w:val="2"/>
          </w:tcPr>
          <w:p>
            <w:pPr>
              <w:jc w:val="center"/>
              <w:ind w:right="358"/>
              <w:spacing w:after="0" w:line="132" w:lineRule="exact"/>
              <w:rPr>
                <w:sz w:val="20"/>
                <w:szCs w:val="20"/>
                <w:color w:val="auto"/>
              </w:rPr>
            </w:pPr>
            <w:r>
              <w:rPr>
                <w:rFonts w:ascii="Arial" w:cs="Arial" w:eastAsia="Arial" w:hAnsi="Arial"/>
                <w:sz w:val="12"/>
                <w:szCs w:val="12"/>
                <w:color w:val="auto"/>
                <w:w w:val="92"/>
              </w:rPr>
              <w:t>Awards:</w:t>
            </w: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20" w:type="dxa"/>
            <w:vAlign w:val="bottom"/>
            <w:gridSpan w:val="5"/>
            <w:vMerge w:val="continue"/>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2"/>
            <w:vMerge w:val="restart"/>
          </w:tcPr>
          <w:p>
            <w:pPr>
              <w:jc w:val="center"/>
              <w:ind w:right="338"/>
              <w:spacing w:after="0" w:line="132" w:lineRule="exact"/>
              <w:rPr>
                <w:sz w:val="20"/>
                <w:szCs w:val="20"/>
                <w:color w:val="auto"/>
              </w:rPr>
            </w:pPr>
            <w:r>
              <w:rPr>
                <w:rFonts w:ascii="Arial" w:cs="Arial" w:eastAsia="Arial" w:hAnsi="Arial"/>
                <w:sz w:val="12"/>
                <w:szCs w:val="12"/>
                <w:color w:val="auto"/>
                <w:w w:val="96"/>
              </w:rPr>
              <w:t>Number of</w:t>
            </w:r>
          </w:p>
        </w:tc>
        <w:tc>
          <w:tcPr>
            <w:tcW w:w="1120" w:type="dxa"/>
            <w:vAlign w:val="bottom"/>
            <w:gridSpan w:val="2"/>
            <w:vMerge w:val="restart"/>
          </w:tcPr>
          <w:p>
            <w:pPr>
              <w:jc w:val="center"/>
              <w:ind w:right="338"/>
              <w:spacing w:after="0" w:line="132" w:lineRule="exact"/>
              <w:rPr>
                <w:sz w:val="20"/>
                <w:szCs w:val="20"/>
                <w:color w:val="auto"/>
              </w:rPr>
            </w:pPr>
            <w:r>
              <w:rPr>
                <w:rFonts w:ascii="Arial" w:cs="Arial" w:eastAsia="Arial" w:hAnsi="Arial"/>
                <w:sz w:val="12"/>
                <w:szCs w:val="12"/>
                <w:color w:val="auto"/>
                <w:w w:val="93"/>
              </w:rPr>
              <w:t>Exercise or</w:t>
            </w: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vMerge w:val="restart"/>
          </w:tcPr>
          <w:p>
            <w:pPr>
              <w:jc w:val="center"/>
              <w:spacing w:after="0" w:line="132" w:lineRule="exact"/>
              <w:rPr>
                <w:sz w:val="20"/>
                <w:szCs w:val="20"/>
                <w:color w:val="auto"/>
              </w:rPr>
            </w:pPr>
            <w:r>
              <w:rPr>
                <w:rFonts w:ascii="Arial" w:cs="Arial" w:eastAsia="Arial" w:hAnsi="Arial"/>
                <w:sz w:val="12"/>
                <w:szCs w:val="12"/>
                <w:color w:val="auto"/>
                <w:w w:val="94"/>
              </w:rPr>
              <w:t>Grant Date Fair</w:t>
            </w:r>
          </w:p>
        </w:tc>
        <w:tc>
          <w:tcPr>
            <w:tcW w:w="0" w:type="dxa"/>
            <w:vAlign w:val="bottom"/>
          </w:tcPr>
          <w:p>
            <w:pPr>
              <w:spacing w:after="0" w:line="20" w:lineRule="exact"/>
              <w:rPr>
                <w:sz w:val="1"/>
                <w:szCs w:val="1"/>
                <w:color w:val="auto"/>
              </w:rPr>
            </w:pPr>
          </w:p>
        </w:tc>
      </w:tr>
      <w:tr>
        <w:trPr>
          <w:trHeight w:val="92"/>
        </w:trPr>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2"/>
                <w:szCs w:val="12"/>
                <w:color w:val="auto"/>
                <w:w w:val="91"/>
              </w:rPr>
              <w:t>Plan Awards</w:t>
            </w: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3"/>
            <w:vMerge w:val="continue"/>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restart"/>
          </w:tcPr>
          <w:p>
            <w:pPr>
              <w:jc w:val="center"/>
              <w:ind w:right="358"/>
              <w:spacing w:after="0" w:line="132" w:lineRule="exact"/>
              <w:rPr>
                <w:sz w:val="20"/>
                <w:szCs w:val="20"/>
                <w:color w:val="auto"/>
              </w:rPr>
            </w:pPr>
            <w:r>
              <w:rPr>
                <w:rFonts w:ascii="Arial" w:cs="Arial" w:eastAsia="Arial" w:hAnsi="Arial"/>
                <w:sz w:val="12"/>
                <w:szCs w:val="12"/>
                <w:color w:val="auto"/>
                <w:w w:val="91"/>
              </w:rPr>
              <w:t>Securities</w:t>
            </w:r>
          </w:p>
        </w:tc>
        <w:tc>
          <w:tcPr>
            <w:tcW w:w="1120" w:type="dxa"/>
            <w:vAlign w:val="bottom"/>
            <w:gridSpan w:val="2"/>
            <w:vMerge w:val="restart"/>
          </w:tcPr>
          <w:p>
            <w:pPr>
              <w:jc w:val="center"/>
              <w:ind w:right="358"/>
              <w:spacing w:after="0" w:line="132" w:lineRule="exact"/>
              <w:rPr>
                <w:sz w:val="20"/>
                <w:szCs w:val="20"/>
                <w:color w:val="auto"/>
              </w:rPr>
            </w:pPr>
            <w:r>
              <w:rPr>
                <w:rFonts w:ascii="Arial" w:cs="Arial" w:eastAsia="Arial" w:hAnsi="Arial"/>
                <w:sz w:val="12"/>
                <w:szCs w:val="12"/>
                <w:color w:val="auto"/>
                <w:w w:val="92"/>
              </w:rPr>
              <w:t>Base Price of</w:t>
            </w: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vMerge w:val="restart"/>
          </w:tcPr>
          <w:p>
            <w:pPr>
              <w:jc w:val="center"/>
              <w:spacing w:after="0" w:line="132" w:lineRule="exact"/>
              <w:rPr>
                <w:sz w:val="20"/>
                <w:szCs w:val="20"/>
                <w:color w:val="auto"/>
              </w:rPr>
            </w:pPr>
            <w:r>
              <w:rPr>
                <w:rFonts w:ascii="Arial" w:cs="Arial" w:eastAsia="Arial" w:hAnsi="Arial"/>
                <w:sz w:val="12"/>
                <w:szCs w:val="12"/>
                <w:color w:val="auto"/>
                <w:w w:val="92"/>
              </w:rPr>
              <w:t>Value of Stock</w:t>
            </w:r>
          </w:p>
        </w:tc>
        <w:tc>
          <w:tcPr>
            <w:tcW w:w="0" w:type="dxa"/>
            <w:vAlign w:val="bottom"/>
          </w:tcPr>
          <w:p>
            <w:pPr>
              <w:spacing w:after="0"/>
              <w:rPr>
                <w:sz w:val="1"/>
                <w:szCs w:val="1"/>
                <w:color w:val="auto"/>
              </w:rPr>
            </w:pPr>
          </w:p>
        </w:tc>
      </w:tr>
      <w:tr>
        <w:trPr>
          <w:trHeight w:val="47"/>
        </w:trPr>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358"/>
              <w:spacing w:after="0" w:line="132" w:lineRule="exact"/>
              <w:rPr>
                <w:sz w:val="20"/>
                <w:szCs w:val="20"/>
                <w:color w:val="auto"/>
              </w:rPr>
            </w:pPr>
            <w:r>
              <w:rPr>
                <w:rFonts w:ascii="Arial" w:cs="Arial" w:eastAsia="Arial" w:hAnsi="Arial"/>
                <w:sz w:val="12"/>
                <w:szCs w:val="12"/>
                <w:color w:val="auto"/>
                <w:w w:val="97"/>
              </w:rPr>
              <w:t>Underlying</w:t>
            </w:r>
          </w:p>
        </w:tc>
        <w:tc>
          <w:tcPr>
            <w:tcW w:w="1120" w:type="dxa"/>
            <w:vAlign w:val="bottom"/>
            <w:gridSpan w:val="2"/>
          </w:tcPr>
          <w:p>
            <w:pPr>
              <w:jc w:val="center"/>
              <w:ind w:right="358"/>
              <w:spacing w:after="0" w:line="132" w:lineRule="exact"/>
              <w:rPr>
                <w:sz w:val="20"/>
                <w:szCs w:val="20"/>
                <w:color w:val="auto"/>
              </w:rPr>
            </w:pPr>
            <w:r>
              <w:rPr>
                <w:rFonts w:ascii="Arial" w:cs="Arial" w:eastAsia="Arial" w:hAnsi="Arial"/>
                <w:sz w:val="12"/>
                <w:szCs w:val="12"/>
                <w:color w:val="auto"/>
                <w:w w:val="96"/>
              </w:rPr>
              <w:t>Option</w:t>
            </w:r>
          </w:p>
        </w:tc>
        <w:tc>
          <w:tcPr>
            <w:tcW w:w="740" w:type="dxa"/>
            <w:vAlign w:val="bottom"/>
          </w:tcPr>
          <w:p>
            <w:pPr>
              <w:jc w:val="right"/>
              <w:spacing w:after="0" w:line="132" w:lineRule="exact"/>
              <w:rPr>
                <w:sz w:val="20"/>
                <w:szCs w:val="20"/>
                <w:color w:val="auto"/>
              </w:rPr>
            </w:pPr>
            <w:r>
              <w:rPr>
                <w:rFonts w:ascii="Arial" w:cs="Arial" w:eastAsia="Arial" w:hAnsi="Arial"/>
                <w:sz w:val="12"/>
                <w:szCs w:val="12"/>
                <w:color w:val="auto"/>
                <w:w w:val="96"/>
              </w:rPr>
              <w:t>Closing Price</w:t>
            </w:r>
          </w:p>
        </w:tc>
        <w:tc>
          <w:tcPr>
            <w:tcW w:w="34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1"/>
              </w:rPr>
              <w:t>and Option</w:t>
            </w:r>
          </w:p>
        </w:tc>
        <w:tc>
          <w:tcPr>
            <w:tcW w:w="0" w:type="dxa"/>
            <w:vAlign w:val="bottom"/>
          </w:tcPr>
          <w:p>
            <w:pPr>
              <w:spacing w:after="0"/>
              <w:rPr>
                <w:sz w:val="1"/>
                <w:szCs w:val="1"/>
                <w:color w:val="auto"/>
              </w:rPr>
            </w:pPr>
          </w:p>
        </w:tc>
      </w:tr>
      <w:tr>
        <w:trPr>
          <w:trHeight w:val="132"/>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100"/>
              <w:spacing w:after="0" w:line="132" w:lineRule="exact"/>
              <w:rPr>
                <w:sz w:val="20"/>
                <w:szCs w:val="20"/>
                <w:color w:val="auto"/>
              </w:rPr>
            </w:pPr>
            <w:r>
              <w:rPr>
                <w:rFonts w:ascii="Arial" w:cs="Arial" w:eastAsia="Arial" w:hAnsi="Arial"/>
                <w:sz w:val="12"/>
                <w:szCs w:val="12"/>
                <w:color w:val="auto"/>
              </w:rPr>
              <w:t>Threshold</w:t>
            </w:r>
          </w:p>
        </w:tc>
        <w:tc>
          <w:tcPr>
            <w:tcW w:w="240" w:type="dxa"/>
            <w:vAlign w:val="bottom"/>
          </w:tcPr>
          <w:p>
            <w:pPr>
              <w:spacing w:after="0"/>
              <w:rPr>
                <w:sz w:val="11"/>
                <w:szCs w:val="11"/>
                <w:color w:val="auto"/>
              </w:rPr>
            </w:pPr>
          </w:p>
        </w:tc>
        <w:tc>
          <w:tcPr>
            <w:tcW w:w="820" w:type="dxa"/>
            <w:vAlign w:val="bottom"/>
            <w:gridSpan w:val="2"/>
          </w:tcPr>
          <w:p>
            <w:pPr>
              <w:jc w:val="center"/>
              <w:ind w:right="240"/>
              <w:spacing w:after="0" w:line="132" w:lineRule="exact"/>
              <w:rPr>
                <w:sz w:val="20"/>
                <w:szCs w:val="20"/>
                <w:color w:val="auto"/>
              </w:rPr>
            </w:pPr>
            <w:r>
              <w:rPr>
                <w:rFonts w:ascii="Arial" w:cs="Arial" w:eastAsia="Arial" w:hAnsi="Arial"/>
                <w:sz w:val="12"/>
                <w:szCs w:val="12"/>
                <w:color w:val="auto"/>
                <w:w w:val="86"/>
              </w:rPr>
              <w:t>Target</w:t>
            </w:r>
          </w:p>
        </w:tc>
        <w:tc>
          <w:tcPr>
            <w:tcW w:w="740" w:type="dxa"/>
            <w:vAlign w:val="bottom"/>
          </w:tcPr>
          <w:p>
            <w:pPr>
              <w:ind w:left="120"/>
              <w:spacing w:after="0" w:line="132" w:lineRule="exact"/>
              <w:rPr>
                <w:sz w:val="20"/>
                <w:szCs w:val="20"/>
                <w:color w:val="auto"/>
              </w:rPr>
            </w:pPr>
            <w:r>
              <w:rPr>
                <w:rFonts w:ascii="Arial" w:cs="Arial" w:eastAsia="Arial" w:hAnsi="Arial"/>
                <w:sz w:val="12"/>
                <w:szCs w:val="12"/>
                <w:color w:val="auto"/>
              </w:rPr>
              <w:t>Maximum</w:t>
            </w:r>
          </w:p>
        </w:tc>
        <w:tc>
          <w:tcPr>
            <w:tcW w:w="240" w:type="dxa"/>
            <w:vAlign w:val="bottom"/>
          </w:tcPr>
          <w:p>
            <w:pPr>
              <w:spacing w:after="0"/>
              <w:rPr>
                <w:sz w:val="11"/>
                <w:szCs w:val="11"/>
                <w:color w:val="auto"/>
              </w:rPr>
            </w:pPr>
          </w:p>
        </w:tc>
        <w:tc>
          <w:tcPr>
            <w:tcW w:w="1220" w:type="dxa"/>
            <w:vAlign w:val="bottom"/>
            <w:gridSpan w:val="2"/>
          </w:tcPr>
          <w:p>
            <w:pPr>
              <w:jc w:val="center"/>
              <w:ind w:right="358"/>
              <w:spacing w:after="0" w:line="132" w:lineRule="exact"/>
              <w:rPr>
                <w:sz w:val="20"/>
                <w:szCs w:val="20"/>
                <w:color w:val="auto"/>
              </w:rPr>
            </w:pPr>
            <w:r>
              <w:rPr>
                <w:rFonts w:ascii="Arial" w:cs="Arial" w:eastAsia="Arial" w:hAnsi="Arial"/>
                <w:sz w:val="12"/>
                <w:szCs w:val="12"/>
                <w:color w:val="auto"/>
                <w:w w:val="96"/>
              </w:rPr>
              <w:t>Options</w:t>
            </w:r>
          </w:p>
        </w:tc>
        <w:tc>
          <w:tcPr>
            <w:tcW w:w="1120" w:type="dxa"/>
            <w:vAlign w:val="bottom"/>
            <w:gridSpan w:val="2"/>
          </w:tcPr>
          <w:p>
            <w:pPr>
              <w:jc w:val="center"/>
              <w:ind w:right="338"/>
              <w:spacing w:after="0" w:line="132" w:lineRule="exact"/>
              <w:rPr>
                <w:sz w:val="20"/>
                <w:szCs w:val="20"/>
                <w:color w:val="auto"/>
              </w:rPr>
            </w:pPr>
            <w:r>
              <w:rPr>
                <w:rFonts w:ascii="Arial" w:cs="Arial" w:eastAsia="Arial" w:hAnsi="Arial"/>
                <w:sz w:val="12"/>
                <w:szCs w:val="12"/>
                <w:color w:val="auto"/>
                <w:w w:val="89"/>
              </w:rPr>
              <w:t>Awards</w:t>
            </w:r>
          </w:p>
        </w:tc>
        <w:tc>
          <w:tcPr>
            <w:tcW w:w="740" w:type="dxa"/>
            <w:vAlign w:val="bottom"/>
          </w:tcPr>
          <w:p>
            <w:pPr>
              <w:jc w:val="right"/>
              <w:spacing w:after="0" w:line="132" w:lineRule="exact"/>
              <w:rPr>
                <w:sz w:val="20"/>
                <w:szCs w:val="20"/>
                <w:color w:val="auto"/>
              </w:rPr>
            </w:pPr>
            <w:r>
              <w:rPr>
                <w:rFonts w:ascii="Arial" w:cs="Arial" w:eastAsia="Arial" w:hAnsi="Arial"/>
                <w:sz w:val="12"/>
                <w:szCs w:val="12"/>
                <w:color w:val="auto"/>
                <w:w w:val="92"/>
              </w:rPr>
              <w:t>on Grant Date</w:t>
            </w:r>
          </w:p>
        </w:tc>
        <w:tc>
          <w:tcPr>
            <w:tcW w:w="34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Arial" w:cs="Arial" w:eastAsia="Arial" w:hAnsi="Arial"/>
                <w:sz w:val="12"/>
                <w:szCs w:val="12"/>
                <w:color w:val="auto"/>
                <w:w w:val="94"/>
              </w:rPr>
              <w:t>Awards</w:t>
            </w:r>
          </w:p>
        </w:tc>
        <w:tc>
          <w:tcPr>
            <w:tcW w:w="0" w:type="dxa"/>
            <w:vAlign w:val="bottom"/>
          </w:tcPr>
          <w:p>
            <w:pPr>
              <w:spacing w:after="0"/>
              <w:rPr>
                <w:sz w:val="1"/>
                <w:szCs w:val="1"/>
                <w:color w:val="auto"/>
              </w:rPr>
            </w:pPr>
          </w:p>
        </w:tc>
      </w:tr>
      <w:tr>
        <w:trPr>
          <w:trHeight w:val="157"/>
        </w:trPr>
        <w:tc>
          <w:tcPr>
            <w:tcW w:w="1760" w:type="dxa"/>
            <w:vAlign w:val="bottom"/>
            <w:gridSpan w:val="2"/>
          </w:tcPr>
          <w:p>
            <w:pPr>
              <w:ind w:left="100"/>
              <w:spacing w:after="0"/>
              <w:rPr>
                <w:sz w:val="20"/>
                <w:szCs w:val="20"/>
                <w:color w:val="auto"/>
              </w:rPr>
            </w:pPr>
            <w:r>
              <w:rPr>
                <w:rFonts w:ascii="Arial" w:cs="Arial" w:eastAsia="Arial" w:hAnsi="Arial"/>
                <w:sz w:val="12"/>
                <w:szCs w:val="12"/>
                <w:color w:val="auto"/>
              </w:rPr>
              <w:t>Name of Executive Officer</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Grant Date</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820" w:type="dxa"/>
            <w:vAlign w:val="bottom"/>
            <w:gridSpan w:val="2"/>
          </w:tcPr>
          <w:p>
            <w:pPr>
              <w:jc w:val="center"/>
              <w:ind w:left="178"/>
              <w:spacing w:after="0"/>
              <w:rPr>
                <w:sz w:val="20"/>
                <w:szCs w:val="20"/>
                <w:color w:val="auto"/>
              </w:rPr>
            </w:pPr>
            <w:r>
              <w:rPr>
                <w:rFonts w:ascii="Arial" w:cs="Arial" w:eastAsia="Arial" w:hAnsi="Arial"/>
                <w:sz w:val="12"/>
                <w:szCs w:val="12"/>
                <w:color w:val="auto"/>
                <w:w w:val="95"/>
              </w:rPr>
              <w:t>($)</w:t>
            </w:r>
          </w:p>
        </w:tc>
        <w:tc>
          <w:tcPr>
            <w:tcW w:w="2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1040" w:type="dxa"/>
            <w:vAlign w:val="bottom"/>
            <w:gridSpan w:val="2"/>
          </w:tcPr>
          <w:p>
            <w:pPr>
              <w:jc w:val="center"/>
              <w:ind w:left="198"/>
              <w:spacing w:after="0"/>
              <w:rPr>
                <w:sz w:val="20"/>
                <w:szCs w:val="20"/>
                <w:color w:val="auto"/>
              </w:rPr>
            </w:pPr>
            <w:r>
              <w:rPr>
                <w:rFonts w:ascii="Arial" w:cs="Arial" w:eastAsia="Arial" w:hAnsi="Arial"/>
                <w:sz w:val="12"/>
                <w:szCs w:val="12"/>
                <w:color w:val="auto"/>
                <w:w w:val="95"/>
              </w:rPr>
              <w:t>(#)</w:t>
            </w:r>
          </w:p>
        </w:tc>
        <w:tc>
          <w:tcPr>
            <w:tcW w:w="420" w:type="dxa"/>
            <w:vAlign w:val="bottom"/>
          </w:tcPr>
          <w:p>
            <w:pPr>
              <w:spacing w:after="0"/>
              <w:rPr>
                <w:sz w:val="13"/>
                <w:szCs w:val="13"/>
                <w:color w:val="auto"/>
              </w:rPr>
            </w:pPr>
          </w:p>
        </w:tc>
        <w:tc>
          <w:tcPr>
            <w:tcW w:w="1120" w:type="dxa"/>
            <w:vAlign w:val="bottom"/>
            <w:gridSpan w:val="2"/>
          </w:tcPr>
          <w:p>
            <w:pPr>
              <w:jc w:val="center"/>
              <w:ind w:right="338"/>
              <w:spacing w:after="0"/>
              <w:rPr>
                <w:sz w:val="20"/>
                <w:szCs w:val="20"/>
                <w:color w:val="auto"/>
              </w:rPr>
            </w:pPr>
            <w:r>
              <w:rPr>
                <w:rFonts w:ascii="Arial" w:cs="Arial" w:eastAsia="Arial" w:hAnsi="Arial"/>
                <w:sz w:val="12"/>
                <w:szCs w:val="12"/>
                <w:color w:val="auto"/>
                <w:w w:val="97"/>
              </w:rPr>
              <w:t>($/Sh)</w:t>
            </w:r>
          </w:p>
        </w:tc>
        <w:tc>
          <w:tcPr>
            <w:tcW w:w="740" w:type="dxa"/>
            <w:vAlign w:val="bottom"/>
          </w:tcPr>
          <w:p>
            <w:pPr>
              <w:jc w:val="right"/>
              <w:ind w:right="158"/>
              <w:spacing w:after="0"/>
              <w:rPr>
                <w:sz w:val="20"/>
                <w:szCs w:val="20"/>
                <w:color w:val="auto"/>
              </w:rPr>
            </w:pPr>
            <w:r>
              <w:rPr>
                <w:rFonts w:ascii="Arial" w:cs="Arial" w:eastAsia="Arial" w:hAnsi="Arial"/>
                <w:sz w:val="12"/>
                <w:szCs w:val="12"/>
                <w:color w:val="auto"/>
              </w:rPr>
              <w:t>($/Sh)</w:t>
            </w:r>
          </w:p>
        </w:tc>
        <w:tc>
          <w:tcPr>
            <w:tcW w:w="3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53"/>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Scott M. Quist</w:t>
            </w:r>
          </w:p>
        </w:tc>
        <w:tc>
          <w:tcPr>
            <w:tcW w:w="2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51,250</w:t>
            </w:r>
          </w:p>
        </w:tc>
        <w:tc>
          <w:tcPr>
            <w:tcW w:w="420" w:type="dxa"/>
            <w:vAlign w:val="bottom"/>
            <w:tcBorders>
              <w:top w:val="single" w:sz="8" w:color="CCEEFF"/>
            </w:tcBorders>
            <w:shd w:val="clear" w:color="auto" w:fill="CCEEFF"/>
          </w:tcPr>
          <w:p>
            <w:pPr>
              <w:jc w:val="right"/>
              <w:ind w:right="198"/>
              <w:spacing w:after="0"/>
              <w:rPr>
                <w:sz w:val="20"/>
                <w:szCs w:val="20"/>
                <w:color w:val="auto"/>
              </w:rPr>
            </w:pPr>
            <w:r>
              <w:rPr>
                <w:rFonts w:ascii="Arial" w:cs="Arial" w:eastAsia="Arial" w:hAnsi="Arial"/>
                <w:sz w:val="12"/>
                <w:szCs w:val="12"/>
                <w:color w:val="auto"/>
                <w:w w:val="95"/>
              </w:rPr>
              <w:t>(1)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3.85</w:t>
            </w:r>
          </w:p>
        </w:tc>
        <w:tc>
          <w:tcPr>
            <w:tcW w:w="40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2"/>
                <w:szCs w:val="12"/>
                <w:color w:val="auto"/>
                <w:w w:val="95"/>
              </w:rPr>
              <w:t>(2)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340" w:type="dxa"/>
            <w:vAlign w:val="bottom"/>
            <w:tcBorders>
              <w:top w:val="single" w:sz="8" w:color="CCEEFF"/>
            </w:tcBorders>
            <w:shd w:val="clear" w:color="auto" w:fill="CCEEFF"/>
          </w:tcPr>
          <w:p>
            <w:pPr>
              <w:jc w:val="right"/>
              <w:ind w:right="118"/>
              <w:spacing w:after="0"/>
              <w:rPr>
                <w:sz w:val="20"/>
                <w:szCs w:val="20"/>
                <w:color w:val="auto"/>
              </w:rPr>
            </w:pPr>
            <w:r>
              <w:rPr>
                <w:rFonts w:ascii="Arial" w:cs="Arial" w:eastAsia="Arial" w:hAnsi="Arial"/>
                <w:sz w:val="12"/>
                <w:szCs w:val="12"/>
                <w:color w:val="auto"/>
                <w:w w:val="95"/>
              </w:rPr>
              <w:t>(2)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29,289</w:t>
            </w: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Garrett S. Sill</w:t>
            </w: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20" w:type="dxa"/>
            <w:vAlign w:val="bottom"/>
            <w:gridSpan w:val="2"/>
            <w:shd w:val="clear" w:color="auto" w:fill="CCEEFF"/>
          </w:tcPr>
          <w:p>
            <w:pPr>
              <w:jc w:val="center"/>
              <w:ind w:left="17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460" w:type="dxa"/>
            <w:vAlign w:val="bottom"/>
            <w:gridSpan w:val="3"/>
            <w:shd w:val="clear" w:color="auto" w:fill="CCEEFF"/>
          </w:tcPr>
          <w:p>
            <w:pPr>
              <w:jc w:val="right"/>
              <w:ind w:right="198"/>
              <w:spacing w:after="0"/>
              <w:rPr>
                <w:sz w:val="20"/>
                <w:szCs w:val="20"/>
                <w:color w:val="auto"/>
              </w:rPr>
            </w:pPr>
            <w:r>
              <w:rPr>
                <w:rFonts w:ascii="Arial" w:cs="Arial" w:eastAsia="Arial" w:hAnsi="Arial"/>
                <w:sz w:val="12"/>
                <w:szCs w:val="12"/>
                <w:color w:val="auto"/>
              </w:rPr>
              <w:t>25,625 (1)</w:t>
            </w:r>
          </w:p>
        </w:tc>
        <w:tc>
          <w:tcPr>
            <w:tcW w:w="11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3.67 (2)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3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95"/>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17,243</w:t>
            </w: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Stephen C. Johnson</w:t>
            </w: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20" w:type="dxa"/>
            <w:vAlign w:val="bottom"/>
            <w:gridSpan w:val="2"/>
            <w:shd w:val="clear" w:color="auto" w:fill="CCEEFF"/>
          </w:tcPr>
          <w:p>
            <w:pPr>
              <w:jc w:val="center"/>
              <w:ind w:left="17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460" w:type="dxa"/>
            <w:vAlign w:val="bottom"/>
            <w:gridSpan w:val="3"/>
            <w:shd w:val="clear" w:color="auto" w:fill="CCEEFF"/>
          </w:tcPr>
          <w:p>
            <w:pPr>
              <w:jc w:val="right"/>
              <w:ind w:right="198"/>
              <w:spacing w:after="0"/>
              <w:rPr>
                <w:sz w:val="20"/>
                <w:szCs w:val="20"/>
                <w:color w:val="auto"/>
              </w:rPr>
            </w:pPr>
            <w:r>
              <w:rPr>
                <w:rFonts w:ascii="Arial" w:cs="Arial" w:eastAsia="Arial" w:hAnsi="Arial"/>
                <w:sz w:val="12"/>
                <w:szCs w:val="12"/>
                <w:color w:val="auto"/>
              </w:rPr>
              <w:t>10,250 (1)</w:t>
            </w:r>
          </w:p>
        </w:tc>
        <w:tc>
          <w:tcPr>
            <w:tcW w:w="11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3.67 (2)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3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95"/>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6,896</w:t>
            </w: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 Andrew Quist</w:t>
            </w: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20" w:type="dxa"/>
            <w:vAlign w:val="bottom"/>
            <w:gridSpan w:val="2"/>
            <w:shd w:val="clear" w:color="auto" w:fill="CCEEFF"/>
          </w:tcPr>
          <w:p>
            <w:pPr>
              <w:jc w:val="center"/>
              <w:ind w:left="17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460" w:type="dxa"/>
            <w:vAlign w:val="bottom"/>
            <w:gridSpan w:val="3"/>
            <w:shd w:val="clear" w:color="auto" w:fill="CCEEFF"/>
          </w:tcPr>
          <w:p>
            <w:pPr>
              <w:jc w:val="right"/>
              <w:ind w:right="198"/>
              <w:spacing w:after="0"/>
              <w:rPr>
                <w:sz w:val="20"/>
                <w:szCs w:val="20"/>
                <w:color w:val="auto"/>
              </w:rPr>
            </w:pPr>
            <w:r>
              <w:rPr>
                <w:rFonts w:ascii="Arial" w:cs="Arial" w:eastAsia="Arial" w:hAnsi="Arial"/>
                <w:sz w:val="12"/>
                <w:szCs w:val="12"/>
                <w:color w:val="auto"/>
              </w:rPr>
              <w:t>41,000 (1)</w:t>
            </w:r>
          </w:p>
        </w:tc>
        <w:tc>
          <w:tcPr>
            <w:tcW w:w="11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3.67 (2)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3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95"/>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27,589</w:t>
            </w:r>
          </w:p>
        </w:tc>
        <w:tc>
          <w:tcPr>
            <w:tcW w:w="0" w:type="dxa"/>
            <w:vAlign w:val="bottom"/>
          </w:tcPr>
          <w:p>
            <w:pPr>
              <w:spacing w:after="0"/>
              <w:rPr>
                <w:sz w:val="1"/>
                <w:szCs w:val="1"/>
                <w:color w:val="auto"/>
              </w:rPr>
            </w:pPr>
          </w:p>
        </w:tc>
      </w:tr>
      <w:tr>
        <w:trPr>
          <w:trHeight w:val="158"/>
        </w:trPr>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Jeffrey R. Stephens</w:t>
            </w:r>
          </w:p>
        </w:tc>
        <w:tc>
          <w:tcPr>
            <w:tcW w:w="7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20" w:type="dxa"/>
            <w:vAlign w:val="bottom"/>
            <w:gridSpan w:val="2"/>
            <w:shd w:val="clear" w:color="auto" w:fill="CCEEFF"/>
          </w:tcPr>
          <w:p>
            <w:pPr>
              <w:jc w:val="center"/>
              <w:ind w:left="178"/>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460" w:type="dxa"/>
            <w:vAlign w:val="bottom"/>
            <w:gridSpan w:val="3"/>
            <w:shd w:val="clear" w:color="auto" w:fill="CCEEFF"/>
          </w:tcPr>
          <w:p>
            <w:pPr>
              <w:jc w:val="right"/>
              <w:ind w:right="198"/>
              <w:spacing w:after="0"/>
              <w:rPr>
                <w:sz w:val="20"/>
                <w:szCs w:val="20"/>
                <w:color w:val="auto"/>
              </w:rPr>
            </w:pPr>
            <w:r>
              <w:rPr>
                <w:rFonts w:ascii="Arial" w:cs="Arial" w:eastAsia="Arial" w:hAnsi="Arial"/>
                <w:sz w:val="12"/>
                <w:szCs w:val="12"/>
                <w:color w:val="auto"/>
              </w:rPr>
              <w:t>7,688 (1)</w:t>
            </w:r>
          </w:p>
        </w:tc>
        <w:tc>
          <w:tcPr>
            <w:tcW w:w="112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3.67 (2)</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3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95"/>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5,172</w:t>
            </w:r>
          </w:p>
        </w:tc>
        <w:tc>
          <w:tcPr>
            <w:tcW w:w="0" w:type="dxa"/>
            <w:vAlign w:val="bottom"/>
          </w:tcPr>
          <w:p>
            <w:pPr>
              <w:spacing w:after="0"/>
              <w:rPr>
                <w:sz w:val="1"/>
                <w:szCs w:val="1"/>
                <w:color w:val="auto"/>
              </w:rPr>
            </w:pPr>
          </w:p>
        </w:tc>
      </w:tr>
      <w:tr>
        <w:trPr>
          <w:trHeight w:val="118"/>
        </w:trPr>
        <w:tc>
          <w:tcPr>
            <w:tcW w:w="1520" w:type="dxa"/>
            <w:vAlign w:val="bottom"/>
          </w:tcPr>
          <w:p>
            <w:pPr>
              <w:ind w:left="80"/>
              <w:spacing w:after="0" w:line="118" w:lineRule="exact"/>
              <w:rPr>
                <w:sz w:val="20"/>
                <w:szCs w:val="20"/>
                <w:color w:val="auto"/>
              </w:rPr>
            </w:pPr>
            <w:r>
              <w:rPr>
                <w:rFonts w:ascii="Arial" w:cs="Arial" w:eastAsia="Arial" w:hAnsi="Arial"/>
                <w:sz w:val="11"/>
                <w:szCs w:val="11"/>
                <w:b w:val="1"/>
                <w:bCs w:val="1"/>
                <w:color w:val="auto"/>
                <w:w w:val="92"/>
              </w:rPr>
              <w:t>_________________________</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00" w:right="960" w:hanging="326"/>
        <w:spacing w:after="0" w:line="246" w:lineRule="auto"/>
        <w:tabs>
          <w:tab w:leader="none" w:pos="4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stock options have been adjusted for the 2.5% annual stock dividend declared on June 26, 2020 and paid on July 17, 2020.</w:t>
      </w:r>
    </w:p>
    <w:p>
      <w:pPr>
        <w:ind w:left="400" w:right="960" w:hanging="326"/>
        <w:spacing w:after="0" w:line="259" w:lineRule="auto"/>
        <w:tabs>
          <w:tab w:leader="none" w:pos="4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stock options have been adjusted for the 2.5% annual stock dividend declared on June 26, 2020 and paid on July 17, 2020.</w:t>
      </w:r>
    </w:p>
    <w:p>
      <w:pPr>
        <w:spacing w:after="0" w:line="21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840"/>
          </w:cols>
          <w:pgMar w:left="1280" w:top="118" w:right="779" w:bottom="1440" w:gutter="0" w:footer="0" w:header="0"/>
        </w:sectPr>
      </w:pPr>
    </w:p>
    <w:bookmarkStart w:id="122" w:name="page123"/>
    <w:bookmarkEnd w:id="122"/>
    <w:p>
      <w:pPr>
        <w:ind w:left="2905"/>
        <w:spacing w:after="0"/>
        <w:rPr>
          <w:sz w:val="20"/>
          <w:szCs w:val="20"/>
          <w:color w:val="auto"/>
        </w:rPr>
      </w:pPr>
      <w:r>
        <w:rPr>
          <w:rFonts w:ascii="Arial" w:cs="Arial" w:eastAsia="Arial" w:hAnsi="Arial"/>
          <w:sz w:val="19"/>
          <w:szCs w:val="19"/>
          <w:b w:val="1"/>
          <w:bCs w:val="1"/>
          <w:color w:val="auto"/>
        </w:rPr>
        <w:t>OUTSTANDING EQUITY AWARDS</w:t>
      </w:r>
    </w:p>
    <w:p>
      <w:pPr>
        <w:spacing w:after="0" w:line="130" w:lineRule="exact"/>
        <w:rPr>
          <w:sz w:val="20"/>
          <w:szCs w:val="20"/>
          <w:color w:val="auto"/>
        </w:rPr>
      </w:pPr>
    </w:p>
    <w:p>
      <w:pPr>
        <w:ind w:left="5" w:right="2100"/>
        <w:spacing w:after="0" w:line="276" w:lineRule="auto"/>
        <w:rPr>
          <w:sz w:val="20"/>
          <w:szCs w:val="20"/>
          <w:color w:val="auto"/>
        </w:rPr>
      </w:pPr>
      <w:r>
        <w:rPr>
          <w:rFonts w:ascii="Arial" w:cs="Arial" w:eastAsia="Arial" w:hAnsi="Arial"/>
          <w:sz w:val="19"/>
          <w:szCs w:val="19"/>
          <w:color w:val="auto"/>
        </w:rPr>
        <w:t>The following table sets forth information concerning outstanding equity awards held by Named Executive Officers at December 31, 2020.</w:t>
      </w:r>
    </w:p>
    <w:p>
      <w:pPr>
        <w:spacing w:after="0" w:line="186" w:lineRule="exact"/>
        <w:rPr>
          <w:sz w:val="20"/>
          <w:szCs w:val="20"/>
          <w:color w:val="auto"/>
        </w:rPr>
      </w:pPr>
    </w:p>
    <w:tbl>
      <w:tblPr>
        <w:tblLayout w:type="fixed"/>
        <w:tblInd w:w="5" w:type="dxa"/>
        <w:tblCellMar>
          <w:top w:w="0" w:type="dxa"/>
          <w:left w:w="0" w:type="dxa"/>
          <w:bottom w:w="0" w:type="dxa"/>
          <w:right w:w="0" w:type="dxa"/>
        </w:tblCellMar>
      </w:tblPr>
      <w:tr>
        <w:trPr>
          <w:trHeight w:val="157"/>
        </w:trPr>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96"/>
              </w:rPr>
              <w:t>Option Awards</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color w:val="auto"/>
              </w:rPr>
              <w:t>Stock Awards</w:t>
            </w:r>
          </w:p>
        </w:tc>
        <w:tc>
          <w:tcPr>
            <w:tcW w:w="760" w:type="dxa"/>
            <w:vAlign w:val="bottom"/>
            <w:tcBorders>
              <w:bottom w:val="single" w:sz="8" w:color="auto"/>
            </w:tcBorders>
          </w:tcPr>
          <w:p>
            <w:pPr>
              <w:spacing w:after="0"/>
              <w:rPr>
                <w:sz w:val="13"/>
                <w:szCs w:val="13"/>
                <w:color w:val="auto"/>
              </w:rPr>
            </w:pPr>
          </w:p>
        </w:tc>
      </w:tr>
      <w:tr>
        <w:trPr>
          <w:trHeight w:val="126"/>
        </w:trPr>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color w:val="auto"/>
                <w:w w:val="95"/>
              </w:rPr>
              <w:t>Equity</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rPr>
              <w:t>Equity</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2"/>
              </w:rPr>
              <w:t>Incentive Plan</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5"/>
              </w:rPr>
              <w:t>Incentive</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2"/>
              </w:rPr>
              <w:t>Awards:</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3"/>
              </w:rPr>
              <w:t>Plan Awards:</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4"/>
              </w:rPr>
              <w:t>Market or</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6"/>
              </w:rPr>
              <w:t>Number of</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2"/>
              </w:rPr>
              <w:t>Payout Value</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2"/>
              </w:rPr>
              <w:t>Number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color w:val="auto"/>
                <w:w w:val="96"/>
              </w:rPr>
              <w:t>Number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6"/>
              </w:rPr>
              <w:t>Number of</w:t>
            </w:r>
          </w:p>
        </w:tc>
        <w:tc>
          <w:tcPr>
            <w:tcW w:w="7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6"/>
              </w:rPr>
              <w:t>Market Value</w:t>
            </w:r>
          </w:p>
        </w:tc>
        <w:tc>
          <w:tcPr>
            <w:tcW w:w="7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1"/>
              </w:rPr>
              <w:t>Unearned</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3"/>
              </w:rPr>
              <w:t>of Unearned</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1"/>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color w:val="auto"/>
                <w:w w:val="91"/>
              </w:rPr>
              <w:t>Securities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88"/>
              </w:rPr>
              <w:t>Shares or</w:t>
            </w:r>
          </w:p>
        </w:tc>
        <w:tc>
          <w:tcPr>
            <w:tcW w:w="7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1"/>
              </w:rPr>
              <w:t>of Shares or</w:t>
            </w: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1"/>
              </w:rPr>
              <w:t>Shares, Units</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1"/>
              </w:rPr>
              <w:t>Shares, Units</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7"/>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color w:val="auto"/>
                <w:w w:val="97"/>
              </w:rPr>
              <w:t>Underlying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8"/>
              </w:rPr>
              <w:t>Units of</w:t>
            </w:r>
          </w:p>
        </w:tc>
        <w:tc>
          <w:tcPr>
            <w:tcW w:w="7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8"/>
              </w:rPr>
              <w:t>Units of</w:t>
            </w: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5"/>
              </w:rPr>
              <w:t>or Other</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5"/>
              </w:rPr>
              <w:t>or Other</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89"/>
              </w:rPr>
              <w:t>Unexercised</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color w:val="auto"/>
                <w:w w:val="92"/>
              </w:rPr>
              <w:t>Unexercised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ind w:right="260"/>
              <w:spacing w:after="0" w:line="132" w:lineRule="exact"/>
              <w:rPr>
                <w:sz w:val="20"/>
                <w:szCs w:val="20"/>
                <w:color w:val="auto"/>
              </w:rPr>
            </w:pPr>
            <w:r>
              <w:rPr>
                <w:rFonts w:ascii="Arial" w:cs="Arial" w:eastAsia="Arial" w:hAnsi="Arial"/>
                <w:sz w:val="12"/>
                <w:szCs w:val="12"/>
                <w:color w:val="auto"/>
                <w:w w:val="96"/>
              </w:rPr>
              <w:t>Option</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3"/>
              </w:rPr>
              <w:t>Stock</w:t>
            </w:r>
          </w:p>
        </w:tc>
        <w:tc>
          <w:tcPr>
            <w:tcW w:w="72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4"/>
              </w:rPr>
              <w:t>Stock That</w:t>
            </w: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4"/>
              </w:rPr>
              <w:t>Stock That</w:t>
            </w: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4"/>
              </w:rPr>
              <w:t>Rights That</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4"/>
              </w:rPr>
              <w:t>Rights That</w:t>
            </w:r>
          </w:p>
        </w:tc>
      </w:tr>
      <w:tr>
        <w:trPr>
          <w:trHeight w:val="132"/>
        </w:trPr>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6"/>
              </w:rPr>
              <w:t>Options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color w:val="auto"/>
                <w:w w:val="96"/>
              </w:rPr>
              <w:t>Options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80"/>
              <w:spacing w:after="0" w:line="132" w:lineRule="exact"/>
              <w:rPr>
                <w:sz w:val="20"/>
                <w:szCs w:val="20"/>
                <w:color w:val="auto"/>
              </w:rPr>
            </w:pPr>
            <w:r>
              <w:rPr>
                <w:rFonts w:ascii="Arial" w:cs="Arial" w:eastAsia="Arial" w:hAnsi="Arial"/>
                <w:sz w:val="12"/>
                <w:szCs w:val="12"/>
                <w:color w:val="auto"/>
                <w:w w:val="93"/>
              </w:rPr>
              <w:t>Exercise Price</w:t>
            </w:r>
          </w:p>
        </w:tc>
        <w:tc>
          <w:tcPr>
            <w:tcW w:w="860" w:type="dxa"/>
            <w:vAlign w:val="bottom"/>
            <w:gridSpan w:val="2"/>
          </w:tcPr>
          <w:p>
            <w:pPr>
              <w:jc w:val="center"/>
              <w:ind w:right="120"/>
              <w:spacing w:after="0" w:line="132" w:lineRule="exact"/>
              <w:rPr>
                <w:sz w:val="20"/>
                <w:szCs w:val="20"/>
                <w:color w:val="auto"/>
              </w:rPr>
            </w:pPr>
            <w:r>
              <w:rPr>
                <w:rFonts w:ascii="Arial" w:cs="Arial" w:eastAsia="Arial" w:hAnsi="Arial"/>
                <w:sz w:val="12"/>
                <w:szCs w:val="12"/>
                <w:color w:val="auto"/>
                <w:w w:val="96"/>
              </w:rPr>
              <w:t>Option</w:t>
            </w:r>
          </w:p>
        </w:tc>
        <w:tc>
          <w:tcPr>
            <w:tcW w:w="5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3"/>
              </w:rPr>
              <w:t>Award</w:t>
            </w:r>
          </w:p>
        </w:tc>
        <w:tc>
          <w:tcPr>
            <w:tcW w:w="72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5"/>
              </w:rPr>
              <w:t>Have Not</w:t>
            </w:r>
          </w:p>
        </w:tc>
        <w:tc>
          <w:tcPr>
            <w:tcW w:w="7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5"/>
              </w:rPr>
              <w:t>Have Not</w:t>
            </w:r>
          </w:p>
        </w:tc>
        <w:tc>
          <w:tcPr>
            <w:tcW w:w="760" w:type="dxa"/>
            <w:vAlign w:val="bottom"/>
            <w:gridSpan w:val="2"/>
          </w:tcPr>
          <w:p>
            <w:pPr>
              <w:jc w:val="center"/>
              <w:ind w:right="60"/>
              <w:spacing w:after="0" w:line="132" w:lineRule="exact"/>
              <w:rPr>
                <w:sz w:val="20"/>
                <w:szCs w:val="20"/>
                <w:color w:val="auto"/>
              </w:rPr>
            </w:pPr>
            <w:r>
              <w:rPr>
                <w:rFonts w:ascii="Arial" w:cs="Arial" w:eastAsia="Arial" w:hAnsi="Arial"/>
                <w:sz w:val="12"/>
                <w:szCs w:val="12"/>
                <w:color w:val="auto"/>
                <w:w w:val="91"/>
              </w:rPr>
              <w:t>Have Not</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95"/>
              </w:rPr>
              <w:t>Have Not</w:t>
            </w:r>
          </w:p>
        </w:tc>
      </w:tr>
      <w:tr>
        <w:trPr>
          <w:trHeight w:val="132"/>
        </w:trPr>
        <w:tc>
          <w:tcPr>
            <w:tcW w:w="1360" w:type="dxa"/>
            <w:vAlign w:val="bottom"/>
          </w:tcPr>
          <w:p>
            <w:pPr>
              <w:ind w:left="200"/>
              <w:spacing w:after="0" w:line="132" w:lineRule="exact"/>
              <w:rPr>
                <w:sz w:val="20"/>
                <w:szCs w:val="20"/>
                <w:color w:val="auto"/>
              </w:rPr>
            </w:pPr>
            <w:r>
              <w:rPr>
                <w:rFonts w:ascii="Arial" w:cs="Arial" w:eastAsia="Arial" w:hAnsi="Arial"/>
                <w:sz w:val="12"/>
                <w:szCs w:val="12"/>
                <w:color w:val="auto"/>
              </w:rPr>
              <w:t>Name of Executive</w:t>
            </w:r>
          </w:p>
        </w:tc>
        <w:tc>
          <w:tcPr>
            <w:tcW w:w="60" w:type="dxa"/>
            <w:vAlign w:val="bottom"/>
          </w:tcPr>
          <w:p>
            <w:pPr>
              <w:spacing w:after="0"/>
              <w:rPr>
                <w:sz w:val="11"/>
                <w:szCs w:val="11"/>
                <w:color w:val="auto"/>
              </w:rPr>
            </w:pPr>
          </w:p>
        </w:tc>
        <w:tc>
          <w:tcPr>
            <w:tcW w:w="840" w:type="dxa"/>
            <w:vAlign w:val="bottom"/>
          </w:tcPr>
          <w:p>
            <w:pPr>
              <w:jc w:val="center"/>
              <w:spacing w:after="0" w:line="132" w:lineRule="exact"/>
              <w:rPr>
                <w:sz w:val="20"/>
                <w:szCs w:val="20"/>
                <w:color w:val="auto"/>
              </w:rPr>
            </w:pPr>
            <w:r>
              <w:rPr>
                <w:rFonts w:ascii="Arial" w:cs="Arial" w:eastAsia="Arial" w:hAnsi="Arial"/>
                <w:sz w:val="12"/>
                <w:szCs w:val="12"/>
                <w:color w:val="auto"/>
                <w:w w:val="95"/>
              </w:rPr>
              <w:t>Option Grant</w:t>
            </w:r>
          </w:p>
        </w:tc>
        <w:tc>
          <w:tcPr>
            <w:tcW w:w="6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Arial" w:cs="Arial" w:eastAsia="Arial" w:hAnsi="Arial"/>
                <w:sz w:val="12"/>
                <w:szCs w:val="12"/>
                <w:color w:val="auto"/>
                <w:w w:val="94"/>
              </w:rPr>
              <w:t>Exercisable (1)</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2" w:lineRule="exact"/>
              <w:rPr>
                <w:sz w:val="20"/>
                <w:szCs w:val="20"/>
                <w:color w:val="auto"/>
              </w:rPr>
            </w:pPr>
            <w:r>
              <w:rPr>
                <w:rFonts w:ascii="Arial" w:cs="Arial" w:eastAsia="Arial" w:hAnsi="Arial"/>
                <w:sz w:val="12"/>
                <w:szCs w:val="12"/>
                <w:color w:val="auto"/>
                <w:w w:val="93"/>
              </w:rPr>
              <w:t>Unexercisable (1)</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ind w:right="98"/>
              <w:spacing w:after="0" w:line="132" w:lineRule="exact"/>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860" w:type="dxa"/>
            <w:vAlign w:val="bottom"/>
            <w:gridSpan w:val="2"/>
          </w:tcPr>
          <w:p>
            <w:pPr>
              <w:jc w:val="center"/>
              <w:ind w:right="100"/>
              <w:spacing w:after="0" w:line="132" w:lineRule="exact"/>
              <w:rPr>
                <w:sz w:val="20"/>
                <w:szCs w:val="20"/>
                <w:color w:val="auto"/>
              </w:rPr>
            </w:pPr>
            <w:r>
              <w:rPr>
                <w:rFonts w:ascii="Arial" w:cs="Arial" w:eastAsia="Arial" w:hAnsi="Arial"/>
                <w:sz w:val="12"/>
                <w:szCs w:val="12"/>
                <w:color w:val="auto"/>
                <w:w w:val="97"/>
              </w:rPr>
              <w:t>Expiration</w:t>
            </w:r>
          </w:p>
        </w:tc>
        <w:tc>
          <w:tcPr>
            <w:tcW w:w="560" w:type="dxa"/>
            <w:vAlign w:val="bottom"/>
            <w:gridSpan w:val="2"/>
          </w:tcPr>
          <w:p>
            <w:pPr>
              <w:jc w:val="center"/>
              <w:ind w:right="80"/>
              <w:spacing w:after="0" w:line="132" w:lineRule="exact"/>
              <w:rPr>
                <w:sz w:val="20"/>
                <w:szCs w:val="20"/>
                <w:color w:val="auto"/>
              </w:rPr>
            </w:pPr>
            <w:r>
              <w:rPr>
                <w:rFonts w:ascii="Arial" w:cs="Arial" w:eastAsia="Arial" w:hAnsi="Arial"/>
                <w:sz w:val="12"/>
                <w:szCs w:val="12"/>
                <w:color w:val="auto"/>
                <w:w w:val="93"/>
              </w:rPr>
              <w:t>Grant</w:t>
            </w: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color w:val="auto"/>
              </w:rPr>
              <w:t>Vested</w:t>
            </w:r>
          </w:p>
        </w:tc>
        <w:tc>
          <w:tcPr>
            <w:tcW w:w="760" w:type="dxa"/>
            <w:vAlign w:val="bottom"/>
            <w:gridSpan w:val="2"/>
          </w:tcPr>
          <w:p>
            <w:pPr>
              <w:ind w:left="160"/>
              <w:spacing w:after="0" w:line="132" w:lineRule="exact"/>
              <w:rPr>
                <w:sz w:val="20"/>
                <w:szCs w:val="20"/>
                <w:color w:val="auto"/>
              </w:rPr>
            </w:pPr>
            <w:r>
              <w:rPr>
                <w:rFonts w:ascii="Arial" w:cs="Arial" w:eastAsia="Arial" w:hAnsi="Arial"/>
                <w:sz w:val="12"/>
                <w:szCs w:val="12"/>
                <w:color w:val="auto"/>
              </w:rPr>
              <w:t>Vested</w:t>
            </w:r>
          </w:p>
        </w:tc>
        <w:tc>
          <w:tcPr>
            <w:tcW w:w="760" w:type="dxa"/>
            <w:vAlign w:val="bottom"/>
            <w:gridSpan w:val="2"/>
          </w:tcPr>
          <w:p>
            <w:pPr>
              <w:ind w:left="160"/>
              <w:spacing w:after="0" w:line="132" w:lineRule="exact"/>
              <w:rPr>
                <w:sz w:val="20"/>
                <w:szCs w:val="20"/>
                <w:color w:val="auto"/>
              </w:rPr>
            </w:pPr>
            <w:r>
              <w:rPr>
                <w:rFonts w:ascii="Arial" w:cs="Arial" w:eastAsia="Arial" w:hAnsi="Arial"/>
                <w:sz w:val="12"/>
                <w:szCs w:val="12"/>
                <w:color w:val="auto"/>
              </w:rPr>
              <w:t>Vested</w:t>
            </w:r>
          </w:p>
        </w:tc>
        <w:tc>
          <w:tcPr>
            <w:tcW w:w="760" w:type="dxa"/>
            <w:vAlign w:val="bottom"/>
          </w:tcPr>
          <w:p>
            <w:pPr>
              <w:ind w:left="200"/>
              <w:spacing w:after="0" w:line="132" w:lineRule="exact"/>
              <w:rPr>
                <w:sz w:val="20"/>
                <w:szCs w:val="20"/>
                <w:color w:val="auto"/>
              </w:rPr>
            </w:pPr>
            <w:r>
              <w:rPr>
                <w:rFonts w:ascii="Arial" w:cs="Arial" w:eastAsia="Arial" w:hAnsi="Arial"/>
                <w:sz w:val="12"/>
                <w:szCs w:val="12"/>
                <w:color w:val="auto"/>
              </w:rPr>
              <w:t>Vested</w:t>
            </w:r>
          </w:p>
        </w:tc>
      </w:tr>
      <w:tr>
        <w:trPr>
          <w:trHeight w:val="157"/>
        </w:trPr>
        <w:tc>
          <w:tcPr>
            <w:tcW w:w="1360" w:type="dxa"/>
            <w:vAlign w:val="bottom"/>
          </w:tcPr>
          <w:p>
            <w:pPr>
              <w:ind w:left="500"/>
              <w:spacing w:after="0"/>
              <w:rPr>
                <w:sz w:val="20"/>
                <w:szCs w:val="20"/>
                <w:color w:val="auto"/>
              </w:rPr>
            </w:pPr>
            <w:r>
              <w:rPr>
                <w:rFonts w:ascii="Arial" w:cs="Arial" w:eastAsia="Arial" w:hAnsi="Arial"/>
                <w:sz w:val="12"/>
                <w:szCs w:val="12"/>
                <w:color w:val="auto"/>
              </w:rPr>
              <w:t>Officer</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color w:val="auto"/>
                <w:w w:val="94"/>
              </w:rPr>
              <w:t>Date</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980" w:type="dxa"/>
            <w:vAlign w:val="bottom"/>
            <w:gridSpan w:val="2"/>
          </w:tcPr>
          <w:p>
            <w:pPr>
              <w:jc w:val="center"/>
              <w:ind w:left="18"/>
              <w:spacing w:after="0"/>
              <w:rPr>
                <w:sz w:val="20"/>
                <w:szCs w:val="20"/>
                <w:color w:val="auto"/>
              </w:rPr>
            </w:pPr>
            <w:r>
              <w:rPr>
                <w:rFonts w:ascii="Arial" w:cs="Arial" w:eastAsia="Arial" w:hAnsi="Arial"/>
                <w:sz w:val="12"/>
                <w:szCs w:val="12"/>
                <w:color w:val="auto"/>
                <w:w w:val="95"/>
              </w:rPr>
              <w: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center"/>
              <w:ind w:right="158"/>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Date</w:t>
            </w:r>
          </w:p>
        </w:tc>
        <w:tc>
          <w:tcPr>
            <w:tcW w:w="56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Date</w:t>
            </w:r>
          </w:p>
        </w:tc>
        <w:tc>
          <w:tcPr>
            <w:tcW w:w="64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95"/>
              </w:rPr>
              <w:t>($)</w:t>
            </w:r>
          </w:p>
        </w:tc>
      </w:tr>
      <w:tr>
        <w:trPr>
          <w:trHeight w:val="151"/>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Scott M. Quist</w:t>
            </w: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4"/>
              </w:rPr>
              <w:t>12/2/16</w:t>
            </w: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99,672</w:t>
            </w:r>
          </w:p>
        </w:tc>
        <w:tc>
          <w:tcPr>
            <w:tcW w:w="48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2"/>
                <w:szCs w:val="12"/>
                <w:color w:val="auto"/>
                <w:w w:val="95"/>
              </w:rPr>
              <w:t>(3)</w:t>
            </w:r>
          </w:p>
        </w:tc>
        <w:tc>
          <w:tcPr>
            <w:tcW w:w="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6.14</w:t>
            </w:r>
          </w:p>
        </w:tc>
        <w:tc>
          <w:tcPr>
            <w:tcW w:w="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4"/>
              </w:rPr>
              <w:t>12/02/21</w:t>
            </w:r>
          </w:p>
        </w:tc>
        <w:tc>
          <w:tcPr>
            <w:tcW w:w="1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7"/>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12/1/17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88,993</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4.65</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12/02/22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11/30/18</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79,104</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5.34</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11/30/23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12/6/19</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53,813</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5.30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38,438</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12,812</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3.85</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03/27/25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8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Garrett S. Sill</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5,770</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3.30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7"/>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7/2/14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5,495</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3.08</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07/02/24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12/5/14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10,989</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12/05/24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12/1/17</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17,799</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4.22</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12/01/27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11/30/18</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22,601</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4.86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11/30/28</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12/6/19</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26,906</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(6)</w:t>
            </w: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19,219</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(7)</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6,406</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3.67</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03/27/30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8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Stephen C. Johnson</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4/13/12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4,543</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1.01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04/13/22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7"/>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4,327</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3.30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7/2/14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4,121</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3.08</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07/02/24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12/5/14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8,242</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12/05/24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12/4/15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13,082</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5.07</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12/04/25</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12/2/16</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6,230</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5.59</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12/02/26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12/1/17</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11,865</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4.22</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12/01/27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12/6/19</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10,763</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7,688</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2,562</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3.67</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03/27/30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8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S. Andrew Quist</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4/13/12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22,716</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1.01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04/13/22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7"/>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14,423</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3.30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7/2/14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13,736</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3.08</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07/02/24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12/5/14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27,473</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12/05/24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12/4/15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26,165</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5.07</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12/04/25</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12/2/16</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24,919</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5.59</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12/02/26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12/1/17</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23,732</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(4)</w:t>
            </w: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4.22</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12/01/27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11/30/18</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28,252</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(5)</w:t>
            </w: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4.86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11/30/28</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12/6/19</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43,050</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(6)</w:t>
            </w: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30,750</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w w:val="95"/>
              </w:rPr>
              <w:t>(7)</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10,250</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3.67</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03/27/30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8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6"/>
        </w:trPr>
        <w:tc>
          <w:tcPr>
            <w:tcW w:w="1360" w:type="dxa"/>
            <w:vAlign w:val="bottom"/>
            <w:shd w:val="clear" w:color="auto" w:fill="CCEEFF"/>
          </w:tcPr>
          <w:p>
            <w:pPr>
              <w:spacing w:after="0"/>
              <w:rPr>
                <w:sz w:val="20"/>
                <w:szCs w:val="20"/>
                <w:color w:val="auto"/>
              </w:rPr>
            </w:pPr>
            <w:r>
              <w:rPr>
                <w:rFonts w:ascii="Arial" w:cs="Arial" w:eastAsia="Arial" w:hAnsi="Arial"/>
                <w:sz w:val="12"/>
                <w:szCs w:val="12"/>
                <w:color w:val="auto"/>
              </w:rPr>
              <w:t>Jeffrey R. Stephens</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4/13/12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3,787</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1.01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04/13/22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7"/>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3,607</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3.30</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7/2/14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3,435</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3.08</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07/02/24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12/5/14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6,869</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12/05/24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12/4/15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6,542</w:t>
            </w:r>
          </w:p>
        </w:tc>
        <w:tc>
          <w:tcPr>
            <w:tcW w:w="4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5.07</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12/04/25</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12/2/16</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6,230</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5.59</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12/02/26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12/1/17</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5,934</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4.22</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12/01/27</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11/30/18</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8,476</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4.86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11/30/28</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58"/>
        </w:trPr>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12/6/19</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8,072</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5.06</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12/06/29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62"/>
        </w:trPr>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3/27/20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5,765</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1,923</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3.67</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03/27/30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bl>
    <w:p>
      <w:pPr>
        <w:spacing w:after="0" w:line="214"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w:t>
      </w:r>
    </w:p>
    <w:p>
      <w:pPr>
        <w:spacing w:after="0" w:line="17" w:lineRule="exact"/>
        <w:rPr>
          <w:sz w:val="20"/>
          <w:szCs w:val="20"/>
          <w:color w:val="auto"/>
        </w:rPr>
      </w:pPr>
    </w:p>
    <w:p>
      <w:pPr>
        <w:ind w:left="325" w:right="1480" w:hanging="325"/>
        <w:spacing w:after="0" w:line="248" w:lineRule="auto"/>
        <w:tabs>
          <w:tab w:leader="none" w:pos="32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Except for options granted to Scott M. Quist that have five-year terms, such grants have ten year terms. The vesting of any unvested shares is subject to the recipient’s continuous employment. This reflects the equivalent of Class A common shares.</w:t>
      </w:r>
    </w:p>
    <w:p>
      <w:pPr>
        <w:spacing w:after="0" w:line="1" w:lineRule="exact"/>
        <w:rPr>
          <w:rFonts w:ascii="Arial" w:cs="Arial" w:eastAsia="Arial" w:hAnsi="Arial"/>
          <w:sz w:val="19"/>
          <w:szCs w:val="19"/>
          <w:color w:val="auto"/>
        </w:rPr>
      </w:pPr>
    </w:p>
    <w:p>
      <w:pPr>
        <w:ind w:left="325" w:hanging="325"/>
        <w:spacing w:after="0"/>
        <w:tabs>
          <w:tab w:leader="none" w:pos="32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Exercise prices have been adjusted for the effect of annual stock dividends.</w:t>
      </w:r>
    </w:p>
    <w:p>
      <w:pPr>
        <w:spacing w:after="0" w:line="5" w:lineRule="exact"/>
        <w:rPr>
          <w:rFonts w:ascii="Arial" w:cs="Arial" w:eastAsia="Arial" w:hAnsi="Arial"/>
          <w:sz w:val="19"/>
          <w:szCs w:val="19"/>
          <w:color w:val="auto"/>
        </w:rPr>
      </w:pPr>
    </w:p>
    <w:p>
      <w:pPr>
        <w:ind w:left="325" w:right="1580" w:hanging="325"/>
        <w:spacing w:after="0" w:line="246" w:lineRule="auto"/>
        <w:tabs>
          <w:tab w:leader="none" w:pos="32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On December 2, 2016, Scott Quist was granted stock options to purchase 80,000 shares of Class A common stock at an exercise price of $6.14 per share or 80,000 shares of Class C common stock at an exercise price of $6.14 per share, or any combination thereof.</w:t>
      </w:r>
    </w:p>
    <w:p>
      <w:pPr>
        <w:ind w:left="325" w:right="1520" w:hanging="325"/>
        <w:spacing w:after="0" w:line="285" w:lineRule="auto"/>
        <w:tabs>
          <w:tab w:leader="none" w:pos="32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On December 1, 2017, Garrett S. Sill was granted stock options to purchase 15,000 shares of Class A common stock at an exercise price of $4.22 per share or 15,000 shares of Class C common stock at an exercise price of $4.22 per share, or any combination thereof. Also, on December 1, 2017, S. Andrew Quist was granted stock options to purchase 20,000 shares of Class A common stock at an exercise price of $4.22 per share or 20,000 shares of Class C common stock at an exercise price of $4.22 per share, or any combination thereof.</w:t>
      </w:r>
    </w:p>
    <w:p>
      <w:pPr>
        <w:sectPr>
          <w:pgSz w:w="11900" w:h="16838" w:orient="portrait"/>
          <w:cols w:equalWidth="0" w:num="1">
            <w:col w:w="10385"/>
          </w:cols>
          <w:pgMar w:left="1275" w:top="118" w:right="239" w:bottom="1440" w:gutter="0" w:footer="0" w:header="0"/>
        </w:sectPr>
      </w:pPr>
    </w:p>
    <w:p>
      <w:pPr>
        <w:spacing w:after="0" w:line="199" w:lineRule="exact"/>
        <w:rPr>
          <w:sz w:val="20"/>
          <w:szCs w:val="20"/>
          <w:color w:val="auto"/>
        </w:rPr>
      </w:pPr>
    </w:p>
    <w:p>
      <w:pPr>
        <w:ind w:left="4325"/>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5653405" cy="336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10385"/>
          </w:cols>
          <w:pgMar w:left="1275" w:top="118" w:right="239" w:bottom="1440" w:gutter="0" w:footer="0" w:header="0"/>
          <w:type w:val="continuous"/>
        </w:sectPr>
      </w:pPr>
    </w:p>
    <w:bookmarkStart w:id="123" w:name="page124"/>
    <w:bookmarkEnd w:id="123"/>
    <w:p>
      <w:pPr>
        <w:ind w:left="325" w:right="299" w:hanging="325"/>
        <w:spacing w:after="0" w:line="249" w:lineRule="auto"/>
        <w:tabs>
          <w:tab w:leader="none" w:pos="32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On November 30, 2018, Garrett S. Sill was granted stock options to purchase 20,000 shares of Class A common stock at an exercise price of $4.86 per share or 20,000 shares of Class C common stock at an exercise price of $4.86 per share, or any combination thereof. Also, on November 30, 2018, S. Andrew Quist was granted stock options to purchase 25,000 shares of Class A common stock at an exercise price of $4.86 per share or 20,000 shares of Class C common stock at an exercise price of $4.86 per share, or any combination thereof.</w:t>
      </w:r>
    </w:p>
    <w:p>
      <w:pPr>
        <w:spacing w:after="0" w:line="2" w:lineRule="exact"/>
        <w:rPr>
          <w:rFonts w:ascii="Arial" w:cs="Arial" w:eastAsia="Arial" w:hAnsi="Arial"/>
          <w:sz w:val="19"/>
          <w:szCs w:val="19"/>
          <w:color w:val="auto"/>
        </w:rPr>
      </w:pPr>
    </w:p>
    <w:p>
      <w:pPr>
        <w:ind w:left="325" w:right="299" w:hanging="325"/>
        <w:spacing w:after="0" w:line="259" w:lineRule="auto"/>
        <w:tabs>
          <w:tab w:leader="none" w:pos="3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December 6, 2019, Scott M. Quist was granted stock options to purchase 50,000 shares of Class A common stock at an exercise price of $5.30 per share or 50,000 shares of Class C common stock at an exercise price of $5.30 per share, or any combination thereof. Also, on December 6, 2019, Garrett S. Sill was granted stock options to purchase 25,000 shares of Class A common stock at an exercise price of $5.06 per share or 25,000 shares of Class C common stock at an exercise price of $5.06 per share, or any combination thereof. Also, on December 6, 2019, S. Andrew Quist was granted stock options to purchase 40,000 shares of Class A common stock at an exercise price of $5.06 per share or 40,000 shares of Class C common stock at an exercise price of $5.06 per share, or any combination thereof.</w:t>
      </w:r>
    </w:p>
    <w:p>
      <w:pPr>
        <w:spacing w:after="0" w:line="6" w:lineRule="exact"/>
        <w:rPr>
          <w:rFonts w:ascii="Arial" w:cs="Arial" w:eastAsia="Arial" w:hAnsi="Arial"/>
          <w:sz w:val="18"/>
          <w:szCs w:val="18"/>
          <w:color w:val="auto"/>
        </w:rPr>
      </w:pPr>
    </w:p>
    <w:p>
      <w:pPr>
        <w:ind w:left="325" w:right="379" w:hanging="325"/>
        <w:spacing w:after="0" w:line="259" w:lineRule="auto"/>
        <w:tabs>
          <w:tab w:leader="none" w:pos="32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March 27, 2020, Scott M. Quist was granted stock options to purchase 50,000 shares of Class A common stock at an exercise price of $3.85 per share or 50,000 shares of Class C common stock at an exercise price of $3.85 per share, or any combination thereof. Also, on March 27, 2020, Garrett S. Sill was granted stock options to purchase 25,000 shares of Class A common stock at an exercise price of $3.67 per share or 25,000 shares of Class C common stock at an exercise price of $3.67 per share, or any combination thereof. Also, on March 27, 2020, S. Andrew Quist was granted stock options to purchase 40,000 shares of Class A common stock at an exercise price of $3.67 per share or 40,000 shares of Class C common stock at an exercise price of $3.67 per share, or any combination thereof.</w:t>
      </w:r>
    </w:p>
    <w:p>
      <w:pPr>
        <w:spacing w:after="0" w:line="6" w:lineRule="exact"/>
        <w:rPr>
          <w:rFonts w:ascii="Arial" w:cs="Arial" w:eastAsia="Arial" w:hAnsi="Arial"/>
          <w:sz w:val="18"/>
          <w:szCs w:val="18"/>
          <w:color w:val="auto"/>
        </w:rPr>
      </w:pPr>
    </w:p>
    <w:p>
      <w:pPr>
        <w:ind w:left="325" w:right="399" w:hanging="325"/>
        <w:spacing w:after="0" w:line="259" w:lineRule="auto"/>
        <w:tabs>
          <w:tab w:leader="none" w:pos="32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Stock options vest at the rate of 25% of the total number of shares per quarter over a one year period after the grant date.</w:t>
      </w:r>
    </w:p>
    <w:p>
      <w:pPr>
        <w:spacing w:after="0" w:line="179" w:lineRule="exact"/>
        <w:rPr>
          <w:sz w:val="20"/>
          <w:szCs w:val="20"/>
          <w:color w:val="auto"/>
        </w:rPr>
      </w:pPr>
    </w:p>
    <w:p>
      <w:pPr>
        <w:jc w:val="center"/>
        <w:ind w:right="274"/>
        <w:spacing w:after="0"/>
        <w:rPr>
          <w:sz w:val="20"/>
          <w:szCs w:val="20"/>
          <w:color w:val="auto"/>
        </w:rPr>
      </w:pPr>
      <w:r>
        <w:rPr>
          <w:rFonts w:ascii="Arial" w:cs="Arial" w:eastAsia="Arial" w:hAnsi="Arial"/>
          <w:sz w:val="19"/>
          <w:szCs w:val="19"/>
          <w:b w:val="1"/>
          <w:bCs w:val="1"/>
          <w:color w:val="auto"/>
        </w:rPr>
        <w:t>OPTION AWARDS VESTING SCHEDULE</w:t>
      </w:r>
    </w:p>
    <w:p>
      <w:pPr>
        <w:spacing w:after="0" w:line="236" w:lineRule="exact"/>
        <w:rPr>
          <w:sz w:val="20"/>
          <w:szCs w:val="20"/>
          <w:color w:val="auto"/>
        </w:rPr>
      </w:pPr>
    </w:p>
    <w:p>
      <w:pPr>
        <w:ind w:left="5" w:right="279"/>
        <w:spacing w:after="0" w:line="276" w:lineRule="auto"/>
        <w:rPr>
          <w:sz w:val="20"/>
          <w:szCs w:val="20"/>
          <w:color w:val="auto"/>
        </w:rPr>
      </w:pPr>
      <w:r>
        <w:rPr>
          <w:rFonts w:ascii="Arial" w:cs="Arial" w:eastAsia="Arial" w:hAnsi="Arial"/>
          <w:sz w:val="19"/>
          <w:szCs w:val="19"/>
          <w:color w:val="auto"/>
        </w:rPr>
        <w:t>The following table sets forth the vesting schedule of unexercisable options reported in the “Number of Securities Underlying Unexercised Options – Unexercisable” column of the table above.</w:t>
      </w:r>
    </w:p>
    <w:p>
      <w:pPr>
        <w:spacing w:after="0" w:line="18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1240" w:type="dxa"/>
            <w:vAlign w:val="bottom"/>
            <w:gridSpan w:val="2"/>
          </w:tcPr>
          <w:p>
            <w:pPr>
              <w:ind w:left="160"/>
              <w:spacing w:after="0"/>
              <w:rPr>
                <w:sz w:val="20"/>
                <w:szCs w:val="20"/>
                <w:color w:val="auto"/>
              </w:rPr>
            </w:pPr>
            <w:r>
              <w:rPr>
                <w:rFonts w:ascii="Arial" w:cs="Arial" w:eastAsia="Arial" w:hAnsi="Arial"/>
                <w:sz w:val="18"/>
                <w:szCs w:val="18"/>
                <w:color w:val="auto"/>
              </w:rPr>
              <w:t>Grant Date</w:t>
            </w:r>
          </w:p>
        </w:tc>
        <w:tc>
          <w:tcPr>
            <w:tcW w:w="7640" w:type="dxa"/>
            <w:vAlign w:val="bottom"/>
          </w:tcPr>
          <w:p>
            <w:pPr>
              <w:ind w:left="3560"/>
              <w:spacing w:after="0"/>
              <w:rPr>
                <w:sz w:val="20"/>
                <w:szCs w:val="20"/>
                <w:color w:val="auto"/>
              </w:rPr>
            </w:pPr>
            <w:r>
              <w:rPr>
                <w:rFonts w:ascii="Arial" w:cs="Arial" w:eastAsia="Arial" w:hAnsi="Arial"/>
                <w:sz w:val="18"/>
                <w:szCs w:val="18"/>
                <w:color w:val="auto"/>
              </w:rPr>
              <w:t>Vesting</w:t>
            </w:r>
          </w:p>
        </w:tc>
        <w:tc>
          <w:tcPr>
            <w:tcW w:w="20" w:type="dxa"/>
            <w:vAlign w:val="bottom"/>
          </w:tcPr>
          <w:p>
            <w:pPr>
              <w:spacing w:after="0"/>
              <w:rPr>
                <w:sz w:val="19"/>
                <w:szCs w:val="19"/>
                <w:color w:val="auto"/>
              </w:rPr>
            </w:pPr>
          </w:p>
        </w:tc>
      </w:tr>
      <w:tr>
        <w:trPr>
          <w:trHeight w:val="237"/>
        </w:trPr>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4/13/12</w:t>
            </w:r>
          </w:p>
        </w:tc>
        <w:tc>
          <w:tcPr>
            <w:tcW w:w="140" w:type="dxa"/>
            <w:vAlign w:val="bottom"/>
            <w:tcBorders>
              <w:top w:val="single" w:sz="8" w:color="CCEEFF"/>
            </w:tcBorders>
            <w:shd w:val="clear" w:color="auto" w:fill="CCEEFF"/>
          </w:tcPr>
          <w:p>
            <w:pPr>
              <w:spacing w:after="0"/>
              <w:rPr>
                <w:sz w:val="20"/>
                <w:szCs w:val="20"/>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0"/>
                <w:szCs w:val="20"/>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12/06/13</w:t>
            </w:r>
          </w:p>
        </w:tc>
        <w:tc>
          <w:tcPr>
            <w:tcW w:w="1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0"/>
                <w:szCs w:val="20"/>
                <w:color w:val="auto"/>
              </w:rPr>
            </w:pPr>
          </w:p>
        </w:tc>
      </w:tr>
      <w:tr>
        <w:trPr>
          <w:trHeight w:val="244"/>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07/02/14</w:t>
            </w:r>
          </w:p>
        </w:tc>
        <w:tc>
          <w:tcPr>
            <w:tcW w:w="140" w:type="dxa"/>
            <w:vAlign w:val="bottom"/>
            <w:shd w:val="clear" w:color="auto" w:fill="CCEEFF"/>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1"/>
                <w:szCs w:val="2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12/05/14</w:t>
            </w:r>
          </w:p>
        </w:tc>
        <w:tc>
          <w:tcPr>
            <w:tcW w:w="1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0"/>
                <w:szCs w:val="20"/>
                <w:color w:val="auto"/>
              </w:rPr>
            </w:pPr>
          </w:p>
        </w:tc>
      </w:tr>
      <w:tr>
        <w:trPr>
          <w:trHeight w:val="244"/>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12/04/15</w:t>
            </w:r>
          </w:p>
        </w:tc>
        <w:tc>
          <w:tcPr>
            <w:tcW w:w="140" w:type="dxa"/>
            <w:vAlign w:val="bottom"/>
            <w:shd w:val="clear" w:color="auto" w:fill="CCEEFF"/>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1"/>
                <w:szCs w:val="2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12/02/16</w:t>
            </w:r>
          </w:p>
        </w:tc>
        <w:tc>
          <w:tcPr>
            <w:tcW w:w="1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0"/>
                <w:szCs w:val="20"/>
                <w:color w:val="auto"/>
              </w:rPr>
            </w:pPr>
          </w:p>
        </w:tc>
      </w:tr>
      <w:tr>
        <w:trPr>
          <w:trHeight w:val="244"/>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12/01/17</w:t>
            </w:r>
          </w:p>
        </w:tc>
        <w:tc>
          <w:tcPr>
            <w:tcW w:w="140" w:type="dxa"/>
            <w:vAlign w:val="bottom"/>
            <w:shd w:val="clear" w:color="auto" w:fill="CCEEFF"/>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1"/>
                <w:szCs w:val="21"/>
                <w:color w:val="auto"/>
              </w:rPr>
            </w:pPr>
          </w:p>
        </w:tc>
      </w:tr>
      <w:tr>
        <w:trPr>
          <w:trHeight w:val="230"/>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11/30/18</w:t>
            </w:r>
          </w:p>
        </w:tc>
        <w:tc>
          <w:tcPr>
            <w:tcW w:w="1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0"/>
                <w:szCs w:val="20"/>
                <w:color w:val="auto"/>
              </w:rPr>
            </w:pPr>
          </w:p>
        </w:tc>
      </w:tr>
      <w:tr>
        <w:trPr>
          <w:trHeight w:val="244"/>
        </w:trPr>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12/06/19</w:t>
            </w:r>
          </w:p>
        </w:tc>
        <w:tc>
          <w:tcPr>
            <w:tcW w:w="140" w:type="dxa"/>
            <w:vAlign w:val="bottom"/>
            <w:shd w:val="clear" w:color="auto" w:fill="CCEEFF"/>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These options vested 25% per quarter over a one year period after the grant date.</w:t>
            </w:r>
          </w:p>
        </w:tc>
        <w:tc>
          <w:tcPr>
            <w:tcW w:w="20" w:type="dxa"/>
            <w:vAlign w:val="bottom"/>
          </w:tcPr>
          <w:p>
            <w:pPr>
              <w:spacing w:after="0"/>
              <w:rPr>
                <w:sz w:val="21"/>
                <w:szCs w:val="21"/>
                <w:color w:val="auto"/>
              </w:rPr>
            </w:pPr>
          </w:p>
        </w:tc>
      </w:tr>
      <w:tr>
        <w:trPr>
          <w:trHeight w:val="223"/>
        </w:trPr>
        <w:tc>
          <w:tcPr>
            <w:tcW w:w="1100" w:type="dxa"/>
            <w:vAlign w:val="bottom"/>
          </w:tcPr>
          <w:p>
            <w:pPr>
              <w:jc w:val="center"/>
              <w:spacing w:after="0"/>
              <w:rPr>
                <w:sz w:val="20"/>
                <w:szCs w:val="20"/>
                <w:color w:val="auto"/>
              </w:rPr>
            </w:pPr>
            <w:r>
              <w:rPr>
                <w:rFonts w:ascii="Arial" w:cs="Arial" w:eastAsia="Arial" w:hAnsi="Arial"/>
                <w:sz w:val="18"/>
                <w:szCs w:val="18"/>
                <w:color w:val="auto"/>
                <w:w w:val="88"/>
              </w:rPr>
              <w:t>03/27/20</w:t>
            </w:r>
          </w:p>
        </w:tc>
        <w:tc>
          <w:tcPr>
            <w:tcW w:w="14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These options vest 25% per quarter over a one year period after the grant date.</w:t>
            </w:r>
          </w:p>
        </w:tc>
        <w:tc>
          <w:tcPr>
            <w:tcW w:w="20" w:type="dxa"/>
            <w:vAlign w:val="bottom"/>
          </w:tcPr>
          <w:p>
            <w:pPr>
              <w:spacing w:after="0"/>
              <w:rPr>
                <w:sz w:val="19"/>
                <w:szCs w:val="19"/>
                <w:color w:val="auto"/>
              </w:rPr>
            </w:pPr>
          </w:p>
        </w:tc>
      </w:tr>
      <w:tr>
        <w:trPr>
          <w:trHeight w:val="475"/>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tcPr>
          <w:p>
            <w:pPr>
              <w:ind w:left="308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4"/>
                <w:szCs w:val="24"/>
                <w:color w:val="auto"/>
              </w:rPr>
            </w:pPr>
          </w:p>
        </w:tc>
      </w:tr>
      <w:tr>
        <w:trPr>
          <w:trHeight w:val="165"/>
        </w:trPr>
        <w:tc>
          <w:tcPr>
            <w:tcW w:w="1100" w:type="dxa"/>
            <w:vAlign w:val="bottom"/>
            <w:tcBorders>
              <w:bottom w:val="single" w:sz="8" w:color="909090"/>
            </w:tcBorders>
          </w:tcPr>
          <w:p>
            <w:pPr>
              <w:spacing w:after="0"/>
              <w:rPr>
                <w:sz w:val="14"/>
                <w:szCs w:val="14"/>
                <w:color w:val="auto"/>
              </w:rPr>
            </w:pPr>
          </w:p>
        </w:tc>
        <w:tc>
          <w:tcPr>
            <w:tcW w:w="140" w:type="dxa"/>
            <w:vAlign w:val="bottom"/>
            <w:tcBorders>
              <w:bottom w:val="single" w:sz="8" w:color="909090"/>
            </w:tcBorders>
          </w:tcPr>
          <w:p>
            <w:pPr>
              <w:spacing w:after="0"/>
              <w:rPr>
                <w:sz w:val="14"/>
                <w:szCs w:val="14"/>
                <w:color w:val="auto"/>
              </w:rPr>
            </w:pPr>
          </w:p>
        </w:tc>
        <w:tc>
          <w:tcPr>
            <w:tcW w:w="7640" w:type="dxa"/>
            <w:vAlign w:val="bottom"/>
            <w:tcBorders>
              <w:bottom w:val="single" w:sz="8" w:color="909090"/>
            </w:tcBorders>
          </w:tcPr>
          <w:p>
            <w:pPr>
              <w:spacing w:after="0"/>
              <w:rPr>
                <w:sz w:val="14"/>
                <w:szCs w:val="14"/>
                <w:color w:val="auto"/>
              </w:rPr>
            </w:pPr>
          </w:p>
        </w:tc>
        <w:tc>
          <w:tcPr>
            <w:tcW w:w="20" w:type="dxa"/>
            <w:vAlign w:val="bottom"/>
            <w:tcBorders>
              <w:bottom w:val="single" w:sz="8" w:color="909090"/>
            </w:tcBorders>
          </w:tcPr>
          <w:p>
            <w:pPr>
              <w:spacing w:after="0"/>
              <w:rPr>
                <w:sz w:val="14"/>
                <w:szCs w:val="14"/>
                <w:color w:val="auto"/>
              </w:rPr>
            </w:pPr>
          </w:p>
        </w:tc>
      </w:tr>
    </w:tbl>
    <w:p>
      <w:pPr>
        <w:sectPr>
          <w:pgSz w:w="11900" w:h="16838" w:orient="portrait"/>
          <w:cols w:equalWidth="0" w:num="1">
            <w:col w:w="9184"/>
          </w:cols>
          <w:pgMar w:left="1275" w:top="121" w:right="1440" w:bottom="1440" w:gutter="0" w:footer="0" w:header="0"/>
        </w:sectPr>
      </w:pPr>
    </w:p>
    <w:bookmarkStart w:id="124" w:name="page125"/>
    <w:bookmarkEnd w:id="124"/>
    <w:p>
      <w:pPr>
        <w:jc w:val="center"/>
        <w:ind w:right="239"/>
        <w:spacing w:after="0"/>
        <w:rPr>
          <w:sz w:val="20"/>
          <w:szCs w:val="20"/>
          <w:color w:val="auto"/>
        </w:rPr>
      </w:pPr>
      <w:r>
        <w:rPr>
          <w:rFonts w:ascii="Arial" w:cs="Arial" w:eastAsia="Arial" w:hAnsi="Arial"/>
          <w:sz w:val="19"/>
          <w:szCs w:val="19"/>
          <w:b w:val="1"/>
          <w:bCs w:val="1"/>
          <w:color w:val="auto"/>
        </w:rPr>
        <w:t>OPTION EXERCISES AND STOCK VESTED</w:t>
      </w:r>
    </w:p>
    <w:p>
      <w:pPr>
        <w:spacing w:after="0" w:line="235" w:lineRule="exact"/>
        <w:rPr>
          <w:sz w:val="20"/>
          <w:szCs w:val="20"/>
          <w:color w:val="auto"/>
        </w:rPr>
      </w:pPr>
    </w:p>
    <w:p>
      <w:pPr>
        <w:jc w:val="both"/>
        <w:ind w:left="40" w:right="279"/>
        <w:spacing w:after="0" w:line="261" w:lineRule="auto"/>
        <w:rPr>
          <w:sz w:val="20"/>
          <w:szCs w:val="20"/>
          <w:color w:val="auto"/>
        </w:rPr>
      </w:pPr>
      <w:r>
        <w:rPr>
          <w:rFonts w:ascii="Arial" w:cs="Arial" w:eastAsia="Arial" w:hAnsi="Arial"/>
          <w:sz w:val="19"/>
          <w:szCs w:val="19"/>
          <w:color w:val="auto"/>
        </w:rPr>
        <w:t>The following table sets forth all stock options exercised and value received upon exercise, and all stock awards vested and value realized upon vesting, by the Named Executive Officers during the year ended December 31, 2020.</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2560" w:type="dxa"/>
            <w:vAlign w:val="bottom"/>
          </w:tcPr>
          <w:p>
            <w:pPr>
              <w:spacing w:after="0"/>
              <w:rPr>
                <w:sz w:val="17"/>
                <w:szCs w:val="17"/>
                <w:color w:val="auto"/>
              </w:rPr>
            </w:pPr>
          </w:p>
        </w:tc>
        <w:tc>
          <w:tcPr>
            <w:tcW w:w="2040" w:type="dxa"/>
            <w:vAlign w:val="bottom"/>
            <w:gridSpan w:val="2"/>
          </w:tcPr>
          <w:p>
            <w:pPr>
              <w:jc w:val="right"/>
              <w:ind w:right="41"/>
              <w:spacing w:after="0"/>
              <w:rPr>
                <w:sz w:val="20"/>
                <w:szCs w:val="20"/>
                <w:color w:val="auto"/>
              </w:rPr>
            </w:pPr>
            <w:r>
              <w:rPr>
                <w:rFonts w:ascii="Arial" w:cs="Arial" w:eastAsia="Arial" w:hAnsi="Arial"/>
                <w:sz w:val="16"/>
                <w:szCs w:val="16"/>
                <w:color w:val="auto"/>
              </w:rPr>
              <w:t>Option Awards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40" w:type="dxa"/>
            <w:vAlign w:val="bottom"/>
            <w:gridSpan w:val="2"/>
          </w:tcPr>
          <w:p>
            <w:pPr>
              <w:ind w:left="1140"/>
              <w:spacing w:after="0"/>
              <w:rPr>
                <w:sz w:val="20"/>
                <w:szCs w:val="20"/>
                <w:color w:val="auto"/>
              </w:rPr>
            </w:pPr>
            <w:r>
              <w:rPr>
                <w:rFonts w:ascii="Arial" w:cs="Arial" w:eastAsia="Arial" w:hAnsi="Arial"/>
                <w:sz w:val="16"/>
                <w:szCs w:val="16"/>
                <w:color w:val="auto"/>
              </w:rPr>
              <w:t>Stock Awards</w:t>
            </w:r>
          </w:p>
        </w:tc>
      </w:tr>
      <w:tr>
        <w:trPr>
          <w:trHeight w:val="33"/>
        </w:trPr>
        <w:tc>
          <w:tcPr>
            <w:tcW w:w="25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4"/>
        </w:trPr>
        <w:tc>
          <w:tcPr>
            <w:tcW w:w="256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Number of Shares</w:t>
            </w: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color w:val="auto"/>
                <w:w w:val="89"/>
              </w:rPr>
              <w:t>Value Realized on</w:t>
            </w:r>
          </w:p>
        </w:tc>
        <w:tc>
          <w:tcPr>
            <w:tcW w:w="1620" w:type="dxa"/>
            <w:vAlign w:val="bottom"/>
          </w:tcPr>
          <w:p>
            <w:pPr>
              <w:jc w:val="center"/>
              <w:spacing w:after="0"/>
              <w:rPr>
                <w:sz w:val="20"/>
                <w:szCs w:val="20"/>
                <w:color w:val="auto"/>
              </w:rPr>
            </w:pPr>
            <w:r>
              <w:rPr>
                <w:rFonts w:ascii="Arial" w:cs="Arial" w:eastAsia="Arial" w:hAnsi="Arial"/>
                <w:sz w:val="16"/>
                <w:szCs w:val="16"/>
                <w:color w:val="auto"/>
                <w:w w:val="87"/>
              </w:rPr>
              <w:t>Number of Shares</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Value Realized on</w:t>
            </w:r>
          </w:p>
        </w:tc>
      </w:tr>
      <w:tr>
        <w:trPr>
          <w:trHeight w:val="201"/>
        </w:trPr>
        <w:tc>
          <w:tcPr>
            <w:tcW w:w="25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Acquired on Exercise</w:t>
            </w: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Exercise</w:t>
            </w:r>
          </w:p>
        </w:tc>
        <w:tc>
          <w:tcPr>
            <w:tcW w:w="1620" w:type="dxa"/>
            <w:vAlign w:val="bottom"/>
          </w:tcPr>
          <w:p>
            <w:pPr>
              <w:jc w:val="center"/>
              <w:spacing w:after="0"/>
              <w:rPr>
                <w:sz w:val="20"/>
                <w:szCs w:val="20"/>
                <w:color w:val="auto"/>
              </w:rPr>
            </w:pPr>
            <w:r>
              <w:rPr>
                <w:rFonts w:ascii="Arial" w:cs="Arial" w:eastAsia="Arial" w:hAnsi="Arial"/>
                <w:sz w:val="16"/>
                <w:szCs w:val="16"/>
                <w:color w:val="auto"/>
                <w:w w:val="90"/>
              </w:rPr>
              <w:t>Acquired on Vesting</w:t>
            </w: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Vesting</w:t>
            </w:r>
          </w:p>
        </w:tc>
      </w:tr>
      <w:tr>
        <w:trPr>
          <w:trHeight w:val="237"/>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 of Executive Officer</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61"/>
              <w:spacing w:after="0"/>
              <w:rPr>
                <w:sz w:val="20"/>
                <w:szCs w:val="20"/>
                <w:color w:val="auto"/>
              </w:rPr>
            </w:pPr>
            <w:r>
              <w:rPr>
                <w:rFonts w:ascii="Arial" w:cs="Arial" w:eastAsia="Arial" w:hAnsi="Arial"/>
                <w:sz w:val="16"/>
                <w:szCs w:val="16"/>
                <w:color w:val="auto"/>
                <w:w w:val="91"/>
              </w:rPr>
              <w:t>($)</w:t>
            </w:r>
          </w:p>
        </w:tc>
        <w:tc>
          <w:tcPr>
            <w:tcW w:w="2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w w:val="91"/>
              </w:rPr>
              <w:t>(#)</w:t>
            </w:r>
          </w:p>
        </w:tc>
        <w:tc>
          <w:tcPr>
            <w:tcW w:w="152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color w:val="auto"/>
              </w:rPr>
              <w:t>($)</w:t>
            </w:r>
          </w:p>
        </w:tc>
      </w:tr>
      <w:tr>
        <w:trPr>
          <w:trHeight w:val="224"/>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Scott M. Quist</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130,820</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93"/>
              </w:rPr>
              <w:t>294,792</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4"/>
        </w:trPr>
        <w:tc>
          <w:tcPr>
            <w:tcW w:w="2560" w:type="dxa"/>
            <w:vAlign w:val="bottom"/>
          </w:tcPr>
          <w:p>
            <w:pPr>
              <w:spacing w:after="0"/>
              <w:rPr>
                <w:sz w:val="20"/>
                <w:szCs w:val="20"/>
                <w:color w:val="auto"/>
              </w:rPr>
            </w:pPr>
            <w:r>
              <w:rPr>
                <w:rFonts w:ascii="Arial" w:cs="Arial" w:eastAsia="Arial" w:hAnsi="Arial"/>
                <w:sz w:val="16"/>
                <w:szCs w:val="16"/>
                <w:color w:val="auto"/>
              </w:rPr>
              <w:t>Garrett S. Sill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6,758</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13,963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4"/>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Stephen C. Johnson</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4"/>
        </w:trPr>
        <w:tc>
          <w:tcPr>
            <w:tcW w:w="2560" w:type="dxa"/>
            <w:vAlign w:val="bottom"/>
          </w:tcPr>
          <w:p>
            <w:pPr>
              <w:spacing w:after="0"/>
              <w:rPr>
                <w:sz w:val="20"/>
                <w:szCs w:val="20"/>
                <w:color w:val="auto"/>
              </w:rPr>
            </w:pPr>
            <w:r>
              <w:rPr>
                <w:rFonts w:ascii="Arial" w:cs="Arial" w:eastAsia="Arial" w:hAnsi="Arial"/>
                <w:sz w:val="16"/>
                <w:szCs w:val="16"/>
                <w:color w:val="auto"/>
              </w:rPr>
              <w:t>S. Andrew Quist</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60" w:type="dxa"/>
            <w:vAlign w:val="bottom"/>
          </w:tcPr>
          <w:p>
            <w:pPr>
              <w:jc w:val="center"/>
              <w:ind w:right="3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4"/>
        </w:trPr>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Jeffrey R. Stephens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3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bl>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PENSION BENEFITS</w:t>
      </w:r>
    </w:p>
    <w:p>
      <w:pPr>
        <w:spacing w:after="0" w:line="236" w:lineRule="exact"/>
        <w:rPr>
          <w:sz w:val="20"/>
          <w:szCs w:val="20"/>
          <w:color w:val="auto"/>
        </w:rPr>
      </w:pPr>
    </w:p>
    <w:p>
      <w:pPr>
        <w:jc w:val="both"/>
        <w:ind w:left="40" w:right="279"/>
        <w:spacing w:after="0" w:line="276" w:lineRule="auto"/>
        <w:rPr>
          <w:sz w:val="20"/>
          <w:szCs w:val="20"/>
          <w:color w:val="auto"/>
        </w:rPr>
      </w:pPr>
      <w:r>
        <w:rPr>
          <w:rFonts w:ascii="Arial" w:cs="Arial" w:eastAsia="Arial" w:hAnsi="Arial"/>
          <w:sz w:val="19"/>
          <w:szCs w:val="19"/>
          <w:color w:val="auto"/>
        </w:rPr>
        <w:t>The following table sets forth the present value as of December 31, 2020 of the benefit of the Named Executive Officers under the defined benefit pension plan.</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ind w:left="200"/>
              <w:spacing w:after="0"/>
              <w:rPr>
                <w:sz w:val="20"/>
                <w:szCs w:val="20"/>
                <w:color w:val="auto"/>
              </w:rPr>
            </w:pPr>
            <w:r>
              <w:rPr>
                <w:rFonts w:ascii="Arial" w:cs="Arial" w:eastAsia="Arial" w:hAnsi="Arial"/>
                <w:sz w:val="18"/>
                <w:szCs w:val="18"/>
                <w:color w:val="auto"/>
                <w:w w:val="95"/>
              </w:rPr>
              <w:t>Number of Years</w:t>
            </w:r>
          </w:p>
        </w:tc>
        <w:tc>
          <w:tcPr>
            <w:tcW w:w="1640" w:type="dxa"/>
            <w:vAlign w:val="bottom"/>
          </w:tcPr>
          <w:p>
            <w:pPr>
              <w:jc w:val="center"/>
              <w:spacing w:after="0"/>
              <w:rPr>
                <w:sz w:val="20"/>
                <w:szCs w:val="20"/>
                <w:color w:val="auto"/>
              </w:rPr>
            </w:pPr>
            <w:r>
              <w:rPr>
                <w:rFonts w:ascii="Arial" w:cs="Arial" w:eastAsia="Arial" w:hAnsi="Arial"/>
                <w:sz w:val="16"/>
                <w:szCs w:val="16"/>
                <w:color w:val="auto"/>
                <w:w w:val="87"/>
              </w:rPr>
              <w:t>Present Value of</w:t>
            </w:r>
          </w:p>
        </w:tc>
        <w:tc>
          <w:tcPr>
            <w:tcW w:w="1380" w:type="dxa"/>
            <w:vAlign w:val="bottom"/>
          </w:tcPr>
          <w:p>
            <w:pPr>
              <w:ind w:left="160"/>
              <w:spacing w:after="0"/>
              <w:rPr>
                <w:sz w:val="20"/>
                <w:szCs w:val="20"/>
                <w:color w:val="auto"/>
              </w:rPr>
            </w:pPr>
            <w:r>
              <w:rPr>
                <w:rFonts w:ascii="Arial" w:cs="Arial" w:eastAsia="Arial" w:hAnsi="Arial"/>
                <w:sz w:val="16"/>
                <w:szCs w:val="16"/>
                <w:color w:val="auto"/>
                <w:w w:val="97"/>
              </w:rPr>
              <w:t>Payments During</w:t>
            </w:r>
          </w:p>
        </w:tc>
      </w:tr>
      <w:tr>
        <w:trPr>
          <w:trHeight w:val="211"/>
        </w:trPr>
        <w:tc>
          <w:tcPr>
            <w:tcW w:w="2360" w:type="dxa"/>
            <w:vAlign w:val="bottom"/>
          </w:tcPr>
          <w:p>
            <w:pPr>
              <w:spacing w:after="0"/>
              <w:rPr>
                <w:sz w:val="20"/>
                <w:szCs w:val="20"/>
                <w:color w:val="auto"/>
              </w:rPr>
            </w:pPr>
            <w:r>
              <w:rPr>
                <w:rFonts w:ascii="Arial" w:cs="Arial" w:eastAsia="Arial" w:hAnsi="Arial"/>
                <w:sz w:val="16"/>
                <w:szCs w:val="16"/>
                <w:color w:val="auto"/>
              </w:rPr>
              <w:t>Name of</w:t>
            </w:r>
          </w:p>
        </w:tc>
        <w:tc>
          <w:tcPr>
            <w:tcW w:w="1980" w:type="dxa"/>
            <w:vAlign w:val="bottom"/>
          </w:tcPr>
          <w:p>
            <w:pPr>
              <w:spacing w:after="0"/>
              <w:rPr>
                <w:sz w:val="18"/>
                <w:szCs w:val="18"/>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w w:val="99"/>
              </w:rPr>
              <w:t>Credited Service</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Accumulated Benefit</w:t>
            </w:r>
          </w:p>
        </w:tc>
        <w:tc>
          <w:tcPr>
            <w:tcW w:w="1380" w:type="dxa"/>
            <w:vAlign w:val="bottom"/>
          </w:tcPr>
          <w:p>
            <w:pPr>
              <w:ind w:left="180"/>
              <w:spacing w:after="0"/>
              <w:rPr>
                <w:sz w:val="20"/>
                <w:szCs w:val="20"/>
                <w:color w:val="auto"/>
              </w:rPr>
            </w:pPr>
            <w:r>
              <w:rPr>
                <w:rFonts w:ascii="Arial" w:cs="Arial" w:eastAsia="Arial" w:hAnsi="Arial"/>
                <w:sz w:val="16"/>
                <w:szCs w:val="16"/>
                <w:color w:val="auto"/>
              </w:rPr>
              <w:t>Last Fiscal Year</w:t>
            </w:r>
          </w:p>
        </w:tc>
      </w:tr>
      <w:tr>
        <w:trPr>
          <w:trHeight w:val="230"/>
        </w:trPr>
        <w:tc>
          <w:tcPr>
            <w:tcW w:w="2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 Officer</w:t>
            </w:r>
          </w:p>
        </w:tc>
        <w:tc>
          <w:tcPr>
            <w:tcW w:w="1980" w:type="dxa"/>
            <w:vAlign w:val="bottom"/>
            <w:tcBorders>
              <w:bottom w:val="single" w:sz="8" w:color="auto"/>
            </w:tcBorders>
          </w:tcPr>
          <w:p>
            <w:pPr>
              <w:jc w:val="center"/>
              <w:ind w:left="801"/>
              <w:spacing w:after="0"/>
              <w:rPr>
                <w:sz w:val="20"/>
                <w:szCs w:val="20"/>
                <w:color w:val="auto"/>
              </w:rPr>
            </w:pPr>
            <w:r>
              <w:rPr>
                <w:rFonts w:ascii="Arial" w:cs="Arial" w:eastAsia="Arial" w:hAnsi="Arial"/>
                <w:sz w:val="16"/>
                <w:szCs w:val="16"/>
                <w:color w:val="auto"/>
                <w:w w:val="88"/>
              </w:rPr>
              <w:t>Plan Name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224"/>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Scott M. Quist</w:t>
            </w:r>
          </w:p>
        </w:tc>
        <w:tc>
          <w:tcPr>
            <w:tcW w:w="198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88"/>
              </w:rPr>
              <w:t>None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4"/>
        </w:trPr>
        <w:tc>
          <w:tcPr>
            <w:tcW w:w="2360" w:type="dxa"/>
            <w:vAlign w:val="bottom"/>
          </w:tcPr>
          <w:p>
            <w:pPr>
              <w:spacing w:after="0"/>
              <w:rPr>
                <w:sz w:val="20"/>
                <w:szCs w:val="20"/>
                <w:color w:val="auto"/>
              </w:rPr>
            </w:pPr>
            <w:r>
              <w:rPr>
                <w:rFonts w:ascii="Arial" w:cs="Arial" w:eastAsia="Arial" w:hAnsi="Arial"/>
                <w:sz w:val="16"/>
                <w:szCs w:val="16"/>
                <w:color w:val="auto"/>
              </w:rPr>
              <w:t>Garrett S. Sill</w:t>
            </w:r>
          </w:p>
        </w:tc>
        <w:tc>
          <w:tcPr>
            <w:tcW w:w="1980" w:type="dxa"/>
            <w:vAlign w:val="bottom"/>
          </w:tcPr>
          <w:p>
            <w:pPr>
              <w:jc w:val="center"/>
              <w:ind w:left="801"/>
              <w:spacing w:after="0"/>
              <w:rPr>
                <w:sz w:val="20"/>
                <w:szCs w:val="20"/>
                <w:color w:val="auto"/>
              </w:rPr>
            </w:pPr>
            <w:r>
              <w:rPr>
                <w:rFonts w:ascii="Arial" w:cs="Arial" w:eastAsia="Arial" w:hAnsi="Arial"/>
                <w:sz w:val="16"/>
                <w:szCs w:val="16"/>
                <w:color w:val="auto"/>
                <w:w w:val="88"/>
              </w:rPr>
              <w:t>None</w:t>
            </w: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c>
          <w:tcPr>
            <w:tcW w:w="13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4"/>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Stephen C. Johnson</w:t>
            </w:r>
          </w:p>
        </w:tc>
        <w:tc>
          <w:tcPr>
            <w:tcW w:w="198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88"/>
              </w:rPr>
              <w:t>None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14"/>
        </w:trPr>
        <w:tc>
          <w:tcPr>
            <w:tcW w:w="2360" w:type="dxa"/>
            <w:vAlign w:val="bottom"/>
          </w:tcPr>
          <w:p>
            <w:pPr>
              <w:spacing w:after="0"/>
              <w:rPr>
                <w:sz w:val="20"/>
                <w:szCs w:val="20"/>
                <w:color w:val="auto"/>
              </w:rPr>
            </w:pPr>
            <w:r>
              <w:rPr>
                <w:rFonts w:ascii="Arial" w:cs="Arial" w:eastAsia="Arial" w:hAnsi="Arial"/>
                <w:sz w:val="16"/>
                <w:szCs w:val="16"/>
                <w:color w:val="auto"/>
              </w:rPr>
              <w:t>S. Andrew Quist</w:t>
            </w:r>
          </w:p>
        </w:tc>
        <w:tc>
          <w:tcPr>
            <w:tcW w:w="1980" w:type="dxa"/>
            <w:vAlign w:val="bottom"/>
          </w:tcPr>
          <w:p>
            <w:pPr>
              <w:jc w:val="center"/>
              <w:ind w:left="801"/>
              <w:spacing w:after="0"/>
              <w:rPr>
                <w:sz w:val="20"/>
                <w:szCs w:val="20"/>
                <w:color w:val="auto"/>
              </w:rPr>
            </w:pPr>
            <w:r>
              <w:rPr>
                <w:rFonts w:ascii="Arial" w:cs="Arial" w:eastAsia="Arial" w:hAnsi="Arial"/>
                <w:sz w:val="16"/>
                <w:szCs w:val="16"/>
                <w:color w:val="auto"/>
                <w:w w:val="88"/>
              </w:rPr>
              <w:t>None</w:t>
            </w:r>
          </w:p>
        </w:tc>
        <w:tc>
          <w:tcPr>
            <w:tcW w:w="1520" w:type="dxa"/>
            <w:vAlign w:val="bottom"/>
          </w:tcPr>
          <w:p>
            <w:pPr>
              <w:jc w:val="center"/>
              <w:spacing w:after="0"/>
              <w:rPr>
                <w:sz w:val="20"/>
                <w:szCs w:val="20"/>
                <w:color w:val="auto"/>
              </w:rPr>
            </w:pPr>
            <w:r>
              <w:rPr>
                <w:rFonts w:ascii="Arial" w:cs="Arial" w:eastAsia="Arial" w:hAnsi="Arial"/>
                <w:sz w:val="16"/>
                <w:szCs w:val="16"/>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w:t>
            </w:r>
          </w:p>
        </w:tc>
        <w:tc>
          <w:tcPr>
            <w:tcW w:w="13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34"/>
        </w:trPr>
        <w:tc>
          <w:tcPr>
            <w:tcW w:w="2360" w:type="dxa"/>
            <w:vAlign w:val="bottom"/>
            <w:shd w:val="clear" w:color="auto" w:fill="CCEEFF"/>
          </w:tcPr>
          <w:p>
            <w:pPr>
              <w:spacing w:after="0"/>
              <w:rPr>
                <w:sz w:val="20"/>
                <w:szCs w:val="20"/>
                <w:color w:val="auto"/>
              </w:rPr>
            </w:pPr>
            <w:r>
              <w:rPr>
                <w:rFonts w:ascii="Arial" w:cs="Arial" w:eastAsia="Arial" w:hAnsi="Arial"/>
                <w:sz w:val="16"/>
                <w:szCs w:val="16"/>
                <w:color w:val="auto"/>
              </w:rPr>
              <w:t>Jeffrey R.Stephens</w:t>
            </w:r>
          </w:p>
        </w:tc>
        <w:tc>
          <w:tcPr>
            <w:tcW w:w="198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88"/>
              </w:rPr>
              <w:t>None</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bl>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EQUITY COMPENSATION PLAN INFORMATION</w:t>
      </w:r>
    </w:p>
    <w:p>
      <w:pPr>
        <w:spacing w:after="0" w:line="236" w:lineRule="exact"/>
        <w:rPr>
          <w:sz w:val="20"/>
          <w:szCs w:val="20"/>
          <w:color w:val="auto"/>
        </w:rPr>
      </w:pPr>
    </w:p>
    <w:p>
      <w:pPr>
        <w:jc w:val="both"/>
        <w:ind w:right="279"/>
        <w:spacing w:after="0" w:line="261" w:lineRule="auto"/>
        <w:rPr>
          <w:sz w:val="20"/>
          <w:szCs w:val="20"/>
          <w:color w:val="auto"/>
        </w:rPr>
      </w:pPr>
      <w:r>
        <w:rPr>
          <w:rFonts w:ascii="Arial" w:cs="Arial" w:eastAsia="Arial" w:hAnsi="Arial"/>
          <w:sz w:val="19"/>
          <w:szCs w:val="19"/>
          <w:color w:val="auto"/>
        </w:rPr>
        <w:t>The following table sets forth certain information as of December 31, 2020 with respect to compensation plans (including individual compensation arrangements) under which the Company’s equity securities are authorized for issuance, aggregated as follows:</w:t>
      </w:r>
    </w:p>
    <w:p>
      <w:pPr>
        <w:spacing w:after="0" w:line="79" w:lineRule="exact"/>
        <w:rPr>
          <w:sz w:val="20"/>
          <w:szCs w:val="20"/>
          <w:color w:val="auto"/>
        </w:rPr>
      </w:pPr>
    </w:p>
    <w:p>
      <w:pPr>
        <w:ind w:left="640" w:hanging="320"/>
        <w:spacing w:after="0"/>
        <w:tabs>
          <w:tab w:leader="none" w:pos="6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All compensation plans previously approved by security holders; and</w:t>
      </w:r>
    </w:p>
    <w:p>
      <w:pPr>
        <w:spacing w:after="0" w:line="21" w:lineRule="exact"/>
        <w:rPr>
          <w:rFonts w:ascii="Arial" w:cs="Arial" w:eastAsia="Arial" w:hAnsi="Arial"/>
          <w:sz w:val="19"/>
          <w:szCs w:val="19"/>
          <w:color w:val="auto"/>
        </w:rPr>
      </w:pPr>
    </w:p>
    <w:p>
      <w:pPr>
        <w:ind w:left="640" w:hanging="320"/>
        <w:spacing w:after="0"/>
        <w:tabs>
          <w:tab w:leader="none" w:pos="6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All compensation plans not previously approved by security holders.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6"/>
              </w:rPr>
              <w:t>B</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C</w:t>
            </w:r>
          </w:p>
        </w:tc>
      </w:tr>
      <w:tr>
        <w:trPr>
          <w:trHeight w:val="230"/>
        </w:trPr>
        <w:tc>
          <w:tcPr>
            <w:tcW w:w="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 Remaining</w:t>
            </w:r>
          </w:p>
        </w:tc>
      </w:tr>
      <w:tr>
        <w:trPr>
          <w:trHeight w:val="198"/>
        </w:trPr>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 to be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 Exercise</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Available for Future Issuance</w:t>
            </w:r>
          </w:p>
        </w:tc>
      </w:tr>
      <w:tr>
        <w:trPr>
          <w:trHeight w:val="198"/>
        </w:trPr>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6"/>
              </w:rPr>
              <w:t>Issued upon Exercise of</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8"/>
              </w:rPr>
              <w:t>Price of Outstanding</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under Equity Compensation</w:t>
            </w:r>
          </w:p>
        </w:tc>
      </w:tr>
      <w:tr>
        <w:trPr>
          <w:trHeight w:val="198"/>
        </w:trPr>
        <w:tc>
          <w:tcPr>
            <w:tcW w:w="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 Options,</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0"/>
              </w:rPr>
              <w:t>Options, Warrants and</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7"/>
              </w:rPr>
              <w:t>Plans (Excluding Securities</w:t>
            </w:r>
          </w:p>
        </w:tc>
      </w:tr>
      <w:tr>
        <w:trPr>
          <w:trHeight w:val="199"/>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Plan Category</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Warrants and Rights</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Reflected in Column A)</w:t>
            </w:r>
          </w:p>
        </w:tc>
      </w:tr>
      <w:tr>
        <w:trPr>
          <w:trHeight w:val="20"/>
        </w:trPr>
        <w:tc>
          <w:tcPr>
            <w:tcW w:w="98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67"/>
        </w:trPr>
        <w:tc>
          <w:tcPr>
            <w:tcW w:w="26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Equity compensation plans</w:t>
            </w:r>
          </w:p>
        </w:tc>
        <w:tc>
          <w:tcPr>
            <w:tcW w:w="19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r>
      <w:tr>
        <w:trPr>
          <w:trHeight w:val="221"/>
        </w:trPr>
        <w:tc>
          <w:tcPr>
            <w:tcW w:w="26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approved by stockholders (1)</w:t>
            </w:r>
          </w:p>
        </w:tc>
        <w:tc>
          <w:tcPr>
            <w:tcW w:w="194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1,735,529 (2)</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$4.33 (2)</w:t>
            </w:r>
          </w:p>
        </w:tc>
        <w:tc>
          <w:tcPr>
            <w:tcW w:w="230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rPr>
              <w:t>591,872 (3)</w:t>
            </w:r>
          </w:p>
        </w:tc>
      </w:tr>
      <w:tr>
        <w:trPr>
          <w:trHeight w:val="201"/>
        </w:trPr>
        <w:tc>
          <w:tcPr>
            <w:tcW w:w="2680" w:type="dxa"/>
            <w:vAlign w:val="bottom"/>
            <w:gridSpan w:val="2"/>
          </w:tcPr>
          <w:p>
            <w:pPr>
              <w:spacing w:after="0"/>
              <w:rPr>
                <w:sz w:val="20"/>
                <w:szCs w:val="20"/>
                <w:color w:val="auto"/>
              </w:rPr>
            </w:pPr>
            <w:r>
              <w:rPr>
                <w:rFonts w:ascii="Arial" w:cs="Arial" w:eastAsia="Arial" w:hAnsi="Arial"/>
                <w:sz w:val="16"/>
                <w:szCs w:val="16"/>
                <w:color w:val="auto"/>
                <w:w w:val="92"/>
              </w:rPr>
              <w:t>Equity compensation plans not approved</w:t>
            </w: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1"/>
        </w:trPr>
        <w:tc>
          <w:tcPr>
            <w:tcW w:w="2680" w:type="dxa"/>
            <w:vAlign w:val="bottom"/>
            <w:gridSpan w:val="2"/>
          </w:tcPr>
          <w:p>
            <w:pPr>
              <w:spacing w:after="0"/>
              <w:rPr>
                <w:sz w:val="20"/>
                <w:szCs w:val="20"/>
                <w:color w:val="auto"/>
              </w:rPr>
            </w:pPr>
            <w:r>
              <w:rPr>
                <w:rFonts w:ascii="Arial" w:cs="Arial" w:eastAsia="Arial" w:hAnsi="Arial"/>
                <w:sz w:val="16"/>
                <w:szCs w:val="16"/>
                <w:color w:val="auto"/>
              </w:rPr>
              <w:t>by stockholders</w:t>
            </w:r>
          </w:p>
        </w:tc>
        <w:tc>
          <w:tcPr>
            <w:tcW w:w="1940" w:type="dxa"/>
            <w:vAlign w:val="bottom"/>
          </w:tcPr>
          <w:p>
            <w:pPr>
              <w:jc w:val="right"/>
              <w:ind w:right="841"/>
              <w:spacing w:after="0"/>
              <w:rPr>
                <w:sz w:val="20"/>
                <w:szCs w:val="20"/>
                <w:color w:val="auto"/>
              </w:rPr>
            </w:pPr>
            <w:r>
              <w:rPr>
                <w:rFonts w:ascii="Arial" w:cs="Arial" w:eastAsia="Arial" w:hAnsi="Arial"/>
                <w:sz w:val="16"/>
                <w:szCs w:val="16"/>
                <w:color w:val="auto"/>
              </w:rPr>
              <w:t>0</w:t>
            </w:r>
          </w:p>
        </w:tc>
        <w:tc>
          <w:tcPr>
            <w:tcW w:w="196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2300" w:type="dxa"/>
            <w:vAlign w:val="bottom"/>
          </w:tcPr>
          <w:p>
            <w:pPr>
              <w:jc w:val="center"/>
              <w:spacing w:after="0"/>
              <w:rPr>
                <w:sz w:val="20"/>
                <w:szCs w:val="20"/>
                <w:color w:val="auto"/>
              </w:rPr>
            </w:pPr>
            <w:r>
              <w:rPr>
                <w:rFonts w:ascii="Arial" w:cs="Arial" w:eastAsia="Arial" w:hAnsi="Arial"/>
                <w:sz w:val="16"/>
                <w:szCs w:val="16"/>
                <w:color w:val="auto"/>
                <w:w w:val="89"/>
              </w:rPr>
              <w:t>0</w:t>
            </w:r>
          </w:p>
        </w:tc>
      </w:tr>
      <w:tr>
        <w:trPr>
          <w:trHeight w:val="261"/>
        </w:trPr>
        <w:tc>
          <w:tcPr>
            <w:tcW w:w="2680" w:type="dxa"/>
            <w:vAlign w:val="bottom"/>
            <w:gridSpan w:val="2"/>
          </w:tcPr>
          <w:p>
            <w:pPr>
              <w:spacing w:after="0"/>
              <w:rPr>
                <w:sz w:val="20"/>
                <w:szCs w:val="20"/>
                <w:color w:val="auto"/>
              </w:rPr>
            </w:pPr>
            <w:r>
              <w:rPr>
                <w:rFonts w:ascii="Arial" w:cs="Arial" w:eastAsia="Arial" w:hAnsi="Arial"/>
                <w:sz w:val="11"/>
                <w:szCs w:val="11"/>
                <w:color w:val="auto"/>
              </w:rPr>
              <w:t>_____________________</w:t>
            </w:r>
          </w:p>
        </w:tc>
        <w:tc>
          <w:tcPr>
            <w:tcW w:w="19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300" w:type="dxa"/>
            <w:vAlign w:val="bottom"/>
          </w:tcPr>
          <w:p>
            <w:pPr>
              <w:spacing w:after="0"/>
              <w:rPr>
                <w:sz w:val="22"/>
                <w:szCs w:val="22"/>
                <w:color w:val="auto"/>
              </w:rPr>
            </w:pPr>
          </w:p>
        </w:tc>
      </w:tr>
    </w:tbl>
    <w:p>
      <w:pPr>
        <w:spacing w:after="0" w:line="98" w:lineRule="exact"/>
        <w:rPr>
          <w:sz w:val="20"/>
          <w:szCs w:val="20"/>
          <w:color w:val="auto"/>
        </w:rPr>
      </w:pPr>
    </w:p>
    <w:p>
      <w:pPr>
        <w:jc w:val="both"/>
        <w:ind w:left="440" w:right="279" w:hanging="326"/>
        <w:spacing w:after="0" w:line="263" w:lineRule="auto"/>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reflects the 2013 Stock Option Plan (the "2013 Plan") and the 2014 Director Stock Option Plan (the "2014 Director Plan"). The 2013 Plan was approved by the stockholders at the annual stockholders meeting held on July 12, 2013, which reserved 450,000 shares of Class A common stock of which 150,000 shares of Class A common stock could be issued in place of up to 150,000 shares of Class C common stock for issuance thereunder. The 2014 Director Plan was approved by stockholders at the annual stockholders meeting held on July 2, 2014, which reserved 150,000 shares of Class A common stock for issuance thereunder. The 2013 Plan was amended by the stockholders at the annual stockholders meeting held on July 1, 2015 to authorize an additional 450,000 shares of Class A common stock to be available for issuance under the Plan, of which up to 200,000 Class A common shares may be issued as up to 200,000 shares of Class C common stock. The 2013 Plan was further amended by the stockholders at the annual stockholders meeting held on June 29, 2017 to authorize an additional 500,000 shares of Class A common stock to be available for issuance under the Plan, of which up to 250,000 Class A common shares may be issued in place of up to 250,000 shares of Class C common stock. The 2013 Plan was further amended by the stockholders at the annual stockholders meeting</w:t>
      </w:r>
    </w:p>
    <w:p>
      <w:pPr>
        <w:sectPr>
          <w:pgSz w:w="11900" w:h="16838" w:orient="portrait"/>
          <w:cols w:equalWidth="0" w:num="1">
            <w:col w:w="9219"/>
          </w:cols>
          <w:pgMar w:left="1240" w:top="118" w:right="1440" w:bottom="1440" w:gutter="0" w:footer="0" w:header="0"/>
        </w:sect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116205</wp:posOffset>
            </wp:positionV>
            <wp:extent cx="5653405" cy="33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219"/>
          </w:cols>
          <w:pgMar w:left="1240" w:top="118" w:right="1440" w:bottom="1440" w:gutter="0" w:footer="0" w:header="0"/>
          <w:type w:val="continuous"/>
        </w:sectPr>
      </w:pPr>
    </w:p>
    <w:bookmarkStart w:id="125" w:name="page126"/>
    <w:bookmarkEnd w:id="125"/>
    <w:p>
      <w:pPr>
        <w:jc w:val="both"/>
        <w:ind w:left="400" w:right="279"/>
        <w:spacing w:after="0" w:line="254" w:lineRule="auto"/>
        <w:rPr>
          <w:sz w:val="20"/>
          <w:szCs w:val="20"/>
          <w:color w:val="auto"/>
        </w:rPr>
      </w:pPr>
      <w:r>
        <w:rPr>
          <w:rFonts w:ascii="Arial" w:cs="Arial" w:eastAsia="Arial" w:hAnsi="Arial"/>
          <w:sz w:val="19"/>
          <w:szCs w:val="19"/>
          <w:color w:val="auto"/>
        </w:rPr>
        <w:t>held on June 26, 2020 to authorize an additional 500,000 shares of Class A common stock to be available for issuance under the Plan, of which up to 350,000 Class A common shares may be issued in place of up to 350,000 shares of Class C common stock. The 2014 Director Plan was amended by the stockholders at the annual stockholders meeting held on June 26, 2020 to authorize an additional 100,000 shares of Class A common stock to be available for issuance under the Plan.</w:t>
      </w:r>
    </w:p>
    <w:p>
      <w:pPr>
        <w:spacing w:after="0" w:line="85" w:lineRule="exact"/>
        <w:rPr>
          <w:sz w:val="20"/>
          <w:szCs w:val="20"/>
          <w:color w:val="auto"/>
        </w:rPr>
      </w:pPr>
    </w:p>
    <w:p>
      <w:pPr>
        <w:ind w:left="400" w:right="299" w:hanging="326"/>
        <w:spacing w:after="0" w:line="276" w:lineRule="auto"/>
        <w:tabs>
          <w:tab w:leader="none" w:pos="40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weighted average exercise prices reflect solely the shares of Class A common stock that will be issued upon exercise of outstanding options.</w:t>
      </w:r>
    </w:p>
    <w:p>
      <w:pPr>
        <w:spacing w:after="0" w:line="64" w:lineRule="exact"/>
        <w:rPr>
          <w:rFonts w:ascii="Arial" w:cs="Arial" w:eastAsia="Arial" w:hAnsi="Arial"/>
          <w:sz w:val="19"/>
          <w:szCs w:val="19"/>
          <w:color w:val="auto"/>
        </w:rPr>
      </w:pPr>
    </w:p>
    <w:p>
      <w:pPr>
        <w:jc w:val="both"/>
        <w:ind w:left="400" w:right="279" w:hanging="326"/>
        <w:spacing w:after="0" w:line="337" w:lineRule="auto"/>
        <w:tabs>
          <w:tab w:leader="none" w:pos="4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This number includes 502,072 shares of Class A common stock available for future issuance under the 2013 Plan, and 89,800 shares of Class A common stock available for future issuance under the 2014 Director Plan.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Employment Agreement with Scott M. Quist</w:t>
      </w:r>
    </w:p>
    <w:p>
      <w:pPr>
        <w:spacing w:after="0" w:line="236" w:lineRule="exact"/>
        <w:rPr>
          <w:sz w:val="20"/>
          <w:szCs w:val="20"/>
          <w:color w:val="auto"/>
        </w:rPr>
      </w:pPr>
    </w:p>
    <w:p>
      <w:pPr>
        <w:jc w:val="both"/>
        <w:ind w:right="279"/>
        <w:spacing w:after="0" w:line="267" w:lineRule="auto"/>
        <w:rPr>
          <w:sz w:val="20"/>
          <w:szCs w:val="20"/>
          <w:color w:val="auto"/>
        </w:rPr>
      </w:pPr>
      <w:r>
        <w:rPr>
          <w:rFonts w:ascii="Arial" w:cs="Arial" w:eastAsia="Arial" w:hAnsi="Arial"/>
          <w:sz w:val="18"/>
          <w:szCs w:val="18"/>
          <w:color w:val="auto"/>
        </w:rPr>
        <w:t>On December 4, 2012, the Company entered into an employment agreement with Scott M. Quist, Chairman of the Board, President, and Chief Executive Officer of the Company. The agreement was for a six-year term beginning on December 4, 2012 and ending on December 4, 2018. Under the terms of the Agreement, the Board of Directors may, in its sole discretion, extend the term of the agreement for an additional four-year term provided that Mr. Quist has continued to perform his duties with usual and customary care, diligence and prudence commensurate with his position with the Company. In addition, Mr. Quist is required to perform such additional duties as may be assigned to him from time to time by the Company’s Board of Directors.</w:t>
      </w:r>
    </w:p>
    <w:p>
      <w:pPr>
        <w:spacing w:after="0" w:line="182" w:lineRule="exact"/>
        <w:rPr>
          <w:sz w:val="20"/>
          <w:szCs w:val="20"/>
          <w:color w:val="auto"/>
        </w:rPr>
      </w:pPr>
    </w:p>
    <w:p>
      <w:pPr>
        <w:jc w:val="both"/>
        <w:ind w:right="279"/>
        <w:spacing w:after="0" w:line="250" w:lineRule="auto"/>
        <w:rPr>
          <w:sz w:val="20"/>
          <w:szCs w:val="20"/>
          <w:color w:val="auto"/>
        </w:rPr>
      </w:pPr>
      <w:r>
        <w:rPr>
          <w:rFonts w:ascii="Arial" w:cs="Arial" w:eastAsia="Arial" w:hAnsi="Arial"/>
          <w:sz w:val="19"/>
          <w:szCs w:val="19"/>
          <w:color w:val="auto"/>
        </w:rPr>
        <w:t>Effective December 4, 2018, the Board members approved a motion to extend Mr. Quist’s employment agreement for an additional four-year term ending December 2022. Mr. Quist abstained from voting on the motion to extend his employment agreement for the additional four-year term. Under the terms of the agreement, Mr. Quist is to devote his full time to the Company, serving as Chairman of the Board, President and Chief Executive Officer at not less than his current salary and benefits. The Company also agrees to maintain a group term life insurance policy of not less than $1,000,000 and a whole life insurance policy in the amount of $500,000 on Mr. Quist’s life. In the event of disability, Mr. Quist’s salary would be continued for up to five years at 75% of its current level of compensation.</w:t>
      </w:r>
    </w:p>
    <w:p>
      <w:pPr>
        <w:spacing w:after="0" w:line="197" w:lineRule="exact"/>
        <w:rPr>
          <w:sz w:val="20"/>
          <w:szCs w:val="20"/>
          <w:color w:val="auto"/>
        </w:rPr>
      </w:pPr>
    </w:p>
    <w:p>
      <w:pPr>
        <w:jc w:val="both"/>
        <w:ind w:right="279"/>
        <w:spacing w:after="0" w:line="264" w:lineRule="auto"/>
        <w:rPr>
          <w:sz w:val="20"/>
          <w:szCs w:val="20"/>
          <w:color w:val="auto"/>
        </w:rPr>
      </w:pPr>
      <w:r>
        <w:rPr>
          <w:rFonts w:ascii="Arial" w:cs="Arial" w:eastAsia="Arial" w:hAnsi="Arial"/>
          <w:sz w:val="18"/>
          <w:szCs w:val="18"/>
          <w:color w:val="auto"/>
        </w:rPr>
        <w:t>In the event of a sale or merger of the Company and Mr. Quist is not retained in his current position, the Company would be obligated to continue paying Mr. Quist’s current compensation and benefits for seven years following the merger or sale. The employment agreement further provides that Mr. Quist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In the event that Mr. Quist dies prior to receiving all retirement benefits thereunder, the remaining benefits are to be paid to his heirs. The Company expensed $900,000 and $660,000 during the years ended December 31, 2020 and 2019, respectively, to cover the present value of anticipated retirement benefits under the employment agreement. The liability accrued was $6,656,363 and $5,851,670 as of December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Independent Director Compensation</w:t>
      </w:r>
    </w:p>
    <w:p>
      <w:pPr>
        <w:spacing w:after="0" w:line="236" w:lineRule="exact"/>
        <w:rPr>
          <w:sz w:val="20"/>
          <w:szCs w:val="20"/>
          <w:color w:val="auto"/>
        </w:rPr>
      </w:pPr>
    </w:p>
    <w:p>
      <w:pPr>
        <w:jc w:val="both"/>
        <w:ind w:right="279"/>
        <w:spacing w:after="0" w:line="252" w:lineRule="auto"/>
        <w:rPr>
          <w:sz w:val="20"/>
          <w:szCs w:val="20"/>
          <w:color w:val="auto"/>
        </w:rPr>
      </w:pPr>
      <w:r>
        <w:rPr>
          <w:rFonts w:ascii="Arial" w:cs="Arial" w:eastAsia="Arial" w:hAnsi="Arial"/>
          <w:sz w:val="19"/>
          <w:szCs w:val="19"/>
          <w:color w:val="auto"/>
        </w:rPr>
        <w:t>Independent directors of the Company (but not including directors who are employees) are currently paid a director’s fee of $21,600 per year ($1,800 monthly) by the Company for their services and are reimbursed for their expenses in attending board and committee meetings. An additional fee of $750 is paid to each audit committee member for each audit committee meeting attended. Each independent director is provided with an annual grant of stock options to purchase 1,000 shares of Class A common stock. During 2020 each independent director was granted additional</w:t>
      </w: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126" w:name="page127"/>
    <w:bookmarkEnd w:id="126"/>
    <w:p>
      <w:pPr>
        <w:jc w:val="both"/>
        <w:ind w:right="279"/>
        <w:spacing w:after="0" w:line="262" w:lineRule="auto"/>
        <w:rPr>
          <w:sz w:val="20"/>
          <w:szCs w:val="20"/>
          <w:color w:val="auto"/>
        </w:rPr>
      </w:pPr>
      <w:r>
        <w:rPr>
          <w:rFonts w:ascii="Arial" w:cs="Arial" w:eastAsia="Arial" w:hAnsi="Arial"/>
          <w:sz w:val="19"/>
          <w:szCs w:val="19"/>
          <w:color w:val="auto"/>
        </w:rPr>
        <w:t>stock options to purchase 5,000 shares of Class A common stock. Upon retirement from the board, each independent director will receive “retirement compensation” equal to one month director’s fee for every year of service.</w:t>
      </w:r>
    </w:p>
    <w:p>
      <w:pPr>
        <w:spacing w:after="0" w:line="176"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DIRECTOR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compensation of the Company’s non-employee directors for fiscal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Change in</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Pension Value</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2020" w:type="dxa"/>
            <w:vAlign w:val="bottom"/>
          </w:tcPr>
          <w:p>
            <w:pPr>
              <w:spacing w:after="0"/>
              <w:rPr>
                <w:sz w:val="17"/>
                <w:szCs w:val="17"/>
                <w:color w:val="auto"/>
              </w:rPr>
            </w:pPr>
          </w:p>
        </w:tc>
        <w:tc>
          <w:tcPr>
            <w:tcW w:w="1140" w:type="dxa"/>
            <w:vAlign w:val="bottom"/>
          </w:tcPr>
          <w:p>
            <w:pPr>
              <w:jc w:val="center"/>
              <w:ind w:left="121"/>
              <w:spacing w:after="0"/>
              <w:rPr>
                <w:sz w:val="20"/>
                <w:szCs w:val="20"/>
                <w:color w:val="auto"/>
              </w:rPr>
            </w:pPr>
            <w:r>
              <w:rPr>
                <w:rFonts w:ascii="Arial" w:cs="Arial" w:eastAsia="Arial" w:hAnsi="Arial"/>
                <w:sz w:val="16"/>
                <w:szCs w:val="16"/>
                <w:color w:val="auto"/>
                <w:w w:val="85"/>
              </w:rPr>
              <w:t>Fees Earned</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Non-Equity</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and Nonqualified</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2020" w:type="dxa"/>
            <w:vAlign w:val="bottom"/>
          </w:tcPr>
          <w:p>
            <w:pPr>
              <w:spacing w:after="0"/>
              <w:rPr>
                <w:sz w:val="17"/>
                <w:szCs w:val="17"/>
                <w:color w:val="auto"/>
              </w:rPr>
            </w:pPr>
          </w:p>
        </w:tc>
        <w:tc>
          <w:tcPr>
            <w:tcW w:w="1140" w:type="dxa"/>
            <w:vAlign w:val="bottom"/>
          </w:tcPr>
          <w:p>
            <w:pPr>
              <w:jc w:val="center"/>
              <w:ind w:left="121"/>
              <w:spacing w:after="0"/>
              <w:rPr>
                <w:sz w:val="20"/>
                <w:szCs w:val="20"/>
                <w:color w:val="auto"/>
              </w:rPr>
            </w:pPr>
            <w:r>
              <w:rPr>
                <w:rFonts w:ascii="Arial" w:cs="Arial" w:eastAsia="Arial" w:hAnsi="Arial"/>
                <w:sz w:val="16"/>
                <w:szCs w:val="16"/>
                <w:color w:val="auto"/>
                <w:w w:val="91"/>
              </w:rPr>
              <w:t>or Paid in</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Stock</w:t>
            </w:r>
          </w:p>
        </w:tc>
        <w:tc>
          <w:tcPr>
            <w:tcW w:w="8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Incentive Plan</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Deferred</w:t>
            </w:r>
          </w:p>
        </w:tc>
        <w:tc>
          <w:tcPr>
            <w:tcW w:w="1120" w:type="dxa"/>
            <w:vAlign w:val="bottom"/>
          </w:tcPr>
          <w:p>
            <w:pPr>
              <w:jc w:val="center"/>
              <w:ind w:right="1"/>
              <w:spacing w:after="0"/>
              <w:rPr>
                <w:sz w:val="20"/>
                <w:szCs w:val="20"/>
                <w:color w:val="auto"/>
              </w:rPr>
            </w:pPr>
            <w:r>
              <w:rPr>
                <w:rFonts w:ascii="Arial" w:cs="Arial" w:eastAsia="Arial" w:hAnsi="Arial"/>
                <w:sz w:val="16"/>
                <w:szCs w:val="16"/>
                <w:color w:val="auto"/>
                <w:w w:val="96"/>
              </w:rPr>
              <w:t>All Other</w:t>
            </w:r>
          </w:p>
        </w:tc>
        <w:tc>
          <w:tcPr>
            <w:tcW w:w="780" w:type="dxa"/>
            <w:vAlign w:val="bottom"/>
          </w:tcPr>
          <w:p>
            <w:pPr>
              <w:spacing w:after="0"/>
              <w:rPr>
                <w:sz w:val="17"/>
                <w:szCs w:val="17"/>
                <w:color w:val="auto"/>
              </w:rPr>
            </w:pPr>
          </w:p>
        </w:tc>
      </w:tr>
      <w:tr>
        <w:trPr>
          <w:trHeight w:val="198"/>
        </w:trPr>
        <w:tc>
          <w:tcPr>
            <w:tcW w:w="2020" w:type="dxa"/>
            <w:vAlign w:val="bottom"/>
          </w:tcPr>
          <w:p>
            <w:pPr>
              <w:spacing w:after="0"/>
              <w:rPr>
                <w:sz w:val="17"/>
                <w:szCs w:val="17"/>
                <w:color w:val="auto"/>
              </w:rPr>
            </w:pPr>
          </w:p>
        </w:tc>
        <w:tc>
          <w:tcPr>
            <w:tcW w:w="1140" w:type="dxa"/>
            <w:vAlign w:val="bottom"/>
          </w:tcPr>
          <w:p>
            <w:pPr>
              <w:jc w:val="center"/>
              <w:ind w:left="101"/>
              <w:spacing w:after="0"/>
              <w:rPr>
                <w:sz w:val="20"/>
                <w:szCs w:val="20"/>
                <w:color w:val="auto"/>
              </w:rPr>
            </w:pPr>
            <w:r>
              <w:rPr>
                <w:rFonts w:ascii="Arial" w:cs="Arial" w:eastAsia="Arial" w:hAnsi="Arial"/>
                <w:sz w:val="16"/>
                <w:szCs w:val="16"/>
                <w:color w:val="auto"/>
                <w:w w:val="85"/>
              </w:rPr>
              <w:t>Cash</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Awards</w:t>
            </w:r>
          </w:p>
        </w:tc>
        <w:tc>
          <w:tcPr>
            <w:tcW w:w="880" w:type="dxa"/>
            <w:vAlign w:val="bottom"/>
          </w:tcPr>
          <w:p>
            <w:pPr>
              <w:jc w:val="right"/>
              <w:ind w:right="141"/>
              <w:spacing w:after="0"/>
              <w:rPr>
                <w:sz w:val="20"/>
                <w:szCs w:val="20"/>
                <w:color w:val="auto"/>
              </w:rPr>
            </w:pPr>
            <w:r>
              <w:rPr>
                <w:rFonts w:ascii="Arial" w:cs="Arial" w:eastAsia="Arial" w:hAnsi="Arial"/>
                <w:sz w:val="16"/>
                <w:szCs w:val="16"/>
                <w:color w:val="auto"/>
              </w:rPr>
              <w:t>Option</w:t>
            </w:r>
          </w:p>
        </w:tc>
        <w:tc>
          <w:tcPr>
            <w:tcW w:w="1060" w:type="dxa"/>
            <w:vAlign w:val="bottom"/>
          </w:tcPr>
          <w:p>
            <w:pPr>
              <w:jc w:val="center"/>
              <w:spacing w:after="0"/>
              <w:rPr>
                <w:sz w:val="20"/>
                <w:szCs w:val="20"/>
                <w:color w:val="auto"/>
              </w:rPr>
            </w:pPr>
            <w:r>
              <w:rPr>
                <w:rFonts w:ascii="Arial" w:cs="Arial" w:eastAsia="Arial" w:hAnsi="Arial"/>
                <w:sz w:val="16"/>
                <w:szCs w:val="16"/>
                <w:color w:val="auto"/>
                <w:w w:val="87"/>
              </w:rPr>
              <w:t>Compensation</w:t>
            </w:r>
          </w:p>
        </w:tc>
        <w:tc>
          <w:tcPr>
            <w:tcW w:w="1220" w:type="dxa"/>
            <w:vAlign w:val="bottom"/>
          </w:tcPr>
          <w:p>
            <w:pPr>
              <w:jc w:val="center"/>
              <w:spacing w:after="0"/>
              <w:rPr>
                <w:sz w:val="20"/>
                <w:szCs w:val="20"/>
                <w:color w:val="auto"/>
              </w:rPr>
            </w:pPr>
            <w:r>
              <w:rPr>
                <w:rFonts w:ascii="Arial" w:cs="Arial" w:eastAsia="Arial" w:hAnsi="Arial"/>
                <w:sz w:val="16"/>
                <w:szCs w:val="16"/>
                <w:color w:val="auto"/>
                <w:w w:val="87"/>
              </w:rPr>
              <w:t>Compensation</w:t>
            </w:r>
          </w:p>
        </w:tc>
        <w:tc>
          <w:tcPr>
            <w:tcW w:w="1120" w:type="dxa"/>
            <w:vAlign w:val="bottom"/>
          </w:tcPr>
          <w:p>
            <w:pPr>
              <w:jc w:val="center"/>
              <w:ind w:right="1"/>
              <w:spacing w:after="0"/>
              <w:rPr>
                <w:sz w:val="20"/>
                <w:szCs w:val="20"/>
                <w:color w:val="auto"/>
              </w:rPr>
            </w:pPr>
            <w:r>
              <w:rPr>
                <w:rFonts w:ascii="Arial" w:cs="Arial" w:eastAsia="Arial" w:hAnsi="Arial"/>
                <w:sz w:val="16"/>
                <w:szCs w:val="16"/>
                <w:color w:val="auto"/>
                <w:w w:val="89"/>
              </w:rPr>
              <w:t>Compensation</w:t>
            </w:r>
          </w:p>
        </w:tc>
        <w:tc>
          <w:tcPr>
            <w:tcW w:w="780" w:type="dxa"/>
            <w:vAlign w:val="bottom"/>
          </w:tcPr>
          <w:p>
            <w:pPr>
              <w:jc w:val="right"/>
              <w:ind w:right="181"/>
              <w:spacing w:after="0"/>
              <w:rPr>
                <w:sz w:val="20"/>
                <w:szCs w:val="20"/>
                <w:color w:val="auto"/>
              </w:rPr>
            </w:pPr>
            <w:r>
              <w:rPr>
                <w:rFonts w:ascii="Arial" w:cs="Arial" w:eastAsia="Arial" w:hAnsi="Arial"/>
                <w:sz w:val="16"/>
                <w:szCs w:val="16"/>
                <w:color w:val="auto"/>
              </w:rPr>
              <w:t>Total</w:t>
            </w:r>
          </w:p>
        </w:tc>
      </w:tr>
      <w:tr>
        <w:trPr>
          <w:trHeight w:val="214"/>
        </w:trPr>
        <w:tc>
          <w:tcPr>
            <w:tcW w:w="2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1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w w:val="91"/>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Awards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Earnings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w:t>
            </w:r>
          </w:p>
        </w:tc>
        <w:tc>
          <w:tcPr>
            <w:tcW w:w="7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r>
      <w:tr>
        <w:trPr>
          <w:trHeight w:val="224"/>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John L. Cook (1)</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$23,850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$ 4,138</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$27,988</w:t>
            </w:r>
          </w:p>
        </w:tc>
      </w:tr>
      <w:tr>
        <w:trPr>
          <w:trHeight w:val="214"/>
        </w:trPr>
        <w:tc>
          <w:tcPr>
            <w:tcW w:w="2020" w:type="dxa"/>
            <w:vAlign w:val="bottom"/>
          </w:tcPr>
          <w:p>
            <w:pPr>
              <w:spacing w:after="0"/>
              <w:rPr>
                <w:sz w:val="20"/>
                <w:szCs w:val="20"/>
                <w:color w:val="auto"/>
              </w:rPr>
            </w:pPr>
            <w:r>
              <w:rPr>
                <w:rFonts w:ascii="Arial" w:cs="Arial" w:eastAsia="Arial" w:hAnsi="Arial"/>
                <w:sz w:val="16"/>
                <w:szCs w:val="16"/>
                <w:color w:val="auto"/>
              </w:rPr>
              <w:t>Gilbert A. Fuller (2)</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23,850</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4,138</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27,988</w:t>
            </w:r>
          </w:p>
        </w:tc>
      </w:tr>
      <w:tr>
        <w:trPr>
          <w:trHeight w:val="234"/>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Robert G. Hunter, M.D. (3)</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21,600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4,138</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25,738</w:t>
            </w:r>
          </w:p>
        </w:tc>
      </w:tr>
      <w:tr>
        <w:trPr>
          <w:trHeight w:val="214"/>
        </w:trPr>
        <w:tc>
          <w:tcPr>
            <w:tcW w:w="2020" w:type="dxa"/>
            <w:vAlign w:val="bottom"/>
          </w:tcPr>
          <w:p>
            <w:pPr>
              <w:spacing w:after="0"/>
              <w:rPr>
                <w:sz w:val="20"/>
                <w:szCs w:val="20"/>
                <w:color w:val="auto"/>
              </w:rPr>
            </w:pPr>
            <w:r>
              <w:rPr>
                <w:rFonts w:ascii="Arial" w:cs="Arial" w:eastAsia="Arial" w:hAnsi="Arial"/>
                <w:sz w:val="16"/>
                <w:szCs w:val="16"/>
                <w:color w:val="auto"/>
              </w:rPr>
              <w:t>H. Craig Moody (4)</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23,850</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4,138</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27,988</w:t>
            </w:r>
          </w:p>
        </w:tc>
      </w:tr>
      <w:tr>
        <w:trPr>
          <w:trHeight w:val="234"/>
        </w:trPr>
        <w:tc>
          <w:tcPr>
            <w:tcW w:w="2020" w:type="dxa"/>
            <w:vAlign w:val="bottom"/>
            <w:shd w:val="clear" w:color="auto" w:fill="CCEEFF"/>
          </w:tcPr>
          <w:p>
            <w:pPr>
              <w:spacing w:after="0"/>
              <w:rPr>
                <w:sz w:val="20"/>
                <w:szCs w:val="20"/>
                <w:color w:val="auto"/>
              </w:rPr>
            </w:pPr>
            <w:r>
              <w:rPr>
                <w:rFonts w:ascii="Arial" w:cs="Arial" w:eastAsia="Arial" w:hAnsi="Arial"/>
                <w:sz w:val="16"/>
                <w:szCs w:val="16"/>
                <w:color w:val="auto"/>
              </w:rPr>
              <w:t>Norman G. Wilbur (5)</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23,850</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8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4,138</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27,988</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w:t>
      </w:r>
    </w:p>
    <w:p>
      <w:pPr>
        <w:spacing w:after="0" w:line="108" w:lineRule="exact"/>
        <w:rPr>
          <w:sz w:val="20"/>
          <w:szCs w:val="20"/>
          <w:color w:val="auto"/>
        </w:rPr>
      </w:pPr>
    </w:p>
    <w:p>
      <w:pPr>
        <w:ind w:left="480" w:hanging="327"/>
        <w:spacing w:after="0"/>
        <w:tabs>
          <w:tab w:leader="none" w:pos="4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Mr. Cook has options to purchase 52,572 shares of the Company’s Class A common stock.</w:t>
      </w:r>
    </w:p>
    <w:p>
      <w:pPr>
        <w:spacing w:after="0" w:line="21" w:lineRule="exact"/>
        <w:rPr>
          <w:rFonts w:ascii="Arial" w:cs="Arial" w:eastAsia="Arial" w:hAnsi="Arial"/>
          <w:sz w:val="19"/>
          <w:szCs w:val="19"/>
          <w:color w:val="auto"/>
        </w:rPr>
      </w:pPr>
    </w:p>
    <w:p>
      <w:pPr>
        <w:ind w:left="480" w:hanging="327"/>
        <w:spacing w:after="0"/>
        <w:tabs>
          <w:tab w:leader="none" w:pos="4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Mr. Fuller has options to purchase 52,572 shares of the Company’s Class A common stock.</w:t>
      </w:r>
    </w:p>
    <w:p>
      <w:pPr>
        <w:spacing w:after="0" w:line="5" w:lineRule="exact"/>
        <w:rPr>
          <w:rFonts w:ascii="Arial" w:cs="Arial" w:eastAsia="Arial" w:hAnsi="Arial"/>
          <w:sz w:val="19"/>
          <w:szCs w:val="19"/>
          <w:color w:val="auto"/>
        </w:rPr>
      </w:pPr>
    </w:p>
    <w:p>
      <w:pPr>
        <w:ind w:left="480" w:hanging="327"/>
        <w:spacing w:after="0"/>
        <w:tabs>
          <w:tab w:leader="none" w:pos="4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Dr. Hunter has options to purchase 71,202 shares of the Company’s Class A common stock.</w:t>
      </w:r>
    </w:p>
    <w:p>
      <w:pPr>
        <w:spacing w:after="0" w:line="5" w:lineRule="exact"/>
        <w:rPr>
          <w:rFonts w:ascii="Arial" w:cs="Arial" w:eastAsia="Arial" w:hAnsi="Arial"/>
          <w:sz w:val="19"/>
          <w:szCs w:val="19"/>
          <w:color w:val="auto"/>
        </w:rPr>
      </w:pPr>
    </w:p>
    <w:p>
      <w:pPr>
        <w:ind w:left="480" w:hanging="327"/>
        <w:spacing w:after="0"/>
        <w:tabs>
          <w:tab w:leader="none" w:pos="4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Mr. Moody has options to purchase 71,202 shares of the Company’s Class A common stock.</w:t>
      </w:r>
    </w:p>
    <w:p>
      <w:pPr>
        <w:spacing w:after="0" w:line="11" w:lineRule="exact"/>
        <w:rPr>
          <w:rFonts w:ascii="Arial" w:cs="Arial" w:eastAsia="Arial" w:hAnsi="Arial"/>
          <w:sz w:val="19"/>
          <w:szCs w:val="19"/>
          <w:color w:val="auto"/>
        </w:rPr>
      </w:pPr>
    </w:p>
    <w:p>
      <w:pPr>
        <w:ind w:left="480" w:hanging="327"/>
        <w:spacing w:after="0" w:line="235" w:lineRule="auto"/>
        <w:tabs>
          <w:tab w:leader="none" w:pos="480" w:val="left"/>
        </w:tabs>
        <w:numPr>
          <w:ilvl w:val="0"/>
          <w:numId w:val="122"/>
        </w:numPr>
        <w:rPr>
          <w:rFonts w:ascii="Arial" w:cs="Arial" w:eastAsia="Arial" w:hAnsi="Arial"/>
          <w:sz w:val="21"/>
          <w:szCs w:val="21"/>
          <w:color w:val="auto"/>
        </w:rPr>
      </w:pPr>
      <w:r>
        <w:rPr>
          <w:rFonts w:ascii="Arial" w:cs="Arial" w:eastAsia="Arial" w:hAnsi="Arial"/>
          <w:sz w:val="19"/>
          <w:szCs w:val="19"/>
          <w:color w:val="auto"/>
        </w:rPr>
        <w:t>Mr. Wilbur has options to purchase 37,418 shares of the Company’s Class A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401(k) Retirement Savings Plan</w:t>
      </w:r>
    </w:p>
    <w:p>
      <w:pPr>
        <w:spacing w:after="0" w:line="236" w:lineRule="exact"/>
        <w:rPr>
          <w:sz w:val="20"/>
          <w:szCs w:val="20"/>
          <w:color w:val="auto"/>
        </w:rPr>
      </w:pPr>
    </w:p>
    <w:p>
      <w:pPr>
        <w:jc w:val="both"/>
        <w:ind w:right="279"/>
        <w:spacing w:after="0" w:line="250" w:lineRule="auto"/>
        <w:rPr>
          <w:sz w:val="20"/>
          <w:szCs w:val="20"/>
          <w:color w:val="auto"/>
        </w:rPr>
      </w:pPr>
      <w:r>
        <w:rPr>
          <w:rFonts w:ascii="Arial" w:cs="Arial" w:eastAsia="Arial" w:hAnsi="Arial"/>
          <w:sz w:val="19"/>
          <w:szCs w:val="19"/>
          <w:color w:val="auto"/>
        </w:rPr>
        <w:t>In 1995, the Company’s Board of Directors adopted a 401(k) Retirement Savings Plan. Under the terms of the 401(k) plan, effective as of January 1, 1995, the Company made discretionary employer matching contributions to its employees who choose to participate in the plan. The plan allowed the board to determine the amount of the contribution at the end of each year. During the period from January 1, 1995 to December 31, 2007 the Board had adopted a contribution formula specifying that such discretionary employer matching contributions would equal 50% of the participating employee’s contribution to the plan to purchase the Company’s stock up to a maximum discretionary employee contribution of 1/2 of 1% of participating employees’ compensation, as defined by the plan.</w:t>
      </w:r>
    </w:p>
    <w:p>
      <w:pPr>
        <w:spacing w:after="0" w:line="197" w:lineRule="exact"/>
        <w:rPr>
          <w:sz w:val="20"/>
          <w:szCs w:val="20"/>
          <w:color w:val="auto"/>
        </w:rPr>
      </w:pPr>
    </w:p>
    <w:p>
      <w:pPr>
        <w:jc w:val="both"/>
        <w:ind w:right="279"/>
        <w:spacing w:after="0" w:line="287" w:lineRule="auto"/>
        <w:rPr>
          <w:sz w:val="20"/>
          <w:szCs w:val="20"/>
          <w:color w:val="auto"/>
        </w:rPr>
      </w:pPr>
      <w:r>
        <w:rPr>
          <w:rFonts w:ascii="Arial" w:cs="Arial" w:eastAsia="Arial" w:hAnsi="Arial"/>
          <w:sz w:val="17"/>
          <w:szCs w:val="17"/>
          <w:color w:val="auto"/>
        </w:rPr>
        <w:t>All persons who have completed at least one year’s service with the Company and satisfy other plan requirements are eligible to participate in the 401(k) plan. All Company matching contributions are invested in the Company’s Class A common stock. Also, the Company may contribute at the discretion of the Company’s Board of Directors an Employer Profit Sharing Contribution to the 401(k) plan. The Employer Profit Sharing Contribution is to be divided among three different classes of participants in the plan based upon the participant’s title in the Company. All amounts contributed to the plan are deposited into a trust fund administered by an independent trustee.</w:t>
      </w:r>
    </w:p>
    <w:p>
      <w:pPr>
        <w:spacing w:after="0" w:line="167"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Beginning January 1, 2008, the Company elected to be a “Safe Harbor” Plan for its matching 401(k) contributions. The Company will match 100% of up to 3% of an employee’s total annual compensation and 50% of 4% to 5% of an employee’s annual compensation. The match is in shares of the Company’s Class A common stock. The Company’s contribution for 2020 and 2019 was $1,690,568 and $695,560 respectively, under the “Safe Harbor” plan.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Repurchase Plan</w:t>
      </w:r>
    </w:p>
    <w:p>
      <w:pPr>
        <w:spacing w:after="0" w:line="236" w:lineRule="exact"/>
        <w:rPr>
          <w:sz w:val="20"/>
          <w:szCs w:val="20"/>
          <w:color w:val="auto"/>
        </w:rPr>
      </w:pPr>
    </w:p>
    <w:p>
      <w:pPr>
        <w:jc w:val="both"/>
        <w:ind w:right="299"/>
        <w:spacing w:after="0" w:line="252" w:lineRule="auto"/>
        <w:rPr>
          <w:sz w:val="20"/>
          <w:szCs w:val="20"/>
          <w:color w:val="auto"/>
        </w:rPr>
      </w:pPr>
      <w:r>
        <w:rPr>
          <w:rFonts w:ascii="Arial" w:cs="Arial" w:eastAsia="Arial" w:hAnsi="Arial"/>
          <w:sz w:val="19"/>
          <w:szCs w:val="19"/>
          <w:color w:val="auto"/>
        </w:rPr>
        <w:t>On September 7, 2018, the Board of Directors of the Company approved a Stock Repurchase Plan that authorized the repurchase of 300,000 shares of the Company's Class A Common Stock in the open market. The Stock Repurchase Plan was amended on December 4, 2020. The amendment authorized the repurchase of a total of 1,000,000 shares of the Company’s Class A Common Stock in the open market. The repurchased shares of Class A common stock will be held as treasury shares to be used as the Company's employer matching contribution to the Employee 401(k) Retirement Savings Plan.</w:t>
      </w:r>
    </w:p>
    <w:p>
      <w:pPr>
        <w:sectPr>
          <w:pgSz w:w="11900" w:h="16838" w:orient="portrait"/>
          <w:cols w:equalWidth="0" w:num="1">
            <w:col w:w="9179"/>
          </w:cols>
          <w:pgMar w:left="1280" w:top="122" w:right="1440" w:bottom="1440" w:gutter="0" w:footer="0" w:header="0"/>
        </w:sect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5653405" cy="336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type w:val="continuous"/>
        </w:sectPr>
      </w:pPr>
    </w:p>
    <w:bookmarkStart w:id="127" w:name="page128"/>
    <w:bookmarkEnd w:id="127"/>
    <w:p>
      <w:pPr>
        <w:ind w:left="5"/>
        <w:spacing w:after="0"/>
        <w:rPr>
          <w:sz w:val="20"/>
          <w:szCs w:val="20"/>
          <w:color w:val="auto"/>
        </w:rPr>
      </w:pPr>
      <w:r>
        <w:rPr>
          <w:rFonts w:ascii="Arial" w:cs="Arial" w:eastAsia="Arial" w:hAnsi="Arial"/>
          <w:sz w:val="19"/>
          <w:szCs w:val="19"/>
          <w:b w:val="1"/>
          <w:bCs w:val="1"/>
          <w:color w:val="auto"/>
        </w:rPr>
        <w:t>Employee Stock Ownership Plan (ESOP)</w:t>
      </w:r>
    </w:p>
    <w:p>
      <w:pPr>
        <w:spacing w:after="0" w:line="235" w:lineRule="exact"/>
        <w:rPr>
          <w:sz w:val="20"/>
          <w:szCs w:val="20"/>
          <w:color w:val="auto"/>
        </w:rPr>
      </w:pPr>
    </w:p>
    <w:p>
      <w:pPr>
        <w:jc w:val="both"/>
        <w:ind w:left="5" w:right="279"/>
        <w:spacing w:after="0" w:line="290" w:lineRule="auto"/>
        <w:rPr>
          <w:sz w:val="20"/>
          <w:szCs w:val="20"/>
          <w:color w:val="auto"/>
        </w:rPr>
      </w:pPr>
      <w:r>
        <w:rPr>
          <w:rFonts w:ascii="Arial" w:cs="Arial" w:eastAsia="Arial" w:hAnsi="Arial"/>
          <w:sz w:val="17"/>
          <w:szCs w:val="17"/>
          <w:color w:val="auto"/>
        </w:rPr>
        <w:t>Effective January 1, 1980, the Company adopted an employee stock ownership plan (the “ESOP Plan”) for the benefit of career employees of the Company and its subsidiaries. Under the ESOP Plan, the Company used discretionary power to make contributions on behalf of all eligible employees into a trust created under the ESOP Plan. Employees became eligible to participate in the ESOP Plan when they attained the age of 19 and completed one year of service (a twelve month period in which the Employee completes at least 1,040 hours of service).</w:t>
      </w:r>
    </w:p>
    <w:p>
      <w:pPr>
        <w:spacing w:after="0" w:line="164" w:lineRule="exact"/>
        <w:rPr>
          <w:sz w:val="20"/>
          <w:szCs w:val="20"/>
          <w:color w:val="auto"/>
        </w:rPr>
      </w:pPr>
    </w:p>
    <w:p>
      <w:pPr>
        <w:jc w:val="both"/>
        <w:ind w:left="5" w:right="279"/>
        <w:spacing w:after="0" w:line="269" w:lineRule="auto"/>
        <w:rPr>
          <w:sz w:val="20"/>
          <w:szCs w:val="20"/>
          <w:color w:val="auto"/>
        </w:rPr>
      </w:pPr>
      <w:r>
        <w:rPr>
          <w:rFonts w:ascii="Arial" w:cs="Arial" w:eastAsia="Arial" w:hAnsi="Arial"/>
          <w:sz w:val="18"/>
          <w:szCs w:val="18"/>
          <w:color w:val="auto"/>
        </w:rPr>
        <w:t>The Company’s contributions under the ESOP Plan were allocated to eligible employees on the same ratio that each eligible employee’s compensation bears to total compensation for all eligible employees during each year. Benefits under the ESOP Plan vested as follows: 20% after the second year of eligible service by an employee and an additional 20% each year thereafter of eligible service until 100% vested. Benefits under the ESOP Plan will be paid out in one lump sum or in installments in the event the employee becomes disabled, reaches the age of 65, or is terminated by the Company or demonstrates financial hardship.</w:t>
      </w:r>
    </w:p>
    <w:p>
      <w:pPr>
        <w:spacing w:after="0" w:line="178" w:lineRule="exact"/>
        <w:rPr>
          <w:sz w:val="20"/>
          <w:szCs w:val="20"/>
          <w:color w:val="auto"/>
        </w:rPr>
      </w:pPr>
    </w:p>
    <w:p>
      <w:pPr>
        <w:jc w:val="both"/>
        <w:ind w:left="5" w:right="279"/>
        <w:spacing w:after="0" w:line="266" w:lineRule="auto"/>
        <w:rPr>
          <w:sz w:val="20"/>
          <w:szCs w:val="20"/>
          <w:color w:val="auto"/>
        </w:rPr>
      </w:pPr>
      <w:r>
        <w:rPr>
          <w:rFonts w:ascii="Arial" w:cs="Arial" w:eastAsia="Arial" w:hAnsi="Arial"/>
          <w:sz w:val="18"/>
          <w:szCs w:val="18"/>
          <w:color w:val="auto"/>
        </w:rPr>
        <w:t>On November 25, 2019, the Company distributed a “Notice of Intent to Terminate” the ESOP Plan to all current plan participants. The Company also filed Form 5310 “Application for Determination for Terminating Plan”, with the IRS on December 6, 2019. Beginning in the 4th quarter of 2020, the Company began to distribute the ESOP Plan assets to participants that had made a distribution election. The Company is awaiting approval of its application from the IRS prior to its final distribution of the ESOP Plan assets to the participants. At December 31, 2020, the ESOP held 231,312 shares of Class A and 118,880 shares of Class C common stock of the Company. The trustees of the trust fund under the ESOP Plan are Scott M. Quist (Chairman), S. Andrew Quist, and Robert G. Hunter, who each serve as a director of the Company.</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Non-Qualified Deferred Compensation Plan</w:t>
      </w:r>
    </w:p>
    <w:p>
      <w:pPr>
        <w:spacing w:after="0" w:line="236" w:lineRule="exact"/>
        <w:rPr>
          <w:sz w:val="20"/>
          <w:szCs w:val="20"/>
          <w:color w:val="auto"/>
        </w:rPr>
      </w:pPr>
    </w:p>
    <w:p>
      <w:pPr>
        <w:jc w:val="both"/>
        <w:ind w:left="5" w:right="279"/>
        <w:spacing w:after="0" w:line="249" w:lineRule="auto"/>
        <w:rPr>
          <w:sz w:val="20"/>
          <w:szCs w:val="20"/>
          <w:color w:val="auto"/>
        </w:rPr>
      </w:pPr>
      <w:r>
        <w:rPr>
          <w:rFonts w:ascii="Arial" w:cs="Arial" w:eastAsia="Arial" w:hAnsi="Arial"/>
          <w:sz w:val="19"/>
          <w:szCs w:val="19"/>
          <w:color w:val="auto"/>
        </w:rPr>
        <w:t>In 2001, the Company’s Board of Directors adopted a Non-Qualified Deferred Compensation Plan, and this plan was amended in 2005 and later in 2019.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 did not make any contributions for 2020 and 2019. The investment committees of the Company’s Non-Qualified Deferred Compensation Plan consists of Scott M. Quist, Stephen C. Johnson, and Garrett S. Sill.</w:t>
      </w:r>
    </w:p>
    <w:p>
      <w:pPr>
        <w:spacing w:after="0" w:line="312" w:lineRule="exact"/>
        <w:rPr>
          <w:sz w:val="20"/>
          <w:szCs w:val="20"/>
          <w:color w:val="auto"/>
        </w:rPr>
      </w:pPr>
    </w:p>
    <w:p>
      <w:pPr>
        <w:jc w:val="center"/>
        <w:ind w:right="274"/>
        <w:spacing w:after="0"/>
        <w:rPr>
          <w:sz w:val="20"/>
          <w:szCs w:val="20"/>
          <w:color w:val="auto"/>
        </w:rPr>
      </w:pPr>
      <w:r>
        <w:rPr>
          <w:rFonts w:ascii="Arial" w:cs="Arial" w:eastAsia="Arial" w:hAnsi="Arial"/>
          <w:sz w:val="19"/>
          <w:szCs w:val="19"/>
          <w:b w:val="1"/>
          <w:bCs w:val="1"/>
          <w:color w:val="auto"/>
        </w:rPr>
        <w:t>NON-QUALIFIED DEFERRED COMPENSATION</w:t>
      </w:r>
    </w:p>
    <w:p>
      <w:pPr>
        <w:spacing w:after="0" w:line="236" w:lineRule="exact"/>
        <w:rPr>
          <w:sz w:val="20"/>
          <w:szCs w:val="20"/>
          <w:color w:val="auto"/>
        </w:rPr>
      </w:pPr>
    </w:p>
    <w:p>
      <w:pPr>
        <w:jc w:val="both"/>
        <w:ind w:left="5" w:right="299"/>
        <w:spacing w:after="0" w:line="261" w:lineRule="auto"/>
        <w:rPr>
          <w:sz w:val="20"/>
          <w:szCs w:val="20"/>
          <w:color w:val="auto"/>
        </w:rPr>
      </w:pPr>
      <w:r>
        <w:rPr>
          <w:rFonts w:ascii="Arial" w:cs="Arial" w:eastAsia="Arial" w:hAnsi="Arial"/>
          <w:sz w:val="19"/>
          <w:szCs w:val="19"/>
          <w:color w:val="auto"/>
        </w:rPr>
        <w:t>The following table sets forth the balances of the non-qualified deferred compensation account of the Named Executive Officers in fiscal 2020 and the aggregate balance of deferred compensation of the Named Executive Officers at December 31, 2020.</w:t>
      </w:r>
    </w:p>
    <w:p>
      <w:pPr>
        <w:spacing w:after="0" w:line="99" w:lineRule="exact"/>
        <w:rPr>
          <w:sz w:val="20"/>
          <w:szCs w:val="20"/>
          <w:color w:val="auto"/>
        </w:rPr>
      </w:pPr>
    </w:p>
    <w:tbl>
      <w:tblPr>
        <w:tblLayout w:type="fixed"/>
        <w:tblInd w:w="5" w:type="dxa"/>
        <w:tblCellMar>
          <w:top w:w="0" w:type="dxa"/>
          <w:left w:w="0" w:type="dxa"/>
          <w:bottom w:w="0" w:type="dxa"/>
          <w:right w:w="0" w:type="dxa"/>
        </w:tblCellMar>
      </w:tblPr>
      <w:tr>
        <w:trPr>
          <w:trHeight w:val="201"/>
        </w:trPr>
        <w:tc>
          <w:tcPr>
            <w:tcW w:w="2000" w:type="dxa"/>
            <w:vAlign w:val="bottom"/>
          </w:tcPr>
          <w:p>
            <w:pPr>
              <w:spacing w:after="0"/>
              <w:rPr>
                <w:sz w:val="17"/>
                <w:szCs w:val="17"/>
                <w:color w:val="auto"/>
              </w:rPr>
            </w:pPr>
          </w:p>
        </w:tc>
        <w:tc>
          <w:tcPr>
            <w:tcW w:w="1760" w:type="dxa"/>
            <w:vAlign w:val="bottom"/>
          </w:tcPr>
          <w:p>
            <w:pPr>
              <w:jc w:val="center"/>
              <w:ind w:left="501"/>
              <w:spacing w:after="0"/>
              <w:rPr>
                <w:sz w:val="20"/>
                <w:szCs w:val="20"/>
                <w:color w:val="auto"/>
              </w:rPr>
            </w:pPr>
            <w:r>
              <w:rPr>
                <w:rFonts w:ascii="Arial" w:cs="Arial" w:eastAsia="Arial" w:hAnsi="Arial"/>
                <w:sz w:val="16"/>
                <w:szCs w:val="16"/>
                <w:color w:val="auto"/>
                <w:w w:val="89"/>
              </w:rPr>
              <w:t>Executive</w:t>
            </w:r>
          </w:p>
        </w:tc>
        <w:tc>
          <w:tcPr>
            <w:tcW w:w="1240" w:type="dxa"/>
            <w:vAlign w:val="bottom"/>
          </w:tcPr>
          <w:p>
            <w:pPr>
              <w:jc w:val="center"/>
              <w:spacing w:after="0"/>
              <w:rPr>
                <w:sz w:val="20"/>
                <w:szCs w:val="20"/>
                <w:color w:val="auto"/>
              </w:rPr>
            </w:pPr>
            <w:r>
              <w:rPr>
                <w:rFonts w:ascii="Arial" w:cs="Arial" w:eastAsia="Arial" w:hAnsi="Arial"/>
                <w:sz w:val="16"/>
                <w:szCs w:val="16"/>
                <w:color w:val="auto"/>
                <w:w w:val="90"/>
              </w:rPr>
              <w:t>Registrant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Aggregate</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Aggregate</w:t>
            </w:r>
          </w:p>
        </w:tc>
        <w:tc>
          <w:tcPr>
            <w:tcW w:w="1100" w:type="dxa"/>
            <w:vAlign w:val="bottom"/>
          </w:tcPr>
          <w:p>
            <w:pPr>
              <w:jc w:val="center"/>
              <w:ind w:left="1"/>
              <w:spacing w:after="0"/>
              <w:rPr>
                <w:sz w:val="20"/>
                <w:szCs w:val="20"/>
                <w:color w:val="auto"/>
              </w:rPr>
            </w:pPr>
            <w:r>
              <w:rPr>
                <w:rFonts w:ascii="Arial" w:cs="Arial" w:eastAsia="Arial" w:hAnsi="Arial"/>
                <w:sz w:val="16"/>
                <w:szCs w:val="16"/>
                <w:color w:val="auto"/>
                <w:w w:val="89"/>
              </w:rPr>
              <w:t>Aggregate</w:t>
            </w:r>
          </w:p>
        </w:tc>
        <w:tc>
          <w:tcPr>
            <w:tcW w:w="400" w:type="dxa"/>
            <w:vAlign w:val="bottom"/>
          </w:tcPr>
          <w:p>
            <w:pPr>
              <w:spacing w:after="0"/>
              <w:rPr>
                <w:sz w:val="17"/>
                <w:szCs w:val="17"/>
                <w:color w:val="auto"/>
              </w:rPr>
            </w:pPr>
          </w:p>
        </w:tc>
      </w:tr>
      <w:tr>
        <w:trPr>
          <w:trHeight w:val="237"/>
        </w:trPr>
        <w:tc>
          <w:tcPr>
            <w:tcW w:w="2000" w:type="dxa"/>
            <w:vAlign w:val="bottom"/>
          </w:tcPr>
          <w:p>
            <w:pPr>
              <w:spacing w:after="0"/>
              <w:rPr>
                <w:sz w:val="20"/>
                <w:szCs w:val="20"/>
                <w:color w:val="auto"/>
              </w:rPr>
            </w:pPr>
          </w:p>
        </w:tc>
        <w:tc>
          <w:tcPr>
            <w:tcW w:w="1760" w:type="dxa"/>
            <w:vAlign w:val="bottom"/>
          </w:tcPr>
          <w:p>
            <w:pPr>
              <w:jc w:val="center"/>
              <w:ind w:left="501"/>
              <w:spacing w:after="0"/>
              <w:rPr>
                <w:sz w:val="20"/>
                <w:szCs w:val="20"/>
                <w:color w:val="auto"/>
              </w:rPr>
            </w:pPr>
            <w:r>
              <w:rPr>
                <w:rFonts w:ascii="Arial" w:cs="Arial" w:eastAsia="Arial" w:hAnsi="Arial"/>
                <w:sz w:val="16"/>
                <w:szCs w:val="16"/>
                <w:color w:val="auto"/>
                <w:w w:val="91"/>
              </w:rPr>
              <w:t>Contributions</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Contributions</w:t>
            </w: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Earnings</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Withdrawals</w:t>
            </w:r>
          </w:p>
        </w:tc>
        <w:tc>
          <w:tcPr>
            <w:tcW w:w="1100" w:type="dxa"/>
            <w:vAlign w:val="bottom"/>
          </w:tcPr>
          <w:p>
            <w:pPr>
              <w:jc w:val="center"/>
              <w:ind w:left="1"/>
              <w:spacing w:after="0"/>
              <w:rPr>
                <w:sz w:val="20"/>
                <w:szCs w:val="20"/>
                <w:color w:val="auto"/>
              </w:rPr>
            </w:pPr>
            <w:r>
              <w:rPr>
                <w:rFonts w:ascii="Arial" w:cs="Arial" w:eastAsia="Arial" w:hAnsi="Arial"/>
                <w:sz w:val="16"/>
                <w:szCs w:val="16"/>
                <w:color w:val="auto"/>
                <w:w w:val="86"/>
              </w:rPr>
              <w:t>Balance</w:t>
            </w:r>
          </w:p>
        </w:tc>
        <w:tc>
          <w:tcPr>
            <w:tcW w:w="400" w:type="dxa"/>
            <w:vAlign w:val="bottom"/>
          </w:tcPr>
          <w:p>
            <w:pPr>
              <w:spacing w:after="0"/>
              <w:rPr>
                <w:sz w:val="20"/>
                <w:szCs w:val="20"/>
                <w:color w:val="auto"/>
              </w:rPr>
            </w:pPr>
          </w:p>
        </w:tc>
      </w:tr>
      <w:tr>
        <w:trPr>
          <w:trHeight w:val="237"/>
        </w:trPr>
        <w:tc>
          <w:tcPr>
            <w:tcW w:w="2000" w:type="dxa"/>
            <w:vAlign w:val="bottom"/>
          </w:tcPr>
          <w:p>
            <w:pPr>
              <w:spacing w:after="0"/>
              <w:rPr>
                <w:sz w:val="20"/>
                <w:szCs w:val="20"/>
                <w:color w:val="auto"/>
              </w:rPr>
            </w:pPr>
          </w:p>
        </w:tc>
        <w:tc>
          <w:tcPr>
            <w:tcW w:w="1760" w:type="dxa"/>
            <w:vAlign w:val="bottom"/>
          </w:tcPr>
          <w:p>
            <w:pPr>
              <w:jc w:val="center"/>
              <w:ind w:left="501"/>
              <w:spacing w:after="0"/>
              <w:rPr>
                <w:sz w:val="20"/>
                <w:szCs w:val="20"/>
                <w:color w:val="auto"/>
              </w:rPr>
            </w:pPr>
            <w:r>
              <w:rPr>
                <w:rFonts w:ascii="Arial" w:cs="Arial" w:eastAsia="Arial" w:hAnsi="Arial"/>
                <w:sz w:val="16"/>
                <w:szCs w:val="16"/>
                <w:color w:val="auto"/>
                <w:w w:val="95"/>
              </w:rPr>
              <w:t>In Last FY</w:t>
            </w: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In Last FY</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in last FY</w:t>
            </w:r>
          </w:p>
        </w:tc>
        <w:tc>
          <w:tcPr>
            <w:tcW w:w="1300" w:type="dxa"/>
            <w:vAlign w:val="bottom"/>
          </w:tcPr>
          <w:p>
            <w:pPr>
              <w:jc w:val="center"/>
              <w:spacing w:after="0"/>
              <w:rPr>
                <w:sz w:val="20"/>
                <w:szCs w:val="20"/>
                <w:color w:val="auto"/>
              </w:rPr>
            </w:pPr>
            <w:r>
              <w:rPr>
                <w:rFonts w:ascii="Arial" w:cs="Arial" w:eastAsia="Arial" w:hAnsi="Arial"/>
                <w:sz w:val="16"/>
                <w:szCs w:val="16"/>
                <w:color w:val="auto"/>
                <w:w w:val="95"/>
              </w:rPr>
              <w:t>Distributions</w:t>
            </w:r>
          </w:p>
        </w:tc>
        <w:tc>
          <w:tcPr>
            <w:tcW w:w="1100" w:type="dxa"/>
            <w:vAlign w:val="bottom"/>
          </w:tcPr>
          <w:p>
            <w:pPr>
              <w:jc w:val="center"/>
              <w:ind w:left="1"/>
              <w:spacing w:after="0"/>
              <w:rPr>
                <w:sz w:val="20"/>
                <w:szCs w:val="20"/>
                <w:color w:val="auto"/>
              </w:rPr>
            </w:pPr>
            <w:r>
              <w:rPr>
                <w:rFonts w:ascii="Arial" w:cs="Arial" w:eastAsia="Arial" w:hAnsi="Arial"/>
                <w:sz w:val="16"/>
                <w:szCs w:val="16"/>
                <w:color w:val="auto"/>
                <w:w w:val="89"/>
              </w:rPr>
              <w:t>at last FYE</w:t>
            </w:r>
          </w:p>
        </w:tc>
        <w:tc>
          <w:tcPr>
            <w:tcW w:w="400" w:type="dxa"/>
            <w:vAlign w:val="bottom"/>
          </w:tcPr>
          <w:p>
            <w:pPr>
              <w:spacing w:after="0"/>
              <w:rPr>
                <w:sz w:val="20"/>
                <w:szCs w:val="20"/>
                <w:color w:val="auto"/>
              </w:rPr>
            </w:pPr>
          </w:p>
        </w:tc>
      </w:tr>
      <w:tr>
        <w:trPr>
          <w:trHeight w:val="251"/>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7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1"/>
                <w:szCs w:val="21"/>
                <w:color w:val="auto"/>
              </w:rPr>
            </w:pPr>
          </w:p>
        </w:tc>
      </w:tr>
      <w:tr>
        <w:trPr>
          <w:trHeight w:val="237"/>
        </w:trPr>
        <w:tc>
          <w:tcPr>
            <w:tcW w:w="2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4"/>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Scott M. Quist</w:t>
            </w:r>
          </w:p>
        </w:tc>
        <w:tc>
          <w:tcPr>
            <w:tcW w:w="176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3"/>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3"/>
              </w:rPr>
              <w:t>--</w:t>
            </w:r>
          </w:p>
        </w:tc>
        <w:tc>
          <w:tcPr>
            <w:tcW w:w="400" w:type="dxa"/>
            <w:vAlign w:val="bottom"/>
            <w:shd w:val="clear" w:color="auto" w:fill="CCEEFF"/>
          </w:tcPr>
          <w:p>
            <w:pPr>
              <w:spacing w:after="0"/>
              <w:rPr>
                <w:sz w:val="19"/>
                <w:szCs w:val="19"/>
                <w:color w:val="auto"/>
              </w:rPr>
            </w:pPr>
          </w:p>
        </w:tc>
      </w:tr>
      <w:tr>
        <w:trPr>
          <w:trHeight w:val="214"/>
        </w:trPr>
        <w:tc>
          <w:tcPr>
            <w:tcW w:w="2000" w:type="dxa"/>
            <w:vAlign w:val="bottom"/>
          </w:tcPr>
          <w:p>
            <w:pPr>
              <w:spacing w:after="0"/>
              <w:rPr>
                <w:sz w:val="20"/>
                <w:szCs w:val="20"/>
                <w:color w:val="auto"/>
              </w:rPr>
            </w:pPr>
            <w:r>
              <w:rPr>
                <w:rFonts w:ascii="Arial" w:cs="Arial" w:eastAsia="Arial" w:hAnsi="Arial"/>
                <w:sz w:val="16"/>
                <w:szCs w:val="16"/>
                <w:color w:val="auto"/>
              </w:rPr>
              <w:t>Garrett S. Sill</w:t>
            </w:r>
          </w:p>
        </w:tc>
        <w:tc>
          <w:tcPr>
            <w:tcW w:w="1760" w:type="dxa"/>
            <w:vAlign w:val="bottom"/>
          </w:tcPr>
          <w:p>
            <w:pPr>
              <w:jc w:val="center"/>
              <w:ind w:left="501"/>
              <w:spacing w:after="0"/>
              <w:rPr>
                <w:sz w:val="20"/>
                <w:szCs w:val="20"/>
                <w:color w:val="auto"/>
              </w:rPr>
            </w:pPr>
            <w:r>
              <w:rPr>
                <w:rFonts w:ascii="Arial" w:cs="Arial" w:eastAsia="Arial" w:hAnsi="Arial"/>
                <w:sz w:val="16"/>
                <w:szCs w:val="16"/>
                <w:color w:val="auto"/>
                <w:w w:val="93"/>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81,471</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Stephen C. Johnson</w:t>
            </w:r>
          </w:p>
        </w:tc>
        <w:tc>
          <w:tcPr>
            <w:tcW w:w="176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3"/>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99,457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2000" w:type="dxa"/>
            <w:vAlign w:val="bottom"/>
          </w:tcPr>
          <w:p>
            <w:pPr>
              <w:spacing w:after="0"/>
              <w:rPr>
                <w:sz w:val="20"/>
                <w:szCs w:val="20"/>
                <w:color w:val="auto"/>
              </w:rPr>
            </w:pPr>
            <w:r>
              <w:rPr>
                <w:rFonts w:ascii="Arial" w:cs="Arial" w:eastAsia="Arial" w:hAnsi="Arial"/>
                <w:sz w:val="16"/>
                <w:szCs w:val="16"/>
                <w:color w:val="auto"/>
              </w:rPr>
              <w:t>S. Andrew Quist</w:t>
            </w:r>
          </w:p>
        </w:tc>
        <w:tc>
          <w:tcPr>
            <w:tcW w:w="1760" w:type="dxa"/>
            <w:vAlign w:val="bottom"/>
          </w:tcPr>
          <w:p>
            <w:pPr>
              <w:jc w:val="center"/>
              <w:ind w:left="501"/>
              <w:spacing w:after="0"/>
              <w:rPr>
                <w:sz w:val="20"/>
                <w:szCs w:val="20"/>
                <w:color w:val="auto"/>
              </w:rPr>
            </w:pPr>
            <w:r>
              <w:rPr>
                <w:rFonts w:ascii="Arial" w:cs="Arial" w:eastAsia="Arial" w:hAnsi="Arial"/>
                <w:sz w:val="16"/>
                <w:szCs w:val="16"/>
                <w:color w:val="auto"/>
                <w:w w:val="93"/>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1"/>
              <w:spacing w:after="0"/>
              <w:rPr>
                <w:sz w:val="20"/>
                <w:szCs w:val="20"/>
                <w:color w:val="auto"/>
              </w:rPr>
            </w:pPr>
            <w:r>
              <w:rPr>
                <w:rFonts w:ascii="Arial" w:cs="Arial" w:eastAsia="Arial" w:hAnsi="Arial"/>
                <w:sz w:val="16"/>
                <w:szCs w:val="16"/>
                <w:color w:val="auto"/>
                <w:w w:val="93"/>
              </w:rPr>
              <w:t>--</w:t>
            </w:r>
          </w:p>
        </w:tc>
        <w:tc>
          <w:tcPr>
            <w:tcW w:w="400" w:type="dxa"/>
            <w:vAlign w:val="bottom"/>
          </w:tcPr>
          <w:p>
            <w:pPr>
              <w:spacing w:after="0"/>
              <w:rPr>
                <w:sz w:val="18"/>
                <w:szCs w:val="18"/>
                <w:color w:val="auto"/>
              </w:rPr>
            </w:pPr>
          </w:p>
        </w:tc>
      </w:tr>
      <w:tr>
        <w:trPr>
          <w:trHeight w:val="234"/>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Jeffrey R. Stephens</w:t>
            </w:r>
          </w:p>
        </w:tc>
        <w:tc>
          <w:tcPr>
            <w:tcW w:w="1760" w:type="dxa"/>
            <w:vAlign w:val="bottom"/>
            <w:shd w:val="clear" w:color="auto" w:fill="CCEEFF"/>
          </w:tcPr>
          <w:p>
            <w:pPr>
              <w:jc w:val="center"/>
              <w:ind w:left="501"/>
              <w:spacing w:after="0"/>
              <w:rPr>
                <w:sz w:val="20"/>
                <w:szCs w:val="20"/>
                <w:color w:val="auto"/>
              </w:rPr>
            </w:pPr>
            <w:r>
              <w:rPr>
                <w:rFonts w:ascii="Arial" w:cs="Arial" w:eastAsia="Arial" w:hAnsi="Arial"/>
                <w:sz w:val="16"/>
                <w:szCs w:val="16"/>
                <w:color w:val="auto"/>
                <w:w w:val="93"/>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1"/>
              <w:spacing w:after="0"/>
              <w:rPr>
                <w:sz w:val="20"/>
                <w:szCs w:val="20"/>
                <w:color w:val="auto"/>
              </w:rPr>
            </w:pPr>
            <w:r>
              <w:rPr>
                <w:rFonts w:ascii="Arial" w:cs="Arial" w:eastAsia="Arial" w:hAnsi="Arial"/>
                <w:sz w:val="16"/>
                <w:szCs w:val="16"/>
                <w:color w:val="auto"/>
                <w:w w:val="93"/>
              </w:rPr>
              <w:t>--</w:t>
            </w:r>
          </w:p>
        </w:tc>
        <w:tc>
          <w:tcPr>
            <w:tcW w:w="400" w:type="dxa"/>
            <w:vAlign w:val="bottom"/>
            <w:shd w:val="clear" w:color="auto" w:fill="CCEEFF"/>
          </w:tcPr>
          <w:p>
            <w:pPr>
              <w:spacing w:after="0"/>
              <w:rPr>
                <w:sz w:val="20"/>
                <w:szCs w:val="20"/>
                <w:color w:val="auto"/>
              </w:rPr>
            </w:pPr>
          </w:p>
        </w:tc>
      </w:tr>
    </w:tbl>
    <w:p>
      <w:pPr>
        <w:spacing w:after="0" w:line="105" w:lineRule="exact"/>
        <w:rPr>
          <w:sz w:val="20"/>
          <w:szCs w:val="20"/>
          <w:color w:val="auto"/>
        </w:rPr>
      </w:pPr>
    </w:p>
    <w:p>
      <w:pPr>
        <w:ind w:left="5"/>
        <w:spacing w:after="0"/>
        <w:rPr>
          <w:sz w:val="20"/>
          <w:szCs w:val="20"/>
          <w:color w:val="auto"/>
        </w:rPr>
      </w:pPr>
      <w:r>
        <w:rPr>
          <w:rFonts w:ascii="Arial" w:cs="Arial" w:eastAsia="Arial" w:hAnsi="Arial"/>
          <w:sz w:val="11"/>
          <w:szCs w:val="11"/>
          <w:b w:val="1"/>
          <w:bCs w:val="1"/>
          <w:color w:val="auto"/>
        </w:rPr>
        <w:t>_______________________</w:t>
      </w:r>
    </w:p>
    <w:p>
      <w:pPr>
        <w:spacing w:after="0" w:line="108" w:lineRule="exact"/>
        <w:rPr>
          <w:sz w:val="20"/>
          <w:szCs w:val="20"/>
          <w:color w:val="auto"/>
        </w:rPr>
      </w:pPr>
    </w:p>
    <w:p>
      <w:pPr>
        <w:ind w:left="485" w:right="299" w:hanging="485"/>
        <w:spacing w:after="0" w:line="255" w:lineRule="auto"/>
        <w:tabs>
          <w:tab w:leader="none" w:pos="48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Includes 9,757 shares of the Company’s Class A common stock, based on the closing price of $8.35 at December 31, 2020.</w:t>
      </w:r>
    </w:p>
    <w:p>
      <w:pPr>
        <w:ind w:left="485" w:right="299" w:hanging="485"/>
        <w:spacing w:after="0" w:line="259" w:lineRule="auto"/>
        <w:tabs>
          <w:tab w:leader="none" w:pos="48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Includes 11,911 shares of the Company’s Class A common stock, based on the closing price of $8.35 at December 31, 2020.</w:t>
      </w:r>
    </w:p>
    <w:p>
      <w:pPr>
        <w:sectPr>
          <w:pgSz w:w="11900" w:h="16838" w:orient="portrait"/>
          <w:cols w:equalWidth="0" w:num="1">
            <w:col w:w="9184"/>
          </w:cols>
          <w:pgMar w:left="1275" w:top="118" w:right="1440" w:bottom="1440" w:gutter="0" w:footer="0" w:header="0"/>
        </w:sectPr>
      </w:pPr>
    </w:p>
    <w:p>
      <w:pPr>
        <w:spacing w:after="0" w:line="216" w:lineRule="exact"/>
        <w:rPr>
          <w:sz w:val="20"/>
          <w:szCs w:val="20"/>
          <w:color w:val="auto"/>
        </w:rPr>
      </w:pPr>
    </w:p>
    <w:p>
      <w:pPr>
        <w:jc w:val="center"/>
        <w:ind w:right="274"/>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5653405" cy="33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84"/>
          </w:cols>
          <w:pgMar w:left="1275" w:top="118" w:right="1440"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9"/>
          <w:szCs w:val="19"/>
          <w:b w:val="1"/>
          <w:bCs w:val="1"/>
          <w:color w:val="auto"/>
        </w:rPr>
        <w:t>2013 Stock Option Plan</w:t>
      </w:r>
    </w:p>
    <w:p>
      <w:pPr>
        <w:spacing w:after="0" w:line="235" w:lineRule="exact"/>
        <w:rPr>
          <w:sz w:val="20"/>
          <w:szCs w:val="20"/>
          <w:color w:val="auto"/>
        </w:rPr>
      </w:pPr>
    </w:p>
    <w:p>
      <w:pPr>
        <w:jc w:val="both"/>
        <w:ind w:right="279"/>
        <w:spacing w:after="0" w:line="287" w:lineRule="auto"/>
        <w:rPr>
          <w:sz w:val="20"/>
          <w:szCs w:val="20"/>
          <w:color w:val="auto"/>
        </w:rPr>
      </w:pPr>
      <w:r>
        <w:rPr>
          <w:rFonts w:ascii="Arial" w:cs="Arial" w:eastAsia="Arial" w:hAnsi="Arial"/>
          <w:sz w:val="17"/>
          <w:szCs w:val="17"/>
          <w:color w:val="auto"/>
        </w:rPr>
        <w:t>On August 24, 2013, the Company adopted the Security National Financial Corporation 2013 Stock Option Plan (the “2013 Plan”), which reserved 450,000 shares of Class A common stock to be made available for issuance thereunder, of which up to 150,000 shares of Class C common stock could be issued in place of up to 150,000 shares of Class A common stock. The 2013 Plan provides for the grant of options and the award or sale of stock to officers, directors, and employees of the Company. Both “incentive stock options”, as defined under Section 422A of the Internal Revenue Code of 1986 and “non-qualified options” may be granted under the 2013 Plan.</w:t>
      </w:r>
    </w:p>
    <w:p>
      <w:pPr>
        <w:spacing w:after="0" w:line="167" w:lineRule="exact"/>
        <w:rPr>
          <w:sz w:val="20"/>
          <w:szCs w:val="20"/>
          <w:color w:val="auto"/>
        </w:rPr>
      </w:pPr>
    </w:p>
    <w:p>
      <w:pPr>
        <w:jc w:val="both"/>
        <w:ind w:right="279"/>
        <w:spacing w:after="0" w:line="266" w:lineRule="auto"/>
        <w:rPr>
          <w:sz w:val="20"/>
          <w:szCs w:val="20"/>
          <w:color w:val="auto"/>
        </w:rPr>
      </w:pPr>
      <w:r>
        <w:rPr>
          <w:rFonts w:ascii="Arial" w:cs="Arial" w:eastAsia="Arial" w:hAnsi="Arial"/>
          <w:sz w:val="18"/>
          <w:szCs w:val="18"/>
          <w:color w:val="auto"/>
        </w:rPr>
        <w:t>On July 1, 2015, the stockholders approved an amendment to the 2013 Plan to authorize an additional 450,000 shares of Class A common stock under the Plan, of which up to 200,000 Class C common stock may be issued in place of up to 200,000 shares of Class A common stock. On June 29, 2017, the stockholders approved an amendment to the 2013 Plan to authorize an additional 500,000 shares of Class A common stock under the Plan, of which up to 250,000 Class C common stock may be issued in place of up to 250,000 shares of Class A common stock. On June 26, 2020, the stockholders approved an amendment to the 2013 Plan to authorize an additional 500,000 shares of Class A common stock under the Plan, of which up to 350,000 Class C common stock may be issued in place of up to 350,000 shares of Class A common stock.</w:t>
      </w:r>
    </w:p>
    <w:p>
      <w:pPr>
        <w:spacing w:after="0" w:line="183" w:lineRule="exact"/>
        <w:rPr>
          <w:sz w:val="20"/>
          <w:szCs w:val="20"/>
          <w:color w:val="auto"/>
        </w:rPr>
      </w:pPr>
    </w:p>
    <w:p>
      <w:pPr>
        <w:jc w:val="both"/>
        <w:ind w:right="279"/>
        <w:spacing w:after="0" w:line="284" w:lineRule="auto"/>
        <w:rPr>
          <w:sz w:val="20"/>
          <w:szCs w:val="20"/>
          <w:color w:val="auto"/>
        </w:rPr>
      </w:pPr>
      <w:r>
        <w:rPr>
          <w:rFonts w:ascii="Arial" w:cs="Arial" w:eastAsia="Arial" w:hAnsi="Arial"/>
          <w:sz w:val="17"/>
          <w:szCs w:val="17"/>
          <w:color w:val="auto"/>
        </w:rPr>
        <w:t>The 2013 Plan is to be administered by the Board of Directors or by a committee designated by the Board. The terms of options granted or stock awards or sales affected under the 2013 Plan are to be determined by the Board of Directors or its committee. No options may be exercised for a term of more than ten years from the date of the grant. Options intended as incentive stock options may be issued only to employees, and must meet certain conditions imposed by the Internal Revenue Code, including a requirement that the option exercise price be no less than the fair market value of the option shares on the date of grant. The 2013 Plan provides that the exercise price for non-qualified options will not be less than at least 50% of the fair market value of the stock subject to such option as of the date of grant of such options, as determined by the Company’s Board of Directors.</w:t>
      </w:r>
    </w:p>
    <w:p>
      <w:pPr>
        <w:spacing w:after="0" w:line="167" w:lineRule="exact"/>
        <w:rPr>
          <w:sz w:val="20"/>
          <w:szCs w:val="20"/>
          <w:color w:val="auto"/>
        </w:rPr>
      </w:pPr>
    </w:p>
    <w:p>
      <w:pPr>
        <w:jc w:val="both"/>
        <w:ind w:right="279"/>
        <w:spacing w:after="0" w:line="251" w:lineRule="auto"/>
        <w:rPr>
          <w:sz w:val="20"/>
          <w:szCs w:val="20"/>
          <w:color w:val="auto"/>
        </w:rPr>
      </w:pPr>
      <w:r>
        <w:rPr>
          <w:rFonts w:ascii="Arial" w:cs="Arial" w:eastAsia="Arial" w:hAnsi="Arial"/>
          <w:sz w:val="19"/>
          <w:szCs w:val="19"/>
          <w:color w:val="auto"/>
        </w:rPr>
        <w:t>The 2013 Plan also provides that if the shares of common stock shall be subdivided or combined into a greater or smaller number of shares or if the Company shall issue any shares of common stock as a stock dividend on its outstanding common stock, the number of shares of common stock deliverable upon the exercise of options shall be increased or decreased proportionately, an appropriate adjustments shall be made in the purchase prices to reflect such subdivision, combination or stock dividend. In addition, the number of shares of common stock reserved for purposes of the plan shall be adjusted by the same proportion. No options may be exercised for a term of more than ten years from the date of grant.</w:t>
      </w:r>
    </w:p>
    <w:p>
      <w:pPr>
        <w:spacing w:after="0" w:line="194" w:lineRule="exact"/>
        <w:rPr>
          <w:sz w:val="20"/>
          <w:szCs w:val="20"/>
          <w:color w:val="auto"/>
        </w:rPr>
      </w:pPr>
    </w:p>
    <w:p>
      <w:pPr>
        <w:jc w:val="both"/>
        <w:ind w:right="279"/>
        <w:spacing w:after="0" w:line="266" w:lineRule="auto"/>
        <w:rPr>
          <w:sz w:val="20"/>
          <w:szCs w:val="20"/>
          <w:color w:val="auto"/>
        </w:rPr>
      </w:pPr>
      <w:r>
        <w:rPr>
          <w:rFonts w:ascii="Arial" w:cs="Arial" w:eastAsia="Arial" w:hAnsi="Arial"/>
          <w:sz w:val="18"/>
          <w:szCs w:val="18"/>
          <w:color w:val="auto"/>
        </w:rPr>
        <w:t>On December 4, 2015, the Board of Directors approved a resolution to amend the Company’s 2013 Stock Option Plan to include additional equity incentive awards. These additional incentive awards in the plan consist of Stock Appreciation Rights (SARs), Restricted Stock Units (RSUs) and Performance Share Awards. Stock Appreciation Rights are awards that entitle the recipient to receive cash or stock equal to the excess of the Company’s stock price on the date the SAR is exercised. Restricted Stock Units entitle the recipient to receive RSUs that require the Company on the distribution dates to transfer to the recipient one unrestricted, fully transferable share of stock for each RSU scheduled to be paid out on that date. Performance Share Awards entitle the recipient to receive stock based on the Company meeting certain performance goals.</w:t>
      </w:r>
    </w:p>
    <w:p>
      <w:pPr>
        <w:spacing w:after="0" w:line="183" w:lineRule="exact"/>
        <w:rPr>
          <w:sz w:val="20"/>
          <w:szCs w:val="20"/>
          <w:color w:val="auto"/>
        </w:rPr>
      </w:pPr>
    </w:p>
    <w:p>
      <w:pPr>
        <w:jc w:val="both"/>
        <w:ind w:right="299"/>
        <w:spacing w:after="0" w:line="261" w:lineRule="auto"/>
        <w:rPr>
          <w:sz w:val="20"/>
          <w:szCs w:val="20"/>
          <w:color w:val="auto"/>
        </w:rPr>
      </w:pPr>
      <w:r>
        <w:rPr>
          <w:rFonts w:ascii="Arial" w:cs="Arial" w:eastAsia="Arial" w:hAnsi="Arial"/>
          <w:sz w:val="19"/>
          <w:szCs w:val="19"/>
          <w:color w:val="auto"/>
        </w:rPr>
        <w:t>The 2013 Plan has a term of ten years. The Board of Directors may amend or terminate the 2013 Plan at any time, from time to time, subject to approval of certain modifications to the 2013 Plan by the stockholders of the Company as may be required by law or the 2013 Plan.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2014 Director Stock Option Plan</w:t>
      </w:r>
    </w:p>
    <w:p>
      <w:pPr>
        <w:spacing w:after="0" w:line="236" w:lineRule="exact"/>
        <w:rPr>
          <w:sz w:val="20"/>
          <w:szCs w:val="20"/>
          <w:color w:val="auto"/>
        </w:rPr>
      </w:pPr>
    </w:p>
    <w:p>
      <w:pPr>
        <w:jc w:val="both"/>
        <w:ind w:right="279"/>
        <w:spacing w:after="0" w:line="251" w:lineRule="auto"/>
        <w:rPr>
          <w:sz w:val="20"/>
          <w:szCs w:val="20"/>
          <w:color w:val="auto"/>
        </w:rPr>
      </w:pPr>
      <w:r>
        <w:rPr>
          <w:rFonts w:ascii="Arial" w:cs="Arial" w:eastAsia="Arial" w:hAnsi="Arial"/>
          <w:sz w:val="19"/>
          <w:szCs w:val="19"/>
          <w:color w:val="auto"/>
        </w:rPr>
        <w:t>On May 16, 2014, the Company adopted the 2014 Director Stock Option Plan (the “2014 Director Plan”). The 2014 Director Plan provides for the grant by the Company of options to purchase up to an aggregate of 150,000 shares of Class A common stock for issuance there under. The 2014 Director Plan provides that each member of the Company’s Board of Directors who is not an employee or paid consultant of the Company is automatically eligible to receive options to purchase the Company’s Class A common stock under the plan. The 2014 Director Plan replaces the Company’s 2006 Director Plan, which was terminated on July 2, 2014. On June 26, 2020, the stockholders approved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18" w:right="1440" w:bottom="1440" w:gutter="0" w:footer="0" w:header="0"/>
        </w:sectPr>
      </w:pPr>
    </w:p>
    <w:bookmarkStart w:id="129" w:name="page130"/>
    <w:bookmarkEnd w:id="129"/>
    <w:p>
      <w:pPr>
        <w:jc w:val="both"/>
        <w:ind w:right="279"/>
        <w:spacing w:after="0" w:line="278" w:lineRule="auto"/>
        <w:rPr>
          <w:sz w:val="20"/>
          <w:szCs w:val="20"/>
          <w:color w:val="auto"/>
        </w:rPr>
      </w:pPr>
      <w:r>
        <w:rPr>
          <w:rFonts w:ascii="Arial" w:cs="Arial" w:eastAsia="Arial" w:hAnsi="Arial"/>
          <w:sz w:val="19"/>
          <w:szCs w:val="19"/>
          <w:color w:val="auto"/>
        </w:rPr>
        <w:t>an amendment to the 2014 Director Plan to authorize an additional 100,000 shares of Class A common stock under the Plan.</w:t>
      </w:r>
    </w:p>
    <w:p>
      <w:pPr>
        <w:spacing w:after="0" w:line="168" w:lineRule="exact"/>
        <w:rPr>
          <w:sz w:val="20"/>
          <w:szCs w:val="20"/>
          <w:color w:val="auto"/>
        </w:rPr>
      </w:pPr>
    </w:p>
    <w:p>
      <w:pPr>
        <w:jc w:val="both"/>
        <w:ind w:right="279"/>
        <w:spacing w:after="0" w:line="265" w:lineRule="auto"/>
        <w:rPr>
          <w:sz w:val="20"/>
          <w:szCs w:val="20"/>
          <w:color w:val="auto"/>
        </w:rPr>
      </w:pPr>
      <w:r>
        <w:rPr>
          <w:rFonts w:ascii="Arial" w:cs="Arial" w:eastAsia="Arial" w:hAnsi="Arial"/>
          <w:sz w:val="18"/>
          <w:szCs w:val="18"/>
          <w:color w:val="auto"/>
        </w:rPr>
        <w:t>In addition, the 2014 Director Plan provides that beginning on December 7, 2014, and on each anniversary date thereof during the term plan, each outside director shall automatically receive an option to purchase 1,000 shares of Class A common stock. Also, each new outside director who joins the Board after the effective date shall be granted an option to purchase 1,000 shares of Class A common stock upon the date which such person first becomes an outside director and an annual grant of an option to purchase 1,000 shares of Class A common stock on each anniversary date thereof during the term of the 2014 Director Plan. The options granted to outside directors shall vest in four equal quarterly installments over a one year period from the date of grant, until such shares are fully vested. The primary purposes of the 2014 Director Plan are to enhance the Company’s ability to attract and retain well-qualified persons for service as directors and to provide incentives to such directors to continue their association with the Company.</w:t>
      </w:r>
    </w:p>
    <w:p>
      <w:pPr>
        <w:spacing w:after="0" w:line="181" w:lineRule="exact"/>
        <w:rPr>
          <w:sz w:val="20"/>
          <w:szCs w:val="20"/>
          <w:color w:val="auto"/>
        </w:rPr>
      </w:pPr>
    </w:p>
    <w:p>
      <w:pPr>
        <w:jc w:val="both"/>
        <w:ind w:right="279"/>
        <w:spacing w:after="0" w:line="252" w:lineRule="auto"/>
        <w:rPr>
          <w:sz w:val="20"/>
          <w:szCs w:val="20"/>
          <w:color w:val="auto"/>
        </w:rPr>
      </w:pPr>
      <w:r>
        <w:rPr>
          <w:rFonts w:ascii="Arial" w:cs="Arial" w:eastAsia="Arial" w:hAnsi="Arial"/>
          <w:sz w:val="19"/>
          <w:szCs w:val="19"/>
          <w:color w:val="auto"/>
        </w:rPr>
        <w:t>In the event of a merger of the Company with or into another company, or a consolidation, acquisition of stock or assets or other change in control transaction involving the Company, each option granted under the 2014 Director Plan becomes exercisable in full, unless such option is assumed by the successor corporation. In the event the transaction is not approved by a majority of the “Continuing Directors” (as defined in the 2014 Director Plan), each option becomes fully vested and exercisable in full immediately prior to the consummation of such transaction, whether or not assumed by the successor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Purchase Plan</w:t>
      </w:r>
    </w:p>
    <w:p>
      <w:pPr>
        <w:spacing w:after="0" w:line="236" w:lineRule="exact"/>
        <w:rPr>
          <w:sz w:val="20"/>
          <w:szCs w:val="20"/>
          <w:color w:val="auto"/>
        </w:rPr>
      </w:pPr>
    </w:p>
    <w:p>
      <w:pPr>
        <w:jc w:val="both"/>
        <w:ind w:right="279"/>
        <w:spacing w:after="0" w:line="266" w:lineRule="auto"/>
        <w:rPr>
          <w:sz w:val="20"/>
          <w:szCs w:val="20"/>
          <w:color w:val="auto"/>
        </w:rPr>
      </w:pPr>
      <w:r>
        <w:rPr>
          <w:rFonts w:ascii="Arial" w:cs="Arial" w:eastAsia="Arial" w:hAnsi="Arial"/>
          <w:sz w:val="18"/>
          <w:szCs w:val="18"/>
          <w:color w:val="auto"/>
        </w:rPr>
        <w:t>On September 11, 2015, the Board approved the Security National Financial Corporation Stock Purchase Plan for the mutual benefit of the Company and its stockholders. Under the terms of the Plan, the Company has the option to purchase shares of Class A common stock from its officers and directors who exercise the stock options granted to them under any of the Company’s stock option plans with the proceeds from such purchase to be used to pay the taxes owed by such officers and directors as a result of the exercise of their stock options. Additionally, the officers and directors who exercise their stock options may, in their discretion, request that the Company purchase shares of their Class A common stock with the proceeds from such sale to be used to pay the taxes owed by such officers and directors as a result of the exercise of their stock options.</w:t>
      </w:r>
    </w:p>
    <w:p>
      <w:pPr>
        <w:spacing w:after="0" w:line="183" w:lineRule="exact"/>
        <w:rPr>
          <w:sz w:val="20"/>
          <w:szCs w:val="20"/>
          <w:color w:val="auto"/>
        </w:rPr>
      </w:pPr>
    </w:p>
    <w:p>
      <w:pPr>
        <w:jc w:val="both"/>
        <w:ind w:right="279"/>
        <w:spacing w:after="0" w:line="250" w:lineRule="auto"/>
        <w:rPr>
          <w:sz w:val="20"/>
          <w:szCs w:val="20"/>
          <w:color w:val="auto"/>
        </w:rPr>
      </w:pPr>
      <w:r>
        <w:rPr>
          <w:rFonts w:ascii="Arial" w:cs="Arial" w:eastAsia="Arial" w:hAnsi="Arial"/>
          <w:sz w:val="19"/>
          <w:szCs w:val="19"/>
          <w:color w:val="auto"/>
        </w:rPr>
        <w:t>The Company is authorized under the plan to purchase no more than 60,000 shares of Class A common stock in any calendar year to pay the taxes owed by the officers and directors who exercise their stock options under the Stock Purchase Plan. The Company’s purchase price for the Class A common stock under the Stock Purchase Plan shall be equal to the closing sales price of the Company’s Class A common stock as reported by The Nasdaq National Market on the day that the applicable stock options are exercised by such officers and directors. The Company may only purchase shares of Class A common stock from the officers and directors exercising their stock options under the Stock Purchase Plan during the “Trading Window” as defined in the Company’s Insider Trading Policy and Guidelines.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Compliance with Section 16(a) of the Securities Exchange Act of 1934</w:t>
      </w:r>
    </w:p>
    <w:p>
      <w:pPr>
        <w:spacing w:after="0" w:line="236"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Section 16(a) of the Securities Exchange Act of 1934, as amended, requires the Company’s executive officers, directors and persons who own more than 10% of a registered class of the Company’s equity securities to file reports of ownership and periodic changes in ownership of the Company’s Class A and Class C common stock with the Securities and Exchange Commission. Such persons are also required to furnish the Company with copies of all Section 16(a) reports they file.</w:t>
      </w:r>
    </w:p>
    <w:p>
      <w:pPr>
        <w:spacing w:after="0" w:line="194" w:lineRule="exact"/>
        <w:rPr>
          <w:sz w:val="20"/>
          <w:szCs w:val="20"/>
          <w:color w:val="auto"/>
        </w:rPr>
      </w:pPr>
    </w:p>
    <w:p>
      <w:pPr>
        <w:jc w:val="both"/>
        <w:ind w:right="279"/>
        <w:spacing w:after="0" w:line="275" w:lineRule="auto"/>
        <w:rPr>
          <w:sz w:val="20"/>
          <w:szCs w:val="20"/>
          <w:color w:val="auto"/>
        </w:rPr>
      </w:pPr>
      <w:r>
        <w:rPr>
          <w:rFonts w:ascii="Arial" w:cs="Arial" w:eastAsia="Arial" w:hAnsi="Arial"/>
          <w:sz w:val="18"/>
          <w:szCs w:val="18"/>
          <w:color w:val="auto"/>
        </w:rPr>
        <w:t>Based solely on its review of the copies of stock reports received by the Company with respect to fiscal 2020, or written representations from certain reporting persons, the Company believes that its directors, executive officers and greater than 10% beneficial owners complied with all Section 16(a) filing requirements applicable to them, except the timely filing of Form 4 reports disclosing the granting and exercise of stock options.</w:t>
      </w: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130" w:name="page131"/>
    <w:bookmarkEnd w:id="130"/>
    <w:p>
      <w:pPr>
        <w:jc w:val="both"/>
        <w:ind w:left="5" w:right="299"/>
        <w:spacing w:after="0" w:line="282" w:lineRule="auto"/>
        <w:rPr>
          <w:sz w:val="20"/>
          <w:szCs w:val="20"/>
          <w:color w:val="auto"/>
        </w:rPr>
      </w:pPr>
      <w:r>
        <w:rPr>
          <w:rFonts w:ascii="Arial" w:cs="Arial" w:eastAsia="Arial" w:hAnsi="Arial"/>
          <w:sz w:val="19"/>
          <w:szCs w:val="19"/>
          <w:b w:val="1"/>
          <w:bCs w:val="1"/>
          <w:color w:val="auto"/>
        </w:rPr>
        <w:t>Item 12 - Security Ownership of Certain Beneficial Owners and Management and Related Stockholder Matters</w:t>
      </w:r>
    </w:p>
    <w:p>
      <w:pPr>
        <w:spacing w:after="0" w:line="164" w:lineRule="exact"/>
        <w:rPr>
          <w:sz w:val="20"/>
          <w:szCs w:val="20"/>
          <w:color w:val="auto"/>
        </w:rPr>
      </w:pPr>
    </w:p>
    <w:p>
      <w:pPr>
        <w:jc w:val="both"/>
        <w:ind w:left="5" w:right="299"/>
        <w:spacing w:after="0" w:line="256" w:lineRule="auto"/>
        <w:rPr>
          <w:sz w:val="20"/>
          <w:szCs w:val="20"/>
          <w:color w:val="auto"/>
        </w:rPr>
      </w:pPr>
      <w:r>
        <w:rPr>
          <w:rFonts w:ascii="Arial" w:cs="Arial" w:eastAsia="Arial" w:hAnsi="Arial"/>
          <w:sz w:val="19"/>
          <w:szCs w:val="19"/>
          <w:color w:val="auto"/>
        </w:rPr>
        <w:t>The following table sets forth security ownership information of the Company’s Class A and Class C common stock as of March 31, 2021, (i) for persons who own beneficially more than 5% of the Company’s outstanding Class A or Class C common stock, (ii) for each director of the Company, and (iii) for all executive officers and directors of the Company as a group.</w:t>
      </w:r>
    </w:p>
    <w:p>
      <w:pPr>
        <w:spacing w:after="0" w:line="220"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26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Class A</w:t>
            </w:r>
          </w:p>
        </w:tc>
        <w:tc>
          <w:tcPr>
            <w:tcW w:w="8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Class C</w:t>
            </w:r>
          </w:p>
        </w:tc>
        <w:tc>
          <w:tcPr>
            <w:tcW w:w="840" w:type="dxa"/>
            <w:vAlign w:val="bottom"/>
          </w:tcPr>
          <w:p>
            <w:pPr>
              <w:spacing w:after="0"/>
              <w:rPr>
                <w:sz w:val="18"/>
                <w:szCs w:val="18"/>
                <w:color w:val="auto"/>
              </w:rPr>
            </w:pPr>
          </w:p>
        </w:tc>
        <w:tc>
          <w:tcPr>
            <w:tcW w:w="2000" w:type="dxa"/>
            <w:vAlign w:val="bottom"/>
            <w:gridSpan w:val="2"/>
          </w:tcPr>
          <w:p>
            <w:pPr>
              <w:jc w:val="right"/>
              <w:ind w:right="221"/>
              <w:spacing w:after="0"/>
              <w:rPr>
                <w:sz w:val="20"/>
                <w:szCs w:val="20"/>
                <w:color w:val="auto"/>
              </w:rPr>
            </w:pPr>
            <w:r>
              <w:rPr>
                <w:rFonts w:ascii="Arial" w:cs="Arial" w:eastAsia="Arial" w:hAnsi="Arial"/>
                <w:sz w:val="18"/>
                <w:szCs w:val="18"/>
                <w:color w:val="auto"/>
              </w:rPr>
              <w:t>Class A and Class C</w:t>
            </w:r>
          </w:p>
        </w:tc>
      </w:tr>
      <w:tr>
        <w:trPr>
          <w:trHeight w:val="230"/>
        </w:trPr>
        <w:tc>
          <w:tcPr>
            <w:tcW w:w="2680" w:type="dxa"/>
            <w:vAlign w:val="bottom"/>
          </w:tcPr>
          <w:p>
            <w:pPr>
              <w:spacing w:after="0"/>
              <w:rPr>
                <w:sz w:val="19"/>
                <w:szCs w:val="19"/>
                <w:color w:val="auto"/>
              </w:rPr>
            </w:pPr>
          </w:p>
        </w:tc>
        <w:tc>
          <w:tcPr>
            <w:tcW w:w="214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8"/>
                <w:szCs w:val="18"/>
                <w:color w:val="auto"/>
              </w:rPr>
              <w:t>Common Stock</w:t>
            </w:r>
          </w:p>
        </w:tc>
        <w:tc>
          <w:tcPr>
            <w:tcW w:w="206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8"/>
                <w:szCs w:val="18"/>
                <w:color w:val="auto"/>
              </w:rPr>
              <w:t>Common Stock</w:t>
            </w:r>
          </w:p>
        </w:tc>
        <w:tc>
          <w:tcPr>
            <w:tcW w:w="200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8"/>
                <w:szCs w:val="18"/>
                <w:color w:val="auto"/>
              </w:rPr>
              <w:t>Common Stock</w:t>
            </w:r>
          </w:p>
        </w:tc>
      </w:tr>
      <w:tr>
        <w:trPr>
          <w:trHeight w:val="201"/>
        </w:trPr>
        <w:tc>
          <w:tcPr>
            <w:tcW w:w="2680" w:type="dxa"/>
            <w:vAlign w:val="bottom"/>
          </w:tcPr>
          <w:p>
            <w:pPr>
              <w:spacing w:after="0"/>
              <w:rPr>
                <w:sz w:val="17"/>
                <w:szCs w:val="17"/>
                <w:color w:val="auto"/>
              </w:rPr>
            </w:pPr>
          </w:p>
        </w:tc>
        <w:tc>
          <w:tcPr>
            <w:tcW w:w="1300" w:type="dxa"/>
            <w:vAlign w:val="bottom"/>
          </w:tcPr>
          <w:p>
            <w:pPr>
              <w:jc w:val="center"/>
              <w:ind w:right="180"/>
              <w:spacing w:after="0"/>
              <w:rPr>
                <w:sz w:val="20"/>
                <w:szCs w:val="20"/>
                <w:color w:val="auto"/>
              </w:rPr>
            </w:pPr>
            <w:r>
              <w:rPr>
                <w:rFonts w:ascii="Arial" w:cs="Arial" w:eastAsia="Arial" w:hAnsi="Arial"/>
                <w:sz w:val="16"/>
                <w:szCs w:val="16"/>
                <w:color w:val="auto"/>
                <w:w w:val="94"/>
              </w:rPr>
              <w:t>Amount</w:t>
            </w:r>
          </w:p>
        </w:tc>
        <w:tc>
          <w:tcPr>
            <w:tcW w:w="840" w:type="dxa"/>
            <w:vAlign w:val="bottom"/>
          </w:tcPr>
          <w:p>
            <w:pPr>
              <w:spacing w:after="0"/>
              <w:rPr>
                <w:sz w:val="17"/>
                <w:szCs w:val="17"/>
                <w:color w:val="auto"/>
              </w:rPr>
            </w:pPr>
          </w:p>
        </w:tc>
        <w:tc>
          <w:tcPr>
            <w:tcW w:w="1220" w:type="dxa"/>
            <w:vAlign w:val="bottom"/>
          </w:tcPr>
          <w:p>
            <w:pPr>
              <w:jc w:val="center"/>
              <w:ind w:right="220"/>
              <w:spacing w:after="0"/>
              <w:rPr>
                <w:sz w:val="20"/>
                <w:szCs w:val="20"/>
                <w:color w:val="auto"/>
              </w:rPr>
            </w:pPr>
            <w:r>
              <w:rPr>
                <w:rFonts w:ascii="Arial" w:cs="Arial" w:eastAsia="Arial" w:hAnsi="Arial"/>
                <w:sz w:val="16"/>
                <w:szCs w:val="16"/>
                <w:color w:val="auto"/>
                <w:w w:val="94"/>
              </w:rPr>
              <w:t>Amount</w:t>
            </w:r>
          </w:p>
        </w:tc>
        <w:tc>
          <w:tcPr>
            <w:tcW w:w="840" w:type="dxa"/>
            <w:vAlign w:val="bottom"/>
          </w:tcPr>
          <w:p>
            <w:pPr>
              <w:spacing w:after="0"/>
              <w:rPr>
                <w:sz w:val="17"/>
                <w:szCs w:val="17"/>
                <w:color w:val="auto"/>
              </w:rPr>
            </w:pPr>
          </w:p>
        </w:tc>
        <w:tc>
          <w:tcPr>
            <w:tcW w:w="1100" w:type="dxa"/>
            <w:vAlign w:val="bottom"/>
          </w:tcPr>
          <w:p>
            <w:pPr>
              <w:jc w:val="center"/>
              <w:ind w:right="100"/>
              <w:spacing w:after="0"/>
              <w:rPr>
                <w:sz w:val="20"/>
                <w:szCs w:val="20"/>
                <w:color w:val="auto"/>
              </w:rPr>
            </w:pPr>
            <w:r>
              <w:rPr>
                <w:rFonts w:ascii="Arial" w:cs="Arial" w:eastAsia="Arial" w:hAnsi="Arial"/>
                <w:sz w:val="16"/>
                <w:szCs w:val="16"/>
                <w:color w:val="auto"/>
                <w:w w:val="94"/>
              </w:rPr>
              <w:t>Amount</w:t>
            </w:r>
          </w:p>
        </w:tc>
        <w:tc>
          <w:tcPr>
            <w:tcW w:w="900" w:type="dxa"/>
            <w:vAlign w:val="bottom"/>
          </w:tcPr>
          <w:p>
            <w:pPr>
              <w:spacing w:after="0"/>
              <w:rPr>
                <w:sz w:val="17"/>
                <w:szCs w:val="17"/>
                <w:color w:val="auto"/>
              </w:rPr>
            </w:pPr>
          </w:p>
        </w:tc>
      </w:tr>
      <w:tr>
        <w:trPr>
          <w:trHeight w:val="198"/>
        </w:trPr>
        <w:tc>
          <w:tcPr>
            <w:tcW w:w="2680" w:type="dxa"/>
            <w:vAlign w:val="bottom"/>
          </w:tcPr>
          <w:p>
            <w:pPr>
              <w:spacing w:after="0"/>
              <w:rPr>
                <w:sz w:val="17"/>
                <w:szCs w:val="17"/>
                <w:color w:val="auto"/>
              </w:rPr>
            </w:pPr>
          </w:p>
        </w:tc>
        <w:tc>
          <w:tcPr>
            <w:tcW w:w="1300" w:type="dxa"/>
            <w:vAlign w:val="bottom"/>
          </w:tcPr>
          <w:p>
            <w:pPr>
              <w:jc w:val="center"/>
              <w:ind w:right="200"/>
              <w:spacing w:after="0"/>
              <w:rPr>
                <w:sz w:val="20"/>
                <w:szCs w:val="20"/>
                <w:color w:val="auto"/>
              </w:rPr>
            </w:pPr>
            <w:r>
              <w:rPr>
                <w:rFonts w:ascii="Arial" w:cs="Arial" w:eastAsia="Arial" w:hAnsi="Arial"/>
                <w:sz w:val="16"/>
                <w:szCs w:val="16"/>
                <w:color w:val="auto"/>
                <w:w w:val="96"/>
              </w:rPr>
              <w:t>Beneficially</w:t>
            </w:r>
          </w:p>
        </w:tc>
        <w:tc>
          <w:tcPr>
            <w:tcW w:w="840" w:type="dxa"/>
            <w:vAlign w:val="bottom"/>
          </w:tcPr>
          <w:p>
            <w:pPr>
              <w:spacing w:after="0"/>
              <w:rPr>
                <w:sz w:val="20"/>
                <w:szCs w:val="20"/>
                <w:color w:val="auto"/>
              </w:rPr>
            </w:pPr>
            <w:r>
              <w:rPr>
                <w:rFonts w:ascii="Arial" w:cs="Arial" w:eastAsia="Arial" w:hAnsi="Arial"/>
                <w:sz w:val="16"/>
                <w:szCs w:val="16"/>
                <w:color w:val="auto"/>
              </w:rPr>
              <w:t>Percent</w:t>
            </w:r>
          </w:p>
        </w:tc>
        <w:tc>
          <w:tcPr>
            <w:tcW w:w="1220" w:type="dxa"/>
            <w:vAlign w:val="bottom"/>
          </w:tcPr>
          <w:p>
            <w:pPr>
              <w:jc w:val="center"/>
              <w:ind w:right="220"/>
              <w:spacing w:after="0"/>
              <w:rPr>
                <w:sz w:val="20"/>
                <w:szCs w:val="20"/>
                <w:color w:val="auto"/>
              </w:rPr>
            </w:pPr>
            <w:r>
              <w:rPr>
                <w:rFonts w:ascii="Arial" w:cs="Arial" w:eastAsia="Arial" w:hAnsi="Arial"/>
                <w:sz w:val="16"/>
                <w:szCs w:val="16"/>
                <w:color w:val="auto"/>
                <w:w w:val="93"/>
              </w:rPr>
              <w:t>Beneficially</w:t>
            </w:r>
          </w:p>
        </w:tc>
        <w:tc>
          <w:tcPr>
            <w:tcW w:w="840" w:type="dxa"/>
            <w:vAlign w:val="bottom"/>
          </w:tcPr>
          <w:p>
            <w:pPr>
              <w:ind w:left="20"/>
              <w:spacing w:after="0"/>
              <w:rPr>
                <w:sz w:val="20"/>
                <w:szCs w:val="20"/>
                <w:color w:val="auto"/>
              </w:rPr>
            </w:pPr>
            <w:r>
              <w:rPr>
                <w:rFonts w:ascii="Arial" w:cs="Arial" w:eastAsia="Arial" w:hAnsi="Arial"/>
                <w:sz w:val="16"/>
                <w:szCs w:val="16"/>
                <w:color w:val="auto"/>
              </w:rPr>
              <w:t>Percent</w:t>
            </w:r>
          </w:p>
        </w:tc>
        <w:tc>
          <w:tcPr>
            <w:tcW w:w="1100" w:type="dxa"/>
            <w:vAlign w:val="bottom"/>
          </w:tcPr>
          <w:p>
            <w:pPr>
              <w:jc w:val="center"/>
              <w:ind w:right="100"/>
              <w:spacing w:after="0"/>
              <w:rPr>
                <w:sz w:val="20"/>
                <w:szCs w:val="20"/>
                <w:color w:val="auto"/>
              </w:rPr>
            </w:pPr>
            <w:r>
              <w:rPr>
                <w:rFonts w:ascii="Arial" w:cs="Arial" w:eastAsia="Arial" w:hAnsi="Arial"/>
                <w:sz w:val="16"/>
                <w:szCs w:val="16"/>
                <w:color w:val="auto"/>
                <w:w w:val="93"/>
              </w:rPr>
              <w:t>Beneficially</w:t>
            </w:r>
          </w:p>
        </w:tc>
        <w:tc>
          <w:tcPr>
            <w:tcW w:w="900" w:type="dxa"/>
            <w:vAlign w:val="bottom"/>
          </w:tcPr>
          <w:p>
            <w:pPr>
              <w:ind w:left="140"/>
              <w:spacing w:after="0"/>
              <w:rPr>
                <w:sz w:val="20"/>
                <w:szCs w:val="20"/>
                <w:color w:val="auto"/>
              </w:rPr>
            </w:pPr>
            <w:r>
              <w:rPr>
                <w:rFonts w:ascii="Arial" w:cs="Arial" w:eastAsia="Arial" w:hAnsi="Arial"/>
                <w:sz w:val="16"/>
                <w:szCs w:val="16"/>
                <w:color w:val="auto"/>
              </w:rPr>
              <w:t>Percent</w:t>
            </w:r>
          </w:p>
        </w:tc>
      </w:tr>
      <w:tr>
        <w:trPr>
          <w:trHeight w:val="214"/>
        </w:trPr>
        <w:tc>
          <w:tcPr>
            <w:tcW w:w="2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Name and Address </w:t>
            </w:r>
            <w:r>
              <w:rPr>
                <w:rFonts w:ascii="Arial" w:cs="Arial" w:eastAsia="Arial" w:hAnsi="Arial"/>
                <w:sz w:val="14"/>
                <w:szCs w:val="14"/>
                <w:color w:val="auto"/>
              </w:rPr>
              <w:t>(1)</w:t>
            </w:r>
          </w:p>
        </w:tc>
        <w:tc>
          <w:tcPr>
            <w:tcW w:w="1300" w:type="dxa"/>
            <w:vAlign w:val="bottom"/>
            <w:tcBorders>
              <w:bottom w:val="single" w:sz="8" w:color="auto"/>
            </w:tcBorders>
          </w:tcPr>
          <w:p>
            <w:pPr>
              <w:jc w:val="center"/>
              <w:ind w:right="200"/>
              <w:spacing w:after="0"/>
              <w:rPr>
                <w:sz w:val="20"/>
                <w:szCs w:val="20"/>
                <w:color w:val="auto"/>
              </w:rPr>
            </w:pPr>
            <w:r>
              <w:rPr>
                <w:rFonts w:ascii="Arial" w:cs="Arial" w:eastAsia="Arial" w:hAnsi="Arial"/>
                <w:sz w:val="16"/>
                <w:szCs w:val="16"/>
                <w:color w:val="auto"/>
                <w:w w:val="90"/>
              </w:rPr>
              <w:t>Owned</w:t>
            </w: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of Class</w:t>
            </w:r>
          </w:p>
        </w:tc>
        <w:tc>
          <w:tcPr>
            <w:tcW w:w="122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color w:val="auto"/>
                <w:w w:val="90"/>
              </w:rPr>
              <w:t>Owned</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 Class</w:t>
            </w: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color w:val="auto"/>
                <w:w w:val="86"/>
              </w:rPr>
              <w:t>Owned</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of Class</w:t>
            </w:r>
          </w:p>
        </w:tc>
      </w:tr>
      <w:tr>
        <w:trPr>
          <w:trHeight w:val="22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401(k) Retirement Savings Plan </w:t>
            </w:r>
            <w:r>
              <w:rPr>
                <w:rFonts w:ascii="Arial" w:cs="Arial" w:eastAsia="Arial" w:hAnsi="Arial"/>
                <w:sz w:val="14"/>
                <w:szCs w:val="14"/>
                <w:color w:val="auto"/>
              </w:rPr>
              <w:t>(2)</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2,553,413</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212,058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2,765,471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1"/>
        </w:trPr>
        <w:tc>
          <w:tcPr>
            <w:tcW w:w="2680" w:type="dxa"/>
            <w:vAlign w:val="bottom"/>
          </w:tcPr>
          <w:p>
            <w:pPr>
              <w:spacing w:after="0"/>
              <w:rPr>
                <w:sz w:val="20"/>
                <w:szCs w:val="20"/>
                <w:color w:val="auto"/>
              </w:rPr>
            </w:pPr>
            <w:r>
              <w:rPr>
                <w:rFonts w:ascii="Arial" w:cs="Arial" w:eastAsia="Arial" w:hAnsi="Arial"/>
                <w:sz w:val="16"/>
                <w:szCs w:val="16"/>
                <w:color w:val="auto"/>
                <w:w w:val="96"/>
              </w:rPr>
              <w:t>Scott M. and Lisa J. Quist Family Trust</w:t>
            </w: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1"/>
        </w:trPr>
        <w:tc>
          <w:tcPr>
            <w:tcW w:w="2680" w:type="dxa"/>
            <w:vAlign w:val="bottom"/>
          </w:tcPr>
          <w:p>
            <w:pPr>
              <w:spacing w:after="0"/>
              <w:rPr>
                <w:sz w:val="20"/>
                <w:szCs w:val="20"/>
                <w:color w:val="auto"/>
              </w:rPr>
            </w:pPr>
            <w:r>
              <w:rPr>
                <w:rFonts w:ascii="Arial" w:cs="Arial" w:eastAsia="Arial" w:hAnsi="Arial"/>
                <w:sz w:val="16"/>
                <w:szCs w:val="16"/>
                <w:color w:val="auto"/>
              </w:rPr>
              <w:t>(3)</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423,477</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1,467,026</w:t>
            </w:r>
          </w:p>
        </w:tc>
        <w:tc>
          <w:tcPr>
            <w:tcW w:w="840" w:type="dxa"/>
            <w:vAlign w:val="bottom"/>
          </w:tcPr>
          <w:p>
            <w:pPr>
              <w:jc w:val="right"/>
              <w:spacing w:after="0"/>
              <w:rPr>
                <w:sz w:val="20"/>
                <w:szCs w:val="20"/>
                <w:color w:val="auto"/>
              </w:rPr>
            </w:pPr>
            <w:r>
              <w:rPr>
                <w:rFonts w:ascii="Arial" w:cs="Arial" w:eastAsia="Arial" w:hAnsi="Arial"/>
                <w:sz w:val="16"/>
                <w:szCs w:val="16"/>
                <w:color w:val="auto"/>
              </w:rPr>
              <w:t>55.9%</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1,890,503</w:t>
            </w: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George R. and Shirley C. Quist</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Partnership, Ltd. (4)</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1,068,883</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746,559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1,815,442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M3 Funds, LLC (5)</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1,427,060</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8.7%</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1,427,060</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w w:val="97"/>
              </w:rPr>
              <w:t>Non-Qualified Deferred Compensation</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Plan </w:t>
            </w:r>
            <w:r>
              <w:rPr>
                <w:rFonts w:ascii="Arial" w:cs="Arial" w:eastAsia="Arial" w:hAnsi="Arial"/>
                <w:sz w:val="14"/>
                <w:szCs w:val="14"/>
                <w:color w:val="auto"/>
              </w:rPr>
              <w:t>(6)</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1,288,334</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1,288,334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Scott M. Quist </w:t>
            </w:r>
            <w:r>
              <w:rPr>
                <w:rFonts w:ascii="Arial" w:cs="Arial" w:eastAsia="Arial" w:hAnsi="Arial"/>
                <w:sz w:val="14"/>
                <w:szCs w:val="14"/>
                <w:color w:val="auto"/>
              </w:rPr>
              <w:t>(7)(8)(9)(10)(11)(12)</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433,231</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281,602</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714,833</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3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Jason G. Overbaugh </w:t>
            </w:r>
            <w:r>
              <w:rPr>
                <w:rFonts w:ascii="Arial" w:cs="Arial" w:eastAsia="Arial" w:hAnsi="Arial"/>
                <w:sz w:val="14"/>
                <w:szCs w:val="14"/>
                <w:color w:val="auto"/>
              </w:rPr>
              <w:t>(13)</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269,068</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115,022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384,090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S. Andrew Quist (7)</w:t>
            </w:r>
            <w:r>
              <w:rPr>
                <w:rFonts w:ascii="Arial" w:cs="Arial" w:eastAsia="Arial" w:hAnsi="Arial"/>
                <w:sz w:val="14"/>
                <w:szCs w:val="14"/>
                <w:color w:val="auto"/>
              </w:rPr>
              <w:t>(10)(14)</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216,711</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136,034</w:t>
            </w: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352,745</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w w:val="90"/>
              </w:rPr>
              <w:t>Employee Stock Ownership Plan (ESOP)</w:t>
            </w: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1"/>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(15)</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189,053</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73,589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262,642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Associated Investors </w:t>
            </w:r>
            <w:r>
              <w:rPr>
                <w:rFonts w:ascii="Arial" w:cs="Arial" w:eastAsia="Arial" w:hAnsi="Arial"/>
                <w:sz w:val="14"/>
                <w:szCs w:val="14"/>
                <w:color w:val="auto"/>
              </w:rPr>
              <w:t>(16)</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87,214</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136,174</w:t>
            </w: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223,388</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Estate of George R. Quist</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130,895</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83,355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214,250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Garrett S. Sill </w:t>
            </w:r>
            <w:r>
              <w:rPr>
                <w:rFonts w:ascii="Arial" w:cs="Arial" w:eastAsia="Arial" w:hAnsi="Arial"/>
                <w:sz w:val="14"/>
                <w:szCs w:val="14"/>
                <w:color w:val="auto"/>
              </w:rPr>
              <w:t>(9)(11)(17)</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102,064</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92,931</w:t>
            </w: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194,995</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Adam G. Quist (7)(18)</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45,546</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113,944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159,490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Jeffrey R. Stephens </w:t>
            </w:r>
            <w:r>
              <w:rPr>
                <w:rFonts w:ascii="Arial" w:cs="Arial" w:eastAsia="Arial" w:hAnsi="Arial"/>
                <w:sz w:val="14"/>
                <w:szCs w:val="14"/>
                <w:color w:val="auto"/>
              </w:rPr>
              <w:t>(19)</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155,414</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155,414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Stephen C. Johnson (9)(11)(20)</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113,338</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113,338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H. Craig Moody </w:t>
            </w:r>
            <w:r>
              <w:rPr>
                <w:rFonts w:ascii="Arial" w:cs="Arial" w:eastAsia="Arial" w:hAnsi="Arial"/>
                <w:sz w:val="14"/>
                <w:szCs w:val="14"/>
                <w:color w:val="auto"/>
              </w:rPr>
              <w:t>(21)</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84,802</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84,802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Robert G. Hunter, M.D. </w:t>
            </w:r>
            <w:r>
              <w:rPr>
                <w:rFonts w:ascii="Arial" w:cs="Arial" w:eastAsia="Arial" w:hAnsi="Arial"/>
                <w:sz w:val="14"/>
                <w:szCs w:val="14"/>
                <w:color w:val="auto"/>
              </w:rPr>
              <w:t>(10)(22)</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92,560</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92,560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Gilbert A. Fuller </w:t>
            </w:r>
            <w:r>
              <w:rPr>
                <w:rFonts w:ascii="Arial" w:cs="Arial" w:eastAsia="Arial" w:hAnsi="Arial"/>
                <w:sz w:val="14"/>
                <w:szCs w:val="14"/>
                <w:color w:val="auto"/>
              </w:rPr>
              <w:t>(23)</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53,681</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53,681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John L. Cook </w:t>
            </w:r>
            <w:r>
              <w:rPr>
                <w:rFonts w:ascii="Arial" w:cs="Arial" w:eastAsia="Arial" w:hAnsi="Arial"/>
                <w:sz w:val="14"/>
                <w:szCs w:val="14"/>
                <w:color w:val="auto"/>
              </w:rPr>
              <w:t>(24)</w:t>
            </w: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52,572</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52,572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680" w:type="dxa"/>
            <w:vAlign w:val="bottom"/>
          </w:tcPr>
          <w:p>
            <w:pPr>
              <w:spacing w:after="0"/>
              <w:rPr>
                <w:sz w:val="20"/>
                <w:szCs w:val="20"/>
                <w:color w:val="auto"/>
              </w:rPr>
            </w:pPr>
            <w:r>
              <w:rPr>
                <w:rFonts w:ascii="Arial" w:cs="Arial" w:eastAsia="Arial" w:hAnsi="Arial"/>
                <w:sz w:val="16"/>
                <w:szCs w:val="16"/>
                <w:color w:val="auto"/>
              </w:rPr>
              <w:t xml:space="preserve">Norman G. Wilbur </w:t>
            </w:r>
            <w:r>
              <w:rPr>
                <w:rFonts w:ascii="Arial" w:cs="Arial" w:eastAsia="Arial" w:hAnsi="Arial"/>
                <w:sz w:val="14"/>
                <w:szCs w:val="14"/>
                <w:color w:val="auto"/>
              </w:rPr>
              <w:t>(25)</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33,268</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33,268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All directors and executive officers</w:t>
            </w:r>
          </w:p>
        </w:tc>
        <w:tc>
          <w:tcPr>
            <w:tcW w:w="1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04"/>
        </w:trPr>
        <w:tc>
          <w:tcPr>
            <w:tcW w:w="2680" w:type="dxa"/>
            <w:vAlign w:val="bottom"/>
          </w:tcPr>
          <w:p>
            <w:pPr>
              <w:ind w:left="160"/>
              <w:spacing w:after="0"/>
              <w:rPr>
                <w:sz w:val="20"/>
                <w:szCs w:val="20"/>
                <w:color w:val="auto"/>
              </w:rPr>
            </w:pPr>
            <w:r>
              <w:rPr>
                <w:rFonts w:ascii="Arial" w:cs="Arial" w:eastAsia="Arial" w:hAnsi="Arial"/>
                <w:sz w:val="16"/>
                <w:szCs w:val="16"/>
                <w:color w:val="auto"/>
              </w:rPr>
              <w:t>(12 persons)</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1,652,255</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9.5%</w:t>
            </w:r>
          </w:p>
        </w:tc>
        <w:tc>
          <w:tcPr>
            <w:tcW w:w="1220" w:type="dxa"/>
            <w:vAlign w:val="bottom"/>
          </w:tcPr>
          <w:p>
            <w:pPr>
              <w:jc w:val="right"/>
              <w:ind w:right="180"/>
              <w:spacing w:after="0"/>
              <w:rPr>
                <w:sz w:val="20"/>
                <w:szCs w:val="20"/>
                <w:color w:val="auto"/>
              </w:rPr>
            </w:pPr>
            <w:r>
              <w:rPr>
                <w:rFonts w:ascii="Arial" w:cs="Arial" w:eastAsia="Arial" w:hAnsi="Arial"/>
                <w:sz w:val="16"/>
                <w:szCs w:val="16"/>
                <w:color w:val="auto"/>
              </w:rPr>
              <w:t>739,533</w:t>
            </w:r>
          </w:p>
        </w:tc>
        <w:tc>
          <w:tcPr>
            <w:tcW w:w="840" w:type="dxa"/>
            <w:vAlign w:val="bottom"/>
          </w:tcPr>
          <w:p>
            <w:pPr>
              <w:jc w:val="right"/>
              <w:spacing w:after="0"/>
              <w:rPr>
                <w:sz w:val="20"/>
                <w:szCs w:val="20"/>
                <w:color w:val="auto"/>
              </w:rPr>
            </w:pPr>
            <w:r>
              <w:rPr>
                <w:rFonts w:ascii="Arial" w:cs="Arial" w:eastAsia="Arial" w:hAnsi="Arial"/>
                <w:sz w:val="16"/>
                <w:szCs w:val="16"/>
                <w:color w:val="auto"/>
              </w:rPr>
              <w:t>22.5%</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2,391,788</w:t>
            </w:r>
          </w:p>
        </w:tc>
        <w:tc>
          <w:tcPr>
            <w:tcW w:w="90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12058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326" w:lineRule="exact"/>
        <w:rPr>
          <w:sz w:val="20"/>
          <w:szCs w:val="20"/>
          <w:color w:val="auto"/>
        </w:rPr>
      </w:pPr>
    </w:p>
    <w:p>
      <w:pPr>
        <w:ind w:left="5"/>
        <w:spacing w:after="0"/>
        <w:rPr>
          <w:sz w:val="20"/>
          <w:szCs w:val="20"/>
          <w:color w:val="auto"/>
        </w:rPr>
      </w:pPr>
      <w:r>
        <w:rPr>
          <w:rFonts w:ascii="Arial" w:cs="Arial" w:eastAsia="Arial" w:hAnsi="Arial"/>
          <w:sz w:val="19"/>
          <w:szCs w:val="19"/>
          <w:color w:val="auto"/>
        </w:rPr>
        <w:t>* Less than 1%</w:t>
      </w:r>
    </w:p>
    <w:p>
      <w:pPr>
        <w:spacing w:after="0" w:line="124" w:lineRule="exact"/>
        <w:rPr>
          <w:sz w:val="20"/>
          <w:szCs w:val="20"/>
          <w:color w:val="auto"/>
        </w:rPr>
      </w:pPr>
    </w:p>
    <w:p>
      <w:pPr>
        <w:ind w:left="485" w:right="279" w:hanging="485"/>
        <w:spacing w:after="0" w:line="255" w:lineRule="auto"/>
        <w:tabs>
          <w:tab w:leader="none" w:pos="48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Unless otherwise indicated, the address of each listed stockholder is c/o Security National Financial Corporation, 121 West Election Road, Suite 100, Draper, Utah 84020.</w:t>
      </w:r>
    </w:p>
    <w:p>
      <w:pPr>
        <w:ind w:left="485" w:right="299" w:hanging="485"/>
        <w:spacing w:after="0" w:line="275" w:lineRule="auto"/>
        <w:tabs>
          <w:tab w:leader="none" w:pos="48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investment committee of the 401(k) Retirement Savings Plan consists of Scott M. Quist, Stephen C. Johnson and Garrett S. Sill, who exercise shared voting and investment powers with respect to such shares.</w:t>
      </w:r>
    </w:p>
    <w:p>
      <w:pPr>
        <w:jc w:val="both"/>
        <w:ind w:left="485" w:right="299" w:hanging="485"/>
        <w:spacing w:after="0" w:line="246" w:lineRule="auto"/>
        <w:tabs>
          <w:tab w:leader="none" w:pos="48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This stock is owned by the Scott M. and Lisa J. Quist Family Trust, of which S. Andrew Quist, Amanda J. Nelson and Adam G. Quist are the trustees and, accordingly, exercise shared voting and investment powers with respect to such shares.</w:t>
      </w:r>
    </w:p>
    <w:p>
      <w:pPr>
        <w:jc w:val="both"/>
        <w:ind w:left="485" w:right="279" w:hanging="485"/>
        <w:spacing w:after="0" w:line="246" w:lineRule="auto"/>
        <w:tabs>
          <w:tab w:leader="none" w:pos="48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This stock is owned by the George R. and Shirley C. Quist Partnership, Ltd., of which Scott M. Quist is the managing general partner and, accordingly, exercises sole voting and investment powers with respect to such shares.</w:t>
      </w:r>
    </w:p>
    <w:p>
      <w:pPr>
        <w:jc w:val="both"/>
        <w:ind w:left="485" w:right="279" w:hanging="485"/>
        <w:spacing w:after="0" w:line="246" w:lineRule="auto"/>
        <w:tabs>
          <w:tab w:leader="none" w:pos="48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Based solely on the Schedule 13G/A filed on February 12, 2021, Jason A. Stock, Manager of M3 Partners, LP, a Delaware limited partnership, and M3 Funds, LLC, a Delaware limited liability company, General Partner of M3 Partners, LP; Jason A. Stock, Manager of M3 Funds, LLC; Jason A. Stock, Managing Director of M3F, Inc., a Utah corporation; Jason A. Stock, individually, and William C. Waller, individually, exercise shared voting and investment powers with respect to 1,427,060 shares of the Company’s Class A common stock, or 8.7% of the outstanding shares of the Company’s Class A common stock. The address of all entities and individuals filing the Schedule 13G/A is 10 Exchange Place, Suite 510, Salt Lake City, Utah 84111.</w:t>
      </w:r>
    </w:p>
    <w:p>
      <w:pPr>
        <w:spacing w:after="0" w:line="2" w:lineRule="exact"/>
        <w:rPr>
          <w:rFonts w:ascii="Arial" w:cs="Arial" w:eastAsia="Arial" w:hAnsi="Arial"/>
          <w:sz w:val="19"/>
          <w:szCs w:val="19"/>
          <w:color w:val="auto"/>
        </w:rPr>
      </w:pPr>
    </w:p>
    <w:p>
      <w:pPr>
        <w:jc w:val="both"/>
        <w:ind w:left="485" w:right="279" w:hanging="485"/>
        <w:spacing w:after="0" w:line="252" w:lineRule="auto"/>
        <w:tabs>
          <w:tab w:leader="none" w:pos="48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investment committee of the Company’s Non-Qualified Deferred Compensation Plan consists of Scott M. Quist, Stephen C. Johnson, and Garrett S. Sill, who exercise shared voting and investment powers with respect to such shares.</w:t>
      </w:r>
    </w:p>
    <w:p>
      <w:pPr>
        <w:sectPr>
          <w:pgSz w:w="11900" w:h="16838" w:orient="portrait"/>
          <w:cols w:equalWidth="0" w:num="1">
            <w:col w:w="9184"/>
          </w:cols>
          <w:pgMar w:left="1275" w:top="118" w:right="1440" w:bottom="1440" w:gutter="0" w:footer="0" w:header="0"/>
        </w:sectPr>
      </w:pPr>
    </w:p>
    <w:p>
      <w:pPr>
        <w:spacing w:after="0" w:line="223" w:lineRule="exact"/>
        <w:rPr>
          <w:sz w:val="20"/>
          <w:szCs w:val="20"/>
          <w:color w:val="auto"/>
        </w:rPr>
      </w:pPr>
    </w:p>
    <w:p>
      <w:pPr>
        <w:jc w:val="center"/>
        <w:ind w:right="274"/>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5653405" cy="33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84"/>
          </w:cols>
          <w:pgMar w:left="1275" w:top="118" w:right="1440" w:bottom="1440" w:gutter="0" w:footer="0" w:header="0"/>
          <w:type w:val="continuous"/>
        </w:sectPr>
      </w:pPr>
    </w:p>
    <w:bookmarkStart w:id="131" w:name="page132"/>
    <w:bookmarkEnd w:id="131"/>
    <w:p>
      <w:pPr>
        <w:jc w:val="both"/>
        <w:ind w:left="485" w:right="299" w:hanging="485"/>
        <w:spacing w:after="0" w:line="251" w:lineRule="auto"/>
        <w:tabs>
          <w:tab w:leader="none" w:pos="48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Does not include 423,477 of Class A common stock and 1,467,026 shares of Class C common stock owned by the Scott M. Quist and Lisa J. Quist Family Trust, of which S. Andrew Quist, Amanda J. Nelson and Adam G. Quist are the trustees and, accordingly, exercise shared voting and investment powers with respect to such shares.</w:t>
      </w:r>
    </w:p>
    <w:p>
      <w:pPr>
        <w:jc w:val="both"/>
        <w:ind w:left="485" w:right="279" w:hanging="485"/>
        <w:spacing w:after="0" w:line="246" w:lineRule="auto"/>
        <w:tabs>
          <w:tab w:leader="none" w:pos="48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Mr. Scott Quist is the Company’s Chairman of the Board, President, and Chief Executive Officer. Includes options to purchase 168,097 shares of Class A common stock and 204,735 shares of Class C common stock that are currently exercisable. Mr. Quist’s options to purchase 204,735 shares of Class C common stock may also, at Mr. Quist’s election, consist of options to purchase 204,735 shares of Class A common stock, or any combination thereof. Mr.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2" w:lineRule="exact"/>
        <w:rPr>
          <w:rFonts w:ascii="Arial" w:cs="Arial" w:eastAsia="Arial" w:hAnsi="Arial"/>
          <w:sz w:val="19"/>
          <w:szCs w:val="19"/>
          <w:color w:val="auto"/>
        </w:rPr>
      </w:pPr>
    </w:p>
    <w:p>
      <w:pPr>
        <w:jc w:val="both"/>
        <w:ind w:left="485" w:right="279" w:hanging="485"/>
        <w:spacing w:after="0" w:line="246" w:lineRule="auto"/>
        <w:tabs>
          <w:tab w:leader="none" w:pos="48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Does not include 2,550,857 shares of Class A common stock and 212,058 shares of Class C common stock owned by the Company’s 401(k) Retirement Savings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9"/>
          <w:szCs w:val="19"/>
          <w:color w:val="auto"/>
        </w:rPr>
      </w:pPr>
    </w:p>
    <w:p>
      <w:pPr>
        <w:jc w:val="both"/>
        <w:ind w:left="485" w:right="279" w:hanging="485"/>
        <w:spacing w:after="0" w:line="246" w:lineRule="auto"/>
        <w:tabs>
          <w:tab w:leader="none" w:pos="48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Does not include 189,053 shares of Class A common stock and 73,589 shares of Class C common stock owned by the Company’s Employee Stock Ownership Plan (ESOP), of which Scott M. Quist, S. Andrew Quist and Robert G. Hunter are the trustees and, accordingly, exercise shared voting and investment powers with respect to such shares.</w:t>
      </w:r>
    </w:p>
    <w:p>
      <w:pPr>
        <w:spacing w:after="0" w:line="1" w:lineRule="exact"/>
        <w:rPr>
          <w:rFonts w:ascii="Arial" w:cs="Arial" w:eastAsia="Arial" w:hAnsi="Arial"/>
          <w:sz w:val="19"/>
          <w:szCs w:val="19"/>
          <w:color w:val="auto"/>
        </w:rPr>
      </w:pPr>
    </w:p>
    <w:p>
      <w:pPr>
        <w:jc w:val="both"/>
        <w:ind w:left="485" w:right="279" w:hanging="485"/>
        <w:spacing w:after="0" w:line="246" w:lineRule="auto"/>
        <w:tabs>
          <w:tab w:leader="none" w:pos="48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Does not include 1,288,334 shares of Class A common stock owned by the Company’s Non-Qualified Deferred Compensation Plan, of which Scott M. Quist, Stephen C. Johnson and Garrett S. Sill are members of the investment committee and, accordingly, exercise shared voting and investment powers with respect to such shares.</w:t>
      </w:r>
    </w:p>
    <w:p>
      <w:pPr>
        <w:spacing w:after="0" w:line="1" w:lineRule="exact"/>
        <w:rPr>
          <w:rFonts w:ascii="Arial" w:cs="Arial" w:eastAsia="Arial" w:hAnsi="Arial"/>
          <w:sz w:val="19"/>
          <w:szCs w:val="19"/>
          <w:color w:val="auto"/>
        </w:rPr>
      </w:pPr>
    </w:p>
    <w:p>
      <w:pPr>
        <w:jc w:val="both"/>
        <w:ind w:left="485" w:right="299" w:hanging="485"/>
        <w:spacing w:after="0" w:line="259" w:lineRule="auto"/>
        <w:tabs>
          <w:tab w:leader="none" w:pos="4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Does not include 87,214 shares of Class A common stock and 136,174 shares of Class C common stock owned by Associated Investors, a Utah general partnership, of which Scott M. Quist is the managing partner and, accordingly, exercises sole voting and investment powers with respect to such shares.</w:t>
      </w:r>
    </w:p>
    <w:p>
      <w:pPr>
        <w:spacing w:after="0" w:line="2" w:lineRule="exact"/>
        <w:rPr>
          <w:rFonts w:ascii="Arial" w:cs="Arial" w:eastAsia="Arial" w:hAnsi="Arial"/>
          <w:sz w:val="18"/>
          <w:szCs w:val="18"/>
          <w:color w:val="auto"/>
        </w:rPr>
      </w:pPr>
    </w:p>
    <w:p>
      <w:pPr>
        <w:jc w:val="both"/>
        <w:ind w:left="485" w:right="279" w:hanging="485"/>
        <w:spacing w:after="0" w:line="259" w:lineRule="auto"/>
        <w:tabs>
          <w:tab w:leader="none" w:pos="4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Mr. Overbaugh is the Company’s Vice President, National Marketing Director of Life Insurance, and a director. Includes options to purchase 78,557 shares of Class A common stock and options to purchase 115,022 shares of Class C common stock that are currently exercisable. The options to purchase 78,557 shares of Class C common stock may also, at Mr. Overbaugh’s election, consist of options to purchase 78,557 shares of Class A common stock, or any combination thereof. Mr. Overbaugh has elected to purchase Class C common shares with such options to the extent there are sufficient authorized but unissued Class C common shares available for issuance with respect to such options. Otherwise, Mr. Overbaugh will elect to purchase shares of Class A common stock with respect to such options.</w:t>
      </w:r>
    </w:p>
    <w:p>
      <w:pPr>
        <w:spacing w:after="0" w:line="6" w:lineRule="exact"/>
        <w:rPr>
          <w:rFonts w:ascii="Arial" w:cs="Arial" w:eastAsia="Arial" w:hAnsi="Arial"/>
          <w:sz w:val="18"/>
          <w:szCs w:val="18"/>
          <w:color w:val="auto"/>
        </w:rPr>
      </w:pPr>
    </w:p>
    <w:p>
      <w:pPr>
        <w:jc w:val="both"/>
        <w:ind w:left="485" w:right="279" w:hanging="485"/>
        <w:spacing w:after="0" w:line="259" w:lineRule="auto"/>
        <w:tabs>
          <w:tab w:leader="none" w:pos="4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Mr. Andrew Quist is the Company’s Vice President, General Counsel, and a director. Includes options to purchase 129,432 shares of Class A common stock and options to purchase 136,034 shares of Class C common stock that are currently exercisable. The options to purchase 136,034 shares of Class C common stock may also, at Mr. Quist’s election, consist of options to purchase 136,034 shares of Class A common stock, or any combination thereof. Mr. Andrew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6" w:lineRule="exact"/>
        <w:rPr>
          <w:rFonts w:ascii="Arial" w:cs="Arial" w:eastAsia="Arial" w:hAnsi="Arial"/>
          <w:sz w:val="18"/>
          <w:szCs w:val="18"/>
          <w:color w:val="auto"/>
        </w:rPr>
      </w:pPr>
    </w:p>
    <w:p>
      <w:pPr>
        <w:ind w:left="485" w:right="279" w:hanging="485"/>
        <w:spacing w:after="0" w:line="259" w:lineRule="auto"/>
        <w:tabs>
          <w:tab w:leader="none" w:pos="4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trustees of the Employee Stock Ownership Plan (ESOP) consist of Scott M. Quist, S. Andrew Quist, and Robert G. Hunter who exercise shared voting and investment powers with respect to such shares.</w:t>
      </w:r>
    </w:p>
    <w:p>
      <w:pPr>
        <w:spacing w:after="0" w:line="1" w:lineRule="exact"/>
        <w:rPr>
          <w:rFonts w:ascii="Arial" w:cs="Arial" w:eastAsia="Arial" w:hAnsi="Arial"/>
          <w:sz w:val="18"/>
          <w:szCs w:val="18"/>
          <w:color w:val="auto"/>
        </w:rPr>
      </w:pPr>
    </w:p>
    <w:p>
      <w:pPr>
        <w:ind w:left="485" w:right="279" w:hanging="485"/>
        <w:spacing w:after="0" w:line="246" w:lineRule="auto"/>
        <w:tabs>
          <w:tab w:leader="none" w:pos="48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managing general partner of Associated Investors is Scott M. Quist, who exercises sole voting and investment powers with respect to such shares.</w:t>
      </w:r>
    </w:p>
    <w:p>
      <w:pPr>
        <w:jc w:val="both"/>
        <w:ind w:left="485" w:right="279" w:hanging="485"/>
        <w:spacing w:after="0" w:line="275" w:lineRule="auto"/>
        <w:tabs>
          <w:tab w:leader="none" w:pos="48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Mr. Sill is the Company’s Chief Financial Officer and Treasurer. Includes options to purchase 22,254 shares of Class A common stock and options to purchase 92,931 shares of Class C common stock that are currently exercisable. The options to purchase 92,931 shares of Class C common stock may also, at Mr. Sill’s election, consist of options to purchase 92,931 shares of Class A common stock, or any combination thereof. Mr. Sill has elected to purchase Class C common shares with such options to the extent there are sufficient authorized but unissued Class C common shares available for issuance with respect to such options. Otherwise, Mr. Sill will elect to purchase shares of Class A common stock with respect to such options.</w:t>
      </w:r>
    </w:p>
    <w:p>
      <w:pPr>
        <w:spacing w:after="0" w:line="1" w:lineRule="exact"/>
        <w:rPr>
          <w:rFonts w:ascii="Arial" w:cs="Arial" w:eastAsia="Arial" w:hAnsi="Arial"/>
          <w:sz w:val="17"/>
          <w:szCs w:val="17"/>
          <w:color w:val="auto"/>
        </w:rPr>
      </w:pPr>
    </w:p>
    <w:p>
      <w:pPr>
        <w:jc w:val="both"/>
        <w:ind w:left="485" w:right="279" w:hanging="485"/>
        <w:spacing w:after="0" w:line="289" w:lineRule="auto"/>
        <w:tabs>
          <w:tab w:leader="none" w:pos="48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Mr. Adam Quist is the Vice President – Memorial Services, Assistant Secretary, and General Counsel of the Company. Includes options to purchase 28,289 shares of Class A common stock and options to purchase 113,944 shares of Class C common stock that are currently exercisable. The options to purchase 113,944 shares of Class C common stock may also, at Mr. Quist’s election, consist of options to purchase 113,944</w:t>
      </w:r>
    </w:p>
    <w:p>
      <w:pPr>
        <w:sectPr>
          <w:pgSz w:w="11900" w:h="16838" w:orient="portrait"/>
          <w:cols w:equalWidth="0" w:num="1">
            <w:col w:w="9184"/>
          </w:cols>
          <w:pgMar w:left="1275" w:top="121" w:right="1440" w:bottom="1440" w:gutter="0" w:footer="0" w:header="0"/>
        </w:sectPr>
      </w:pPr>
    </w:p>
    <w:p>
      <w:pPr>
        <w:spacing w:after="0" w:line="194" w:lineRule="exact"/>
        <w:rPr>
          <w:sz w:val="20"/>
          <w:szCs w:val="20"/>
          <w:color w:val="auto"/>
        </w:rPr>
      </w:pPr>
    </w:p>
    <w:p>
      <w:pPr>
        <w:jc w:val="center"/>
        <w:ind w:right="274"/>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5653405" cy="33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type w:val="continuous"/>
        </w:sectPr>
      </w:pPr>
    </w:p>
    <w:bookmarkStart w:id="132" w:name="page133"/>
    <w:bookmarkEnd w:id="132"/>
    <w:p>
      <w:pPr>
        <w:jc w:val="both"/>
        <w:ind w:left="485" w:right="279"/>
        <w:spacing w:after="0" w:line="250" w:lineRule="auto"/>
        <w:rPr>
          <w:sz w:val="20"/>
          <w:szCs w:val="20"/>
          <w:color w:val="auto"/>
        </w:rPr>
      </w:pPr>
      <w:r>
        <w:rPr>
          <w:rFonts w:ascii="Arial" w:cs="Arial" w:eastAsia="Arial" w:hAnsi="Arial"/>
          <w:sz w:val="19"/>
          <w:szCs w:val="19"/>
          <w:color w:val="auto"/>
        </w:rPr>
        <w:t>shares of Class A common stock, or any combination thereof. Mr. Adam Quist has elected to purchase Class C common shares with such options to the extent there are sufficient authorized but unissued Class C common shares available for issuance with respect to such options. Otherwise, Mr. Quist will elect to purchase shares of Class A common stock with respect to such options.</w:t>
      </w:r>
    </w:p>
    <w:p>
      <w:pPr>
        <w:spacing w:after="0" w:line="4" w:lineRule="exact"/>
        <w:rPr>
          <w:sz w:val="20"/>
          <w:szCs w:val="20"/>
          <w:color w:val="auto"/>
        </w:rPr>
      </w:pPr>
    </w:p>
    <w:p>
      <w:pPr>
        <w:ind w:left="485" w:right="299" w:hanging="485"/>
        <w:spacing w:after="0" w:line="259" w:lineRule="auto"/>
        <w:tabs>
          <w:tab w:leader="none" w:pos="4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Mr. Stephens is the Company’s Senior General Counsel and Secretary. Includes options to purchase 60,640 shares of Class A common stock granted to Mr. Stephens that are currently exercisable.</w:t>
      </w:r>
    </w:p>
    <w:p>
      <w:pPr>
        <w:spacing w:after="0" w:line="1" w:lineRule="exact"/>
        <w:rPr>
          <w:rFonts w:ascii="Arial" w:cs="Arial" w:eastAsia="Arial" w:hAnsi="Arial"/>
          <w:sz w:val="18"/>
          <w:szCs w:val="18"/>
          <w:color w:val="auto"/>
        </w:rPr>
      </w:pPr>
    </w:p>
    <w:p>
      <w:pPr>
        <w:ind w:left="485" w:right="279" w:hanging="485"/>
        <w:spacing w:after="0" w:line="246" w:lineRule="auto"/>
        <w:tabs>
          <w:tab w:leader="none" w:pos="48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Mr. Johnson is the Company’s Vice President of Mortgage Operations. Includes options to purchase 73,423 shares of Class A common stock granted to Mr. Johnson that are currently exercisable.</w:t>
      </w:r>
    </w:p>
    <w:p>
      <w:pPr>
        <w:ind w:left="485" w:right="299" w:hanging="485"/>
        <w:spacing w:after="0" w:line="246" w:lineRule="auto"/>
        <w:tabs>
          <w:tab w:leader="none" w:pos="48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Mr. Moody is a director of the Company. Includes options to purchase 71,202 shares of Class A common stock granted to Mr. Moody that are currently exercisable.</w:t>
      </w:r>
    </w:p>
    <w:p>
      <w:pPr>
        <w:ind w:left="485" w:right="299" w:hanging="485"/>
        <w:spacing w:after="0" w:line="246" w:lineRule="auto"/>
        <w:tabs>
          <w:tab w:leader="none" w:pos="48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Dr. Hunter is a director of the Company. Includes options to purchase 71,202 shares of Class A common stock granted to Dr. Hunter that are currently exercisable.</w:t>
      </w:r>
    </w:p>
    <w:p>
      <w:pPr>
        <w:ind w:left="485" w:right="279" w:hanging="485"/>
        <w:spacing w:after="0" w:line="246" w:lineRule="auto"/>
        <w:tabs>
          <w:tab w:leader="none" w:pos="48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Mr. Fuller is a director of the Company. Includes options to purchase 52,572 shares of Class A common stock granted to Mr. Fuller that are currently exercisable.</w:t>
      </w:r>
    </w:p>
    <w:p>
      <w:pPr>
        <w:ind w:left="485" w:right="279" w:hanging="485"/>
        <w:spacing w:after="0" w:line="246" w:lineRule="auto"/>
        <w:tabs>
          <w:tab w:leader="none" w:pos="48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Mr. Cook is a director of the Company. Includes options to purchase 52,572 shares of Class A common stock granted to Mr. Cook that are currently exercisable.</w:t>
      </w:r>
    </w:p>
    <w:p>
      <w:pPr>
        <w:ind w:left="485" w:right="279" w:hanging="485"/>
        <w:spacing w:after="0" w:line="259" w:lineRule="auto"/>
        <w:tabs>
          <w:tab w:leader="none" w:pos="48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Mr. Wilbur is a director of the Company. Includes options to purchase 30,103 shares of Class A common stock granted to Mr. Wilbur that are currently exercisable.</w:t>
      </w:r>
    </w:p>
    <w:p>
      <w:pPr>
        <w:spacing w:after="0" w:line="185" w:lineRule="exact"/>
        <w:rPr>
          <w:sz w:val="20"/>
          <w:szCs w:val="20"/>
          <w:color w:val="auto"/>
        </w:rPr>
      </w:pPr>
    </w:p>
    <w:p>
      <w:pPr>
        <w:jc w:val="both"/>
        <w:ind w:left="5" w:right="279"/>
        <w:spacing w:after="0" w:line="276" w:lineRule="auto"/>
        <w:rPr>
          <w:sz w:val="20"/>
          <w:szCs w:val="20"/>
          <w:color w:val="auto"/>
        </w:rPr>
      </w:pPr>
      <w:r>
        <w:rPr>
          <w:rFonts w:ascii="Arial" w:cs="Arial" w:eastAsia="Arial" w:hAnsi="Arial"/>
          <w:sz w:val="19"/>
          <w:szCs w:val="19"/>
          <w:color w:val="auto"/>
        </w:rPr>
        <w:t>The Company’s executive officers and directors, as a group, own beneficially approximately 11.6% of the outstanding shares of the Company’s Class A and Class C common stock.</w:t>
      </w:r>
    </w:p>
    <w:p>
      <w:pPr>
        <w:spacing w:after="0" w:line="16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236" w:lineRule="exact"/>
        <w:rPr>
          <w:sz w:val="20"/>
          <w:szCs w:val="20"/>
          <w:color w:val="auto"/>
        </w:rPr>
      </w:pPr>
    </w:p>
    <w:p>
      <w:pPr>
        <w:jc w:val="both"/>
        <w:ind w:left="5" w:right="299"/>
        <w:spacing w:after="0" w:line="261" w:lineRule="auto"/>
        <w:rPr>
          <w:sz w:val="20"/>
          <w:szCs w:val="20"/>
          <w:color w:val="auto"/>
        </w:rPr>
      </w:pPr>
      <w:r>
        <w:rPr>
          <w:rFonts w:ascii="Arial" w:cs="Arial" w:eastAsia="Arial" w:hAnsi="Arial"/>
          <w:sz w:val="19"/>
          <w:szCs w:val="19"/>
          <w:color w:val="auto"/>
        </w:rPr>
        <w:t>The Company’s Board of Directors has a written procedure, which requires disclosure to the Board of any material interest or any affiliation on the part of any of its officers, directors or employees that is in conflict or may be in conflict with the interests of the Company.</w:t>
      </w:r>
    </w:p>
    <w:p>
      <w:pPr>
        <w:spacing w:after="0" w:line="215"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5653405" cy="33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84"/>
          </w:cols>
          <w:pgMar w:left="1275" w:top="12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Item 14. Principal Accounting Fees and Services</w:t>
      </w:r>
    </w:p>
    <w:p>
      <w:pPr>
        <w:sectPr>
          <w:pgSz w:w="11900" w:h="16838" w:orient="portrait"/>
          <w:cols w:equalWidth="0" w:num="1">
            <w:col w:w="9184"/>
          </w:cols>
          <w:pgMar w:left="1275" w:top="121" w:right="1440" w:bottom="0" w:gutter="0" w:footer="0" w:header="0"/>
          <w:type w:val="continuous"/>
        </w:sectPr>
      </w:pPr>
    </w:p>
    <w:bookmarkStart w:id="133" w:name="page134"/>
    <w:bookmarkEnd w:id="133"/>
    <w:p>
      <w:pPr>
        <w:jc w:val="both"/>
        <w:ind w:right="279"/>
        <w:spacing w:after="0" w:line="261" w:lineRule="auto"/>
        <w:rPr>
          <w:sz w:val="20"/>
          <w:szCs w:val="20"/>
          <w:color w:val="auto"/>
        </w:rPr>
      </w:pPr>
      <w:r>
        <w:rPr>
          <w:rFonts w:ascii="Arial" w:cs="Arial" w:eastAsia="Arial" w:hAnsi="Arial"/>
          <w:sz w:val="19"/>
          <w:szCs w:val="19"/>
          <w:color w:val="auto"/>
        </w:rPr>
        <w:t>The following table summarizes the fees of the Company’s current independent auditors, billed to the Company for each of the last two fiscal years for audit and other services. All of these fees were reviewed and approved by the Audit Committee of the Board of 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Fee Category</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2019</w:t>
            </w:r>
          </w:p>
        </w:tc>
      </w:tr>
      <w:tr>
        <w:trPr>
          <w:trHeight w:val="23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1,047,488</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917,200</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36,000</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26,250</w:t>
            </w:r>
          </w:p>
        </w:tc>
      </w:tr>
      <w:tr>
        <w:trPr>
          <w:trHeight w:val="244"/>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106,010</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92,350</w:t>
            </w:r>
          </w:p>
        </w:tc>
      </w:tr>
      <w:tr>
        <w:trPr>
          <w:trHeight w:val="231"/>
        </w:trPr>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 (4)</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98,865</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5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1,288,363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1,035,800</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-135890</wp:posOffset>
            </wp:positionV>
            <wp:extent cx="20269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104" w:lineRule="exact"/>
        <w:rPr>
          <w:sz w:val="20"/>
          <w:szCs w:val="20"/>
          <w:color w:val="auto"/>
        </w:rPr>
      </w:pPr>
    </w:p>
    <w:p>
      <w:pPr>
        <w:jc w:val="both"/>
        <w:ind w:left="620" w:right="279" w:hanging="308"/>
        <w:spacing w:after="0" w:line="256" w:lineRule="auto"/>
        <w:tabs>
          <w:tab w:leader="none" w:pos="6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Audit fees consist of aggregate fees billed for professional services rendered for the audit of the Company’s annual financial statements and review of the interim financial statements included in quarterly reports or services that are normally provided by the independent auditor in connection with statutory and regulatory filings for the years ended December 31, 2020 and 2019.</w:t>
      </w:r>
    </w:p>
    <w:p>
      <w:pPr>
        <w:spacing w:after="0" w:line="83" w:lineRule="exact"/>
        <w:rPr>
          <w:rFonts w:ascii="Arial" w:cs="Arial" w:eastAsia="Arial" w:hAnsi="Arial"/>
          <w:sz w:val="19"/>
          <w:szCs w:val="19"/>
          <w:color w:val="auto"/>
        </w:rPr>
      </w:pPr>
    </w:p>
    <w:p>
      <w:pPr>
        <w:jc w:val="both"/>
        <w:ind w:left="620" w:right="279" w:hanging="308"/>
        <w:spacing w:after="0" w:line="256" w:lineRule="auto"/>
        <w:tabs>
          <w:tab w:leader="none" w:pos="6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Audit related fees consist of aggregate fees billed for assurance and related services that are reasonably related to the performance of the audit or review of the Company’s financial statements and are not reported under “Audit Fees”. These fees include review of registration statements, and audits of the Company’s ESOP and 401(k) Plans.</w:t>
      </w:r>
    </w:p>
    <w:p>
      <w:pPr>
        <w:spacing w:after="0" w:line="83" w:lineRule="exact"/>
        <w:rPr>
          <w:rFonts w:ascii="Arial" w:cs="Arial" w:eastAsia="Arial" w:hAnsi="Arial"/>
          <w:sz w:val="19"/>
          <w:szCs w:val="19"/>
          <w:color w:val="auto"/>
        </w:rPr>
      </w:pPr>
    </w:p>
    <w:p>
      <w:pPr>
        <w:ind w:left="620" w:right="279" w:hanging="308"/>
        <w:spacing w:after="0" w:line="276" w:lineRule="auto"/>
        <w:tabs>
          <w:tab w:leader="none" w:pos="6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Tax fees consist of aggregate fees billed for professional services for tax compliance, tax advice, and tax planning.</w:t>
      </w:r>
    </w:p>
    <w:p>
      <w:pPr>
        <w:spacing w:after="0" w:line="64" w:lineRule="exact"/>
        <w:rPr>
          <w:rFonts w:ascii="Arial" w:cs="Arial" w:eastAsia="Arial" w:hAnsi="Arial"/>
          <w:sz w:val="19"/>
          <w:szCs w:val="19"/>
          <w:color w:val="auto"/>
        </w:rPr>
      </w:pPr>
    </w:p>
    <w:p>
      <w:pPr>
        <w:ind w:left="620" w:right="299" w:hanging="308"/>
        <w:spacing w:after="0" w:line="276" w:lineRule="auto"/>
        <w:tabs>
          <w:tab w:leader="none" w:pos="6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All other fees consist of aggregate fees billed for products and services by the independent auditors, other than those disclosed above.</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PART IV</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Financial Statement Schedules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(a)(1) </w:t>
      </w:r>
      <w:r>
        <w:rPr>
          <w:rFonts w:ascii="Arial" w:cs="Arial" w:eastAsia="Arial" w:hAnsi="Arial"/>
          <w:sz w:val="19"/>
          <w:szCs w:val="19"/>
          <w:u w:val="single" w:color="auto"/>
          <w:color w:val="auto"/>
        </w:rPr>
        <w:t>Financial Statements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See “Index to Consolidated Financial Statements” under Item 8 above.</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(a)(2) </w:t>
      </w:r>
      <w:r>
        <w:rPr>
          <w:rFonts w:ascii="Arial" w:cs="Arial" w:eastAsia="Arial" w:hAnsi="Arial"/>
          <w:sz w:val="19"/>
          <w:szCs w:val="19"/>
          <w:u w:val="single" w:color="auto"/>
          <w:color w:val="auto"/>
        </w:rPr>
        <w:t>Financial Statement Schedules</w:t>
      </w:r>
    </w:p>
    <w:p>
      <w:pPr>
        <w:spacing w:after="0" w:line="230" w:lineRule="exact"/>
        <w:rPr>
          <w:sz w:val="20"/>
          <w:szCs w:val="20"/>
          <w:color w:val="auto"/>
        </w:rPr>
      </w:pPr>
    </w:p>
    <w:p>
      <w:pPr>
        <w:ind w:left="940" w:right="2159" w:hanging="285"/>
        <w:spacing w:after="0" w:line="337" w:lineRule="auto"/>
        <w:tabs>
          <w:tab w:leader="none" w:pos="9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Condensed Balance Sheets as of December 31, 2020 and 2019 and Condensed Statement of Earnings and Cash Flows for the years ended 2020 and 2019</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IV. Reinsurance</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V. Valuation and Qualifying Accounts</w:t>
      </w:r>
    </w:p>
    <w:p>
      <w:pPr>
        <w:spacing w:after="0" w:line="230" w:lineRule="exact"/>
        <w:rPr>
          <w:sz w:val="20"/>
          <w:szCs w:val="20"/>
          <w:color w:val="auto"/>
        </w:rPr>
      </w:pPr>
    </w:p>
    <w:p>
      <w:pPr>
        <w:ind w:right="299"/>
        <w:spacing w:after="0" w:line="276" w:lineRule="auto"/>
        <w:rPr>
          <w:sz w:val="20"/>
          <w:szCs w:val="20"/>
          <w:color w:val="auto"/>
        </w:rPr>
      </w:pPr>
      <w:r>
        <w:rPr>
          <w:rFonts w:ascii="Arial" w:cs="Arial" w:eastAsia="Arial" w:hAnsi="Arial"/>
          <w:sz w:val="19"/>
          <w:szCs w:val="19"/>
          <w:color w:val="auto"/>
        </w:rPr>
        <w:t>All other schedules to the consolidated financial statements required by Article 7 of Regulation S-X are not required under the related instructions or are inapplicable and therefore have been omitted.</w:t>
      </w: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347" w:right="1440" w:bottom="1440" w:gutter="0" w:footer="0" w:header="0"/>
        </w:sectPr>
      </w:pPr>
    </w:p>
    <w:bookmarkStart w:id="134" w:name="page135"/>
    <w:bookmarkEnd w:id="134"/>
    <w:p>
      <w:pPr>
        <w:ind w:left="260"/>
        <w:spacing w:after="0"/>
        <w:tabs>
          <w:tab w:leader="none" w:pos="1000" w:val="left"/>
        </w:tabs>
        <w:rPr>
          <w:sz w:val="20"/>
          <w:szCs w:val="20"/>
          <w:color w:val="auto"/>
        </w:rPr>
      </w:pPr>
      <w:r>
        <w:rPr>
          <w:rFonts w:ascii="Arial" w:cs="Arial" w:eastAsia="Arial" w:hAnsi="Arial"/>
          <w:sz w:val="19"/>
          <w:szCs w:val="19"/>
          <w:color w:val="auto"/>
        </w:rPr>
        <w:t>(a)(3)</w:t>
      </w:r>
      <w:r>
        <w:rPr>
          <w:sz w:val="20"/>
          <w:szCs w:val="20"/>
          <w:color w:val="auto"/>
        </w:rPr>
        <w:tab/>
      </w:r>
      <w:r>
        <w:rPr>
          <w:rFonts w:ascii="Arial" w:cs="Arial" w:eastAsia="Arial" w:hAnsi="Arial"/>
          <w:sz w:val="19"/>
          <w:szCs w:val="19"/>
          <w:u w:val="single" w:color="auto"/>
          <w:color w:val="auto"/>
        </w:rPr>
        <w:t>Exhibits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80" w:type="dxa"/>
            <w:vAlign w:val="bottom"/>
          </w:tcPr>
          <w:p>
            <w:pPr>
              <w:spacing w:after="0"/>
              <w:rPr>
                <w:sz w:val="19"/>
                <w:szCs w:val="19"/>
                <w:color w:val="auto"/>
              </w:rPr>
            </w:pPr>
          </w:p>
        </w:tc>
        <w:tc>
          <w:tcPr>
            <w:tcW w:w="8440" w:type="dxa"/>
            <w:vAlign w:val="bottom"/>
            <w:gridSpan w:val="14"/>
          </w:tcPr>
          <w:p>
            <w:pPr>
              <w:ind w:left="140"/>
              <w:spacing w:after="0"/>
              <w:rPr>
                <w:sz w:val="20"/>
                <w:szCs w:val="20"/>
                <w:color w:val="auto"/>
              </w:rPr>
            </w:pPr>
            <w:r>
              <w:rPr>
                <w:rFonts w:ascii="Arial" w:cs="Arial" w:eastAsia="Arial" w:hAnsi="Arial"/>
                <w:sz w:val="19"/>
                <w:szCs w:val="19"/>
                <w:color w:val="auto"/>
                <w:w w:val="96"/>
              </w:rPr>
              <w:t>The following Exhibits are filed herewith pursuant to Rule 601 of Regulation S-K or are incorporated by</w:t>
            </w:r>
          </w:p>
        </w:tc>
      </w:tr>
      <w:tr>
        <w:trPr>
          <w:trHeight w:val="246"/>
        </w:trPr>
        <w:tc>
          <w:tcPr>
            <w:tcW w:w="480" w:type="dxa"/>
            <w:vAlign w:val="bottom"/>
          </w:tcPr>
          <w:p>
            <w:pPr>
              <w:spacing w:after="0"/>
              <w:rPr>
                <w:sz w:val="21"/>
                <w:szCs w:val="21"/>
                <w:color w:val="auto"/>
              </w:rPr>
            </w:pPr>
          </w:p>
        </w:tc>
        <w:tc>
          <w:tcPr>
            <w:tcW w:w="8440" w:type="dxa"/>
            <w:vAlign w:val="bottom"/>
            <w:gridSpan w:val="14"/>
          </w:tcPr>
          <w:p>
            <w:pPr>
              <w:ind w:left="140"/>
              <w:spacing w:after="0"/>
              <w:rPr>
                <w:sz w:val="20"/>
                <w:szCs w:val="20"/>
                <w:color w:val="auto"/>
              </w:rPr>
            </w:pPr>
            <w:r>
              <w:rPr>
                <w:rFonts w:ascii="Arial" w:cs="Arial" w:eastAsia="Arial" w:hAnsi="Arial"/>
                <w:sz w:val="19"/>
                <w:szCs w:val="19"/>
                <w:color w:val="auto"/>
              </w:rPr>
              <w:t>reference to previous filings.</w:t>
            </w:r>
          </w:p>
        </w:tc>
      </w:tr>
      <w:tr>
        <w:trPr>
          <w:trHeight w:val="285"/>
        </w:trPr>
        <w:tc>
          <w:tcPr>
            <w:tcW w:w="480" w:type="dxa"/>
            <w:vAlign w:val="bottom"/>
          </w:tcPr>
          <w:p>
            <w:pPr>
              <w:spacing w:after="0"/>
              <w:rPr>
                <w:sz w:val="20"/>
                <w:szCs w:val="20"/>
                <w:color w:val="auto"/>
              </w:rPr>
            </w:pPr>
            <w:r>
              <w:rPr>
                <w:rFonts w:ascii="Arial" w:cs="Arial" w:eastAsia="Arial" w:hAnsi="Arial"/>
                <w:sz w:val="19"/>
                <w:szCs w:val="19"/>
                <w:color w:val="auto"/>
              </w:rPr>
              <w:t>3.1</w:t>
            </w:r>
          </w:p>
        </w:tc>
        <w:tc>
          <w:tcPr>
            <w:tcW w:w="560" w:type="dxa"/>
            <w:vAlign w:val="bottom"/>
          </w:tcPr>
          <w:p>
            <w:pPr>
              <w:spacing w:after="0"/>
              <w:rPr>
                <w:sz w:val="24"/>
                <w:szCs w:val="24"/>
                <w:color w:val="auto"/>
              </w:rPr>
            </w:pPr>
          </w:p>
        </w:tc>
        <w:tc>
          <w:tcPr>
            <w:tcW w:w="4040" w:type="dxa"/>
            <w:vAlign w:val="bottom"/>
            <w:tcBorders>
              <w:bottom w:val="single" w:sz="8" w:color="0000FF"/>
            </w:tcBorders>
            <w:gridSpan w:val="6"/>
          </w:tcPr>
          <w:p>
            <w:pPr>
              <w:spacing w:after="0"/>
              <w:rPr>
                <w:rFonts w:ascii="Arial" w:cs="Arial" w:eastAsia="Arial" w:hAnsi="Arial"/>
                <w:sz w:val="19"/>
                <w:szCs w:val="19"/>
                <w:color w:val="0000EE"/>
                <w:w w:val="92"/>
              </w:rPr>
            </w:pPr>
            <w:hyperlink r:id="rId203">
              <w:r>
                <w:rPr>
                  <w:rFonts w:ascii="Arial" w:cs="Arial" w:eastAsia="Arial" w:hAnsi="Arial"/>
                  <w:sz w:val="19"/>
                  <w:szCs w:val="19"/>
                  <w:color w:val="0000EE"/>
                  <w:w w:val="92"/>
                </w:rPr>
                <w:t>Amended and Restated Articles of Incorporation (5)</w:t>
              </w:r>
            </w:hyperlink>
          </w:p>
        </w:tc>
        <w:tc>
          <w:tcPr>
            <w:tcW w:w="3840" w:type="dxa"/>
            <w:vAlign w:val="bottom"/>
            <w:gridSpan w:val="7"/>
          </w:tcPr>
          <w:p>
            <w:pPr>
              <w:spacing w:after="0"/>
              <w:rPr>
                <w:sz w:val="24"/>
                <w:szCs w:val="24"/>
                <w:color w:val="auto"/>
              </w:rPr>
            </w:pPr>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3.2</w:t>
            </w:r>
          </w:p>
        </w:tc>
        <w:tc>
          <w:tcPr>
            <w:tcW w:w="560" w:type="dxa"/>
            <w:vAlign w:val="bottom"/>
          </w:tcPr>
          <w:p>
            <w:pPr>
              <w:spacing w:after="0"/>
              <w:rPr>
                <w:sz w:val="20"/>
                <w:szCs w:val="20"/>
                <w:color w:val="auto"/>
              </w:rPr>
            </w:pPr>
          </w:p>
        </w:tc>
        <w:tc>
          <w:tcPr>
            <w:tcW w:w="2700" w:type="dxa"/>
            <w:vAlign w:val="bottom"/>
            <w:tcBorders>
              <w:bottom w:val="single" w:sz="8" w:color="0000FF"/>
            </w:tcBorders>
            <w:gridSpan w:val="4"/>
          </w:tcPr>
          <w:p>
            <w:pPr>
              <w:spacing w:after="0"/>
              <w:rPr>
                <w:rFonts w:ascii="Arial" w:cs="Arial" w:eastAsia="Arial" w:hAnsi="Arial"/>
                <w:sz w:val="19"/>
                <w:szCs w:val="19"/>
                <w:color w:val="0000EE"/>
                <w:w w:val="91"/>
              </w:rPr>
            </w:pPr>
            <w:hyperlink r:id="rId204">
              <w:r>
                <w:rPr>
                  <w:rFonts w:ascii="Arial" w:cs="Arial" w:eastAsia="Arial" w:hAnsi="Arial"/>
                  <w:sz w:val="19"/>
                  <w:szCs w:val="19"/>
                  <w:color w:val="0000EE"/>
                  <w:w w:val="91"/>
                </w:rPr>
                <w:t>Amended and Restated Bylaws (8)</w:t>
              </w:r>
            </w:hyperlink>
          </w:p>
        </w:tc>
        <w:tc>
          <w:tcPr>
            <w:tcW w:w="5180" w:type="dxa"/>
            <w:vAlign w:val="bottom"/>
            <w:gridSpan w:val="9"/>
          </w:tcPr>
          <w:p>
            <w:pPr>
              <w:spacing w:after="0"/>
              <w:rPr>
                <w:sz w:val="20"/>
                <w:szCs w:val="20"/>
                <w:color w:val="auto"/>
              </w:rPr>
            </w:pPr>
          </w:p>
        </w:tc>
      </w:tr>
      <w:tr>
        <w:trPr>
          <w:trHeight w:val="249"/>
        </w:trPr>
        <w:tc>
          <w:tcPr>
            <w:tcW w:w="480" w:type="dxa"/>
            <w:vAlign w:val="bottom"/>
          </w:tcPr>
          <w:p>
            <w:pPr>
              <w:spacing w:after="0"/>
              <w:rPr>
                <w:sz w:val="20"/>
                <w:szCs w:val="20"/>
                <w:color w:val="auto"/>
              </w:rPr>
            </w:pPr>
            <w:r>
              <w:rPr>
                <w:rFonts w:ascii="Arial" w:cs="Arial" w:eastAsia="Arial" w:hAnsi="Arial"/>
                <w:sz w:val="19"/>
                <w:szCs w:val="19"/>
                <w:color w:val="auto"/>
              </w:rPr>
              <w:t>4.1</w:t>
            </w:r>
          </w:p>
        </w:tc>
        <w:tc>
          <w:tcPr>
            <w:tcW w:w="560" w:type="dxa"/>
            <w:vAlign w:val="bottom"/>
          </w:tcPr>
          <w:p>
            <w:pPr>
              <w:spacing w:after="0"/>
              <w:rPr>
                <w:sz w:val="21"/>
                <w:szCs w:val="21"/>
                <w:color w:val="auto"/>
              </w:rPr>
            </w:pPr>
          </w:p>
        </w:tc>
        <w:tc>
          <w:tcPr>
            <w:tcW w:w="7880" w:type="dxa"/>
            <w:vAlign w:val="bottom"/>
            <w:gridSpan w:val="13"/>
          </w:tcPr>
          <w:p>
            <w:pPr>
              <w:spacing w:after="0"/>
              <w:rPr>
                <w:sz w:val="20"/>
                <w:szCs w:val="20"/>
                <w:color w:val="auto"/>
              </w:rPr>
            </w:pPr>
            <w:r>
              <w:rPr>
                <w:rFonts w:ascii="Arial" w:cs="Arial" w:eastAsia="Arial" w:hAnsi="Arial"/>
                <w:sz w:val="19"/>
                <w:szCs w:val="19"/>
                <w:color w:val="auto"/>
              </w:rPr>
              <w:t>Specimen Class A Stock Certificate (1)</w:t>
            </w:r>
          </w:p>
        </w:tc>
      </w:tr>
      <w:tr>
        <w:trPr>
          <w:trHeight w:val="251"/>
        </w:trPr>
        <w:tc>
          <w:tcPr>
            <w:tcW w:w="480" w:type="dxa"/>
            <w:vAlign w:val="bottom"/>
          </w:tcPr>
          <w:p>
            <w:pPr>
              <w:spacing w:after="0"/>
              <w:rPr>
                <w:sz w:val="20"/>
                <w:szCs w:val="20"/>
                <w:color w:val="auto"/>
              </w:rPr>
            </w:pPr>
            <w:r>
              <w:rPr>
                <w:rFonts w:ascii="Arial" w:cs="Arial" w:eastAsia="Arial" w:hAnsi="Arial"/>
                <w:sz w:val="19"/>
                <w:szCs w:val="19"/>
                <w:color w:val="auto"/>
              </w:rPr>
              <w:t>4.2</w:t>
            </w:r>
          </w:p>
        </w:tc>
        <w:tc>
          <w:tcPr>
            <w:tcW w:w="560" w:type="dxa"/>
            <w:vAlign w:val="bottom"/>
          </w:tcPr>
          <w:p>
            <w:pPr>
              <w:spacing w:after="0"/>
              <w:rPr>
                <w:sz w:val="21"/>
                <w:szCs w:val="21"/>
                <w:color w:val="auto"/>
              </w:rPr>
            </w:pPr>
          </w:p>
        </w:tc>
        <w:tc>
          <w:tcPr>
            <w:tcW w:w="7880" w:type="dxa"/>
            <w:vAlign w:val="bottom"/>
            <w:gridSpan w:val="13"/>
          </w:tcPr>
          <w:p>
            <w:pPr>
              <w:spacing w:after="0"/>
              <w:rPr>
                <w:sz w:val="20"/>
                <w:szCs w:val="20"/>
                <w:color w:val="auto"/>
              </w:rPr>
            </w:pPr>
            <w:r>
              <w:rPr>
                <w:rFonts w:ascii="Arial" w:cs="Arial" w:eastAsia="Arial" w:hAnsi="Arial"/>
                <w:sz w:val="19"/>
                <w:szCs w:val="19"/>
                <w:color w:val="auto"/>
              </w:rPr>
              <w:t>Specimen Class C Stock Certificate (1)</w:t>
            </w:r>
          </w:p>
        </w:tc>
      </w:tr>
      <w:tr>
        <w:trPr>
          <w:trHeight w:val="251"/>
        </w:trPr>
        <w:tc>
          <w:tcPr>
            <w:tcW w:w="480" w:type="dxa"/>
            <w:vAlign w:val="bottom"/>
          </w:tcPr>
          <w:p>
            <w:pPr>
              <w:spacing w:after="0"/>
              <w:rPr>
                <w:sz w:val="20"/>
                <w:szCs w:val="20"/>
                <w:color w:val="auto"/>
              </w:rPr>
            </w:pPr>
            <w:r>
              <w:rPr>
                <w:rFonts w:ascii="Arial" w:cs="Arial" w:eastAsia="Arial" w:hAnsi="Arial"/>
                <w:sz w:val="19"/>
                <w:szCs w:val="19"/>
                <w:color w:val="auto"/>
              </w:rPr>
              <w:t>4.3</w:t>
            </w:r>
          </w:p>
        </w:tc>
        <w:tc>
          <w:tcPr>
            <w:tcW w:w="560" w:type="dxa"/>
            <w:vAlign w:val="bottom"/>
          </w:tcPr>
          <w:p>
            <w:pPr>
              <w:spacing w:after="0"/>
              <w:rPr>
                <w:sz w:val="21"/>
                <w:szCs w:val="21"/>
                <w:color w:val="auto"/>
              </w:rPr>
            </w:pPr>
          </w:p>
        </w:tc>
        <w:tc>
          <w:tcPr>
            <w:tcW w:w="7880" w:type="dxa"/>
            <w:vAlign w:val="bottom"/>
            <w:gridSpan w:val="13"/>
          </w:tcPr>
          <w:p>
            <w:pPr>
              <w:spacing w:after="0"/>
              <w:rPr>
                <w:sz w:val="20"/>
                <w:szCs w:val="20"/>
                <w:color w:val="auto"/>
              </w:rPr>
            </w:pPr>
            <w:r>
              <w:rPr>
                <w:rFonts w:ascii="Arial" w:cs="Arial" w:eastAsia="Arial" w:hAnsi="Arial"/>
                <w:sz w:val="19"/>
                <w:szCs w:val="19"/>
                <w:color w:val="auto"/>
              </w:rPr>
              <w:t>Specimen Preferred Stock Certificate and Certificate of Designation of Preferred Stock (1)</w:t>
            </w:r>
          </w:p>
        </w:tc>
      </w:tr>
      <w:tr>
        <w:trPr>
          <w:trHeight w:val="251"/>
        </w:trPr>
        <w:tc>
          <w:tcPr>
            <w:tcW w:w="480" w:type="dxa"/>
            <w:vAlign w:val="bottom"/>
          </w:tcPr>
          <w:p>
            <w:pPr>
              <w:spacing w:after="0"/>
              <w:rPr>
                <w:sz w:val="20"/>
                <w:szCs w:val="20"/>
                <w:color w:val="auto"/>
              </w:rPr>
            </w:pPr>
            <w:r>
              <w:rPr>
                <w:rFonts w:ascii="Arial" w:cs="Arial" w:eastAsia="Arial" w:hAnsi="Arial"/>
                <w:sz w:val="19"/>
                <w:szCs w:val="19"/>
                <w:color w:val="auto"/>
              </w:rPr>
              <w:t>10.1</w:t>
            </w:r>
          </w:p>
        </w:tc>
        <w:tc>
          <w:tcPr>
            <w:tcW w:w="560" w:type="dxa"/>
            <w:vAlign w:val="bottom"/>
          </w:tcPr>
          <w:p>
            <w:pPr>
              <w:spacing w:after="0"/>
              <w:rPr>
                <w:sz w:val="21"/>
                <w:szCs w:val="21"/>
                <w:color w:val="auto"/>
              </w:rPr>
            </w:pPr>
          </w:p>
        </w:tc>
        <w:tc>
          <w:tcPr>
            <w:tcW w:w="7880" w:type="dxa"/>
            <w:vAlign w:val="bottom"/>
            <w:gridSpan w:val="13"/>
          </w:tcPr>
          <w:p>
            <w:pPr>
              <w:spacing w:after="0"/>
              <w:rPr>
                <w:sz w:val="20"/>
                <w:szCs w:val="20"/>
                <w:color w:val="auto"/>
              </w:rPr>
            </w:pPr>
            <w:r>
              <w:rPr>
                <w:rFonts w:ascii="Arial" w:cs="Arial" w:eastAsia="Arial" w:hAnsi="Arial"/>
                <w:sz w:val="19"/>
                <w:szCs w:val="19"/>
                <w:color w:val="auto"/>
              </w:rPr>
              <w:t>Employee Stock Ownership Plan, as amended and restated (ESOP) and Trust Agreement (1)</w:t>
            </w:r>
          </w:p>
        </w:tc>
      </w:tr>
      <w:tr>
        <w:trPr>
          <w:trHeight w:val="232"/>
        </w:trPr>
        <w:tc>
          <w:tcPr>
            <w:tcW w:w="480" w:type="dxa"/>
            <w:vAlign w:val="bottom"/>
          </w:tcPr>
          <w:p>
            <w:pPr>
              <w:spacing w:after="0"/>
              <w:rPr>
                <w:sz w:val="20"/>
                <w:szCs w:val="20"/>
                <w:color w:val="auto"/>
              </w:rPr>
            </w:pPr>
            <w:r>
              <w:rPr>
                <w:rFonts w:ascii="Arial" w:cs="Arial" w:eastAsia="Arial" w:hAnsi="Arial"/>
                <w:sz w:val="19"/>
                <w:szCs w:val="19"/>
                <w:color w:val="auto"/>
              </w:rPr>
              <w:t>10.2</w:t>
            </w:r>
          </w:p>
        </w:tc>
        <w:tc>
          <w:tcPr>
            <w:tcW w:w="560" w:type="dxa"/>
            <w:vAlign w:val="bottom"/>
          </w:tcPr>
          <w:p>
            <w:pPr>
              <w:spacing w:after="0"/>
              <w:rPr>
                <w:sz w:val="20"/>
                <w:szCs w:val="20"/>
                <w:color w:val="auto"/>
              </w:rPr>
            </w:pPr>
          </w:p>
        </w:tc>
        <w:tc>
          <w:tcPr>
            <w:tcW w:w="7880" w:type="dxa"/>
            <w:vAlign w:val="bottom"/>
            <w:gridSpan w:val="13"/>
          </w:tcPr>
          <w:p>
            <w:pPr>
              <w:spacing w:after="0"/>
              <w:rPr>
                <w:rFonts w:ascii="Arial" w:cs="Arial" w:eastAsia="Arial" w:hAnsi="Arial"/>
                <w:sz w:val="19"/>
                <w:szCs w:val="19"/>
                <w:color w:val="0000EE"/>
              </w:rPr>
            </w:pPr>
            <w:hyperlink r:id="rId205">
              <w:r>
                <w:rPr>
                  <w:rFonts w:ascii="Arial" w:cs="Arial" w:eastAsia="Arial" w:hAnsi="Arial"/>
                  <w:sz w:val="19"/>
                  <w:szCs w:val="19"/>
                  <w:color w:val="0000EE"/>
                </w:rPr>
                <w:t>Amended and Restated 2013 Stock Option and Other Equity Incentive Awards Plan (3)</w:t>
              </w:r>
            </w:hyperlink>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10.3</w:t>
            </w:r>
          </w:p>
        </w:tc>
        <w:tc>
          <w:tcPr>
            <w:tcW w:w="560" w:type="dxa"/>
            <w:vAlign w:val="bottom"/>
          </w:tcPr>
          <w:p>
            <w:pPr>
              <w:spacing w:after="0"/>
              <w:rPr>
                <w:sz w:val="20"/>
                <w:szCs w:val="20"/>
                <w:color w:val="auto"/>
              </w:rPr>
            </w:pPr>
          </w:p>
        </w:tc>
        <w:tc>
          <w:tcPr>
            <w:tcW w:w="4760" w:type="dxa"/>
            <w:vAlign w:val="bottom"/>
            <w:tcBorders>
              <w:top w:val="single" w:sz="8" w:color="0000FF"/>
              <w:bottom w:val="single" w:sz="8" w:color="0000FF"/>
            </w:tcBorders>
            <w:gridSpan w:val="7"/>
          </w:tcPr>
          <w:p>
            <w:pPr>
              <w:spacing w:after="0"/>
              <w:rPr>
                <w:rFonts w:ascii="Arial" w:cs="Arial" w:eastAsia="Arial" w:hAnsi="Arial"/>
                <w:sz w:val="19"/>
                <w:szCs w:val="19"/>
                <w:color w:val="0000EE"/>
                <w:w w:val="91"/>
              </w:rPr>
            </w:pPr>
            <w:hyperlink r:id="rId206">
              <w:r>
                <w:rPr>
                  <w:rFonts w:ascii="Arial" w:cs="Arial" w:eastAsia="Arial" w:hAnsi="Arial"/>
                  <w:sz w:val="19"/>
                  <w:szCs w:val="19"/>
                  <w:color w:val="0000EE"/>
                  <w:w w:val="91"/>
                </w:rPr>
                <w:t>Amended and Restated 2014 Director Stock Option Plan (12)</w:t>
              </w:r>
            </w:hyperlink>
          </w:p>
        </w:tc>
        <w:tc>
          <w:tcPr>
            <w:tcW w:w="1980" w:type="dxa"/>
            <w:vAlign w:val="bottom"/>
            <w:tcBorders>
              <w:top w:val="single" w:sz="8" w:color="0000FF"/>
            </w:tcBorders>
            <w:gridSpan w:val="2"/>
          </w:tcPr>
          <w:p>
            <w:pPr>
              <w:spacing w:after="0"/>
              <w:rPr>
                <w:sz w:val="20"/>
                <w:szCs w:val="20"/>
                <w:color w:val="auto"/>
              </w:rPr>
            </w:pPr>
          </w:p>
        </w:tc>
        <w:tc>
          <w:tcPr>
            <w:tcW w:w="1140" w:type="dxa"/>
            <w:vAlign w:val="bottom"/>
            <w:gridSpan w:val="4"/>
          </w:tcPr>
          <w:p>
            <w:pPr>
              <w:spacing w:after="0"/>
              <w:rPr>
                <w:sz w:val="20"/>
                <w:szCs w:val="20"/>
                <w:color w:val="auto"/>
              </w:rPr>
            </w:pPr>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10.4</w:t>
            </w:r>
          </w:p>
        </w:tc>
        <w:tc>
          <w:tcPr>
            <w:tcW w:w="560" w:type="dxa"/>
            <w:vAlign w:val="bottom"/>
          </w:tcPr>
          <w:p>
            <w:pPr>
              <w:spacing w:after="0"/>
              <w:rPr>
                <w:sz w:val="20"/>
                <w:szCs w:val="20"/>
                <w:color w:val="auto"/>
              </w:rPr>
            </w:pPr>
          </w:p>
        </w:tc>
        <w:tc>
          <w:tcPr>
            <w:tcW w:w="3760" w:type="dxa"/>
            <w:vAlign w:val="bottom"/>
            <w:tcBorders>
              <w:bottom w:val="single" w:sz="8" w:color="0000FF"/>
            </w:tcBorders>
            <w:gridSpan w:val="5"/>
          </w:tcPr>
          <w:p>
            <w:pPr>
              <w:spacing w:after="0"/>
              <w:rPr>
                <w:rFonts w:ascii="Arial" w:cs="Arial" w:eastAsia="Arial" w:hAnsi="Arial"/>
                <w:sz w:val="19"/>
                <w:szCs w:val="19"/>
                <w:color w:val="0000EE"/>
                <w:w w:val="94"/>
              </w:rPr>
            </w:pPr>
            <w:hyperlink r:id="rId207">
              <w:r>
                <w:rPr>
                  <w:rFonts w:ascii="Arial" w:cs="Arial" w:eastAsia="Arial" w:hAnsi="Arial"/>
                  <w:sz w:val="19"/>
                  <w:szCs w:val="19"/>
                  <w:color w:val="0000EE"/>
                  <w:w w:val="94"/>
                </w:rPr>
                <w:t>Employment Agreement with Scott M. Quist (2)</w:t>
              </w:r>
            </w:hyperlink>
          </w:p>
        </w:tc>
        <w:tc>
          <w:tcPr>
            <w:tcW w:w="4120" w:type="dxa"/>
            <w:vAlign w:val="bottom"/>
            <w:gridSpan w:val="8"/>
          </w:tcPr>
          <w:p>
            <w:pPr>
              <w:spacing w:after="0"/>
              <w:rPr>
                <w:sz w:val="20"/>
                <w:szCs w:val="20"/>
                <w:color w:val="auto"/>
              </w:rPr>
            </w:pPr>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10.5</w:t>
            </w:r>
          </w:p>
        </w:tc>
        <w:tc>
          <w:tcPr>
            <w:tcW w:w="560" w:type="dxa"/>
            <w:vAlign w:val="bottom"/>
          </w:tcPr>
          <w:p>
            <w:pPr>
              <w:spacing w:after="0"/>
              <w:rPr>
                <w:sz w:val="20"/>
                <w:szCs w:val="20"/>
                <w:color w:val="auto"/>
              </w:rPr>
            </w:pPr>
          </w:p>
        </w:tc>
        <w:tc>
          <w:tcPr>
            <w:tcW w:w="2060" w:type="dxa"/>
            <w:vAlign w:val="bottom"/>
            <w:tcBorders>
              <w:bottom w:val="single" w:sz="8" w:color="0000FF"/>
            </w:tcBorders>
            <w:gridSpan w:val="3"/>
          </w:tcPr>
          <w:p>
            <w:pPr>
              <w:spacing w:after="0"/>
              <w:rPr>
                <w:rFonts w:ascii="Arial" w:cs="Arial" w:eastAsia="Arial" w:hAnsi="Arial"/>
                <w:sz w:val="19"/>
                <w:szCs w:val="19"/>
                <w:color w:val="0000EE"/>
                <w:w w:val="89"/>
              </w:rPr>
            </w:pPr>
            <w:hyperlink r:id="rId208">
              <w:r>
                <w:rPr>
                  <w:rFonts w:ascii="Arial" w:cs="Arial" w:eastAsia="Arial" w:hAnsi="Arial"/>
                  <w:sz w:val="19"/>
                  <w:szCs w:val="19"/>
                  <w:color w:val="0000EE"/>
                  <w:w w:val="89"/>
                </w:rPr>
                <w:t>Stock Repurchase Plan (6)</w:t>
              </w:r>
            </w:hyperlink>
          </w:p>
        </w:tc>
        <w:tc>
          <w:tcPr>
            <w:tcW w:w="5820" w:type="dxa"/>
            <w:vAlign w:val="bottom"/>
            <w:gridSpan w:val="10"/>
          </w:tcPr>
          <w:p>
            <w:pPr>
              <w:spacing w:after="0"/>
              <w:rPr>
                <w:sz w:val="20"/>
                <w:szCs w:val="20"/>
                <w:color w:val="auto"/>
              </w:rPr>
            </w:pPr>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10.6</w:t>
            </w:r>
          </w:p>
        </w:tc>
        <w:tc>
          <w:tcPr>
            <w:tcW w:w="560" w:type="dxa"/>
            <w:vAlign w:val="bottom"/>
          </w:tcPr>
          <w:p>
            <w:pPr>
              <w:spacing w:after="0"/>
              <w:rPr>
                <w:sz w:val="20"/>
                <w:szCs w:val="20"/>
                <w:color w:val="auto"/>
              </w:rPr>
            </w:pPr>
          </w:p>
        </w:tc>
        <w:tc>
          <w:tcPr>
            <w:tcW w:w="7880" w:type="dxa"/>
            <w:vAlign w:val="bottom"/>
            <w:gridSpan w:val="13"/>
          </w:tcPr>
          <w:p>
            <w:pPr>
              <w:spacing w:after="0"/>
              <w:rPr>
                <w:rFonts w:ascii="Arial" w:cs="Arial" w:eastAsia="Arial" w:hAnsi="Arial"/>
                <w:sz w:val="19"/>
                <w:szCs w:val="19"/>
                <w:color w:val="0000EE"/>
                <w:w w:val="95"/>
              </w:rPr>
            </w:pPr>
            <w:hyperlink r:id="rId209">
              <w:r>
                <w:rPr>
                  <w:rFonts w:ascii="Arial" w:cs="Arial" w:eastAsia="Arial" w:hAnsi="Arial"/>
                  <w:sz w:val="19"/>
                  <w:szCs w:val="19"/>
                  <w:color w:val="0000EE"/>
                  <w:w w:val="95"/>
                </w:rPr>
                <w:t>Asset Purchase Agreement among SN Probst LLC, Probst Family Funerals and Cremations, LLC,</w:t>
              </w:r>
            </w:hyperlink>
          </w:p>
        </w:tc>
      </w:tr>
      <w:tr>
        <w:trPr>
          <w:trHeight w:val="204"/>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tcBorders>
              <w:top w:val="single" w:sz="8" w:color="0000FF"/>
              <w:bottom w:val="single" w:sz="8" w:color="0000FF"/>
            </w:tcBorders>
            <w:gridSpan w:val="11"/>
          </w:tcPr>
          <w:p>
            <w:pPr>
              <w:spacing w:after="0" w:line="204" w:lineRule="exact"/>
              <w:rPr>
                <w:rFonts w:ascii="Arial" w:cs="Arial" w:eastAsia="Arial" w:hAnsi="Arial"/>
                <w:sz w:val="19"/>
                <w:szCs w:val="19"/>
                <w:color w:val="0000EE"/>
                <w:w w:val="93"/>
              </w:rPr>
            </w:pPr>
            <w:hyperlink r:id="rId209">
              <w:r>
                <w:rPr>
                  <w:rFonts w:ascii="Arial" w:cs="Arial" w:eastAsia="Arial" w:hAnsi="Arial"/>
                  <w:sz w:val="19"/>
                  <w:szCs w:val="19"/>
                  <w:color w:val="0000EE"/>
                  <w:w w:val="93"/>
                </w:rPr>
                <w:t>Heber Valley Funeral Home, Inc., Joe T. Probst, Clinton Wayne Probst, Calle J. Probst, and Marsha</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Borders>
              <w:bottom w:val="single" w:sz="8" w:color="0000FF"/>
            </w:tcBorders>
          </w:tcPr>
          <w:p>
            <w:pPr>
              <w:spacing w:after="0" w:line="204" w:lineRule="exact"/>
              <w:rPr>
                <w:rFonts w:ascii="Arial" w:cs="Arial" w:eastAsia="Arial" w:hAnsi="Arial"/>
                <w:sz w:val="19"/>
                <w:szCs w:val="19"/>
                <w:color w:val="0000EE"/>
                <w:w w:val="88"/>
              </w:rPr>
            </w:pPr>
            <w:hyperlink r:id="rId209">
              <w:r>
                <w:rPr>
                  <w:rFonts w:ascii="Arial" w:cs="Arial" w:eastAsia="Arial" w:hAnsi="Arial"/>
                  <w:sz w:val="19"/>
                  <w:szCs w:val="19"/>
                  <w:color w:val="0000EE"/>
                  <w:w w:val="88"/>
                </w:rPr>
                <w:t>J. Probst (7)</w:t>
              </w:r>
            </w:hyperlink>
          </w:p>
        </w:tc>
        <w:tc>
          <w:tcPr>
            <w:tcW w:w="69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10.7</w:t>
            </w:r>
          </w:p>
        </w:tc>
        <w:tc>
          <w:tcPr>
            <w:tcW w:w="560" w:type="dxa"/>
            <w:vAlign w:val="bottom"/>
          </w:tcPr>
          <w:p>
            <w:pPr>
              <w:spacing w:after="0"/>
              <w:rPr>
                <w:sz w:val="20"/>
                <w:szCs w:val="20"/>
                <w:color w:val="auto"/>
              </w:rPr>
            </w:pPr>
          </w:p>
        </w:tc>
        <w:tc>
          <w:tcPr>
            <w:tcW w:w="7880" w:type="dxa"/>
            <w:vAlign w:val="bottom"/>
            <w:gridSpan w:val="13"/>
          </w:tcPr>
          <w:p>
            <w:pPr>
              <w:spacing w:after="0"/>
              <w:rPr>
                <w:rFonts w:ascii="Arial" w:cs="Arial" w:eastAsia="Arial" w:hAnsi="Arial"/>
                <w:sz w:val="19"/>
                <w:szCs w:val="19"/>
                <w:color w:val="0000EE"/>
                <w:w w:val="98"/>
              </w:rPr>
            </w:pPr>
            <w:hyperlink r:id="rId210">
              <w:r>
                <w:rPr>
                  <w:rFonts w:ascii="Arial" w:cs="Arial" w:eastAsia="Arial" w:hAnsi="Arial"/>
                  <w:sz w:val="19"/>
                  <w:szCs w:val="19"/>
                  <w:color w:val="0000EE"/>
                  <w:w w:val="98"/>
                </w:rPr>
                <w:t>Coinsurance Agreement between Kilpatrick Life Insurance Company and Security National Life</w:t>
              </w:r>
            </w:hyperlink>
          </w:p>
        </w:tc>
      </w:tr>
      <w:tr>
        <w:trPr>
          <w:trHeight w:val="204"/>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60" w:type="dxa"/>
            <w:vAlign w:val="bottom"/>
            <w:tcBorders>
              <w:top w:val="single" w:sz="8" w:color="0000FF"/>
            </w:tcBorders>
            <w:gridSpan w:val="12"/>
          </w:tcPr>
          <w:p>
            <w:pPr>
              <w:spacing w:after="0" w:line="204" w:lineRule="exact"/>
              <w:rPr>
                <w:rFonts w:ascii="Arial" w:cs="Arial" w:eastAsia="Arial" w:hAnsi="Arial"/>
                <w:sz w:val="19"/>
                <w:szCs w:val="19"/>
                <w:color w:val="0000EE"/>
              </w:rPr>
            </w:pPr>
            <w:hyperlink r:id="rId210">
              <w:r>
                <w:rPr>
                  <w:rFonts w:ascii="Arial" w:cs="Arial" w:eastAsia="Arial" w:hAnsi="Arial"/>
                  <w:sz w:val="19"/>
                  <w:szCs w:val="19"/>
                  <w:color w:val="0000EE"/>
                </w:rPr>
                <w:t>Insurance Company (9)</w:t>
              </w:r>
            </w:hyperlink>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1"/>
        </w:trPr>
        <w:tc>
          <w:tcPr>
            <w:tcW w:w="480" w:type="dxa"/>
            <w:vAlign w:val="bottom"/>
          </w:tcPr>
          <w:p>
            <w:pPr>
              <w:spacing w:after="0"/>
              <w:rPr>
                <w:sz w:val="20"/>
                <w:szCs w:val="20"/>
                <w:color w:val="auto"/>
              </w:rPr>
            </w:pPr>
            <w:r>
              <w:rPr>
                <w:rFonts w:ascii="Arial" w:cs="Arial" w:eastAsia="Arial" w:hAnsi="Arial"/>
                <w:sz w:val="19"/>
                <w:szCs w:val="19"/>
                <w:color w:val="auto"/>
              </w:rPr>
              <w:t>10.8</w:t>
            </w:r>
          </w:p>
        </w:tc>
        <w:tc>
          <w:tcPr>
            <w:tcW w:w="560" w:type="dxa"/>
            <w:vAlign w:val="bottom"/>
          </w:tcPr>
          <w:p>
            <w:pPr>
              <w:spacing w:after="0"/>
              <w:rPr>
                <w:sz w:val="20"/>
                <w:szCs w:val="20"/>
                <w:color w:val="auto"/>
              </w:rPr>
            </w:pPr>
          </w:p>
        </w:tc>
        <w:tc>
          <w:tcPr>
            <w:tcW w:w="7880" w:type="dxa"/>
            <w:vAlign w:val="bottom"/>
            <w:gridSpan w:val="13"/>
          </w:tcPr>
          <w:p>
            <w:pPr>
              <w:spacing w:after="0"/>
              <w:rPr>
                <w:rFonts w:ascii="Arial" w:cs="Arial" w:eastAsia="Arial" w:hAnsi="Arial"/>
                <w:sz w:val="19"/>
                <w:szCs w:val="19"/>
                <w:color w:val="0000EE"/>
                <w:w w:val="98"/>
              </w:rPr>
            </w:pPr>
            <w:hyperlink r:id="rId211">
              <w:r>
                <w:rPr>
                  <w:rFonts w:ascii="Arial" w:cs="Arial" w:eastAsia="Arial" w:hAnsi="Arial"/>
                  <w:sz w:val="19"/>
                  <w:szCs w:val="19"/>
                  <w:color w:val="0000EE"/>
                  <w:w w:val="98"/>
                </w:rPr>
                <w:t>Stock  Purchase  Agreement  among  Security  National  Financial  Corporation,  Kilpatrick  Life</w:t>
              </w:r>
            </w:hyperlink>
          </w:p>
        </w:tc>
      </w:tr>
      <w:tr>
        <w:trPr>
          <w:trHeight w:val="204"/>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20" w:type="dxa"/>
            <w:vAlign w:val="bottom"/>
            <w:tcBorders>
              <w:top w:val="single" w:sz="8" w:color="0000FF"/>
              <w:bottom w:val="single" w:sz="8" w:color="0000FF"/>
            </w:tcBorders>
            <w:gridSpan w:val="8"/>
          </w:tcPr>
          <w:p>
            <w:pPr>
              <w:spacing w:after="0" w:line="204" w:lineRule="exact"/>
              <w:rPr>
                <w:rFonts w:ascii="Arial" w:cs="Arial" w:eastAsia="Arial" w:hAnsi="Arial"/>
                <w:sz w:val="19"/>
                <w:szCs w:val="19"/>
                <w:color w:val="0000EE"/>
                <w:w w:val="92"/>
              </w:rPr>
            </w:pPr>
            <w:hyperlink r:id="rId211">
              <w:r>
                <w:rPr>
                  <w:rFonts w:ascii="Arial" w:cs="Arial" w:eastAsia="Arial" w:hAnsi="Arial"/>
                  <w:sz w:val="19"/>
                  <w:szCs w:val="19"/>
                  <w:color w:val="0000EE"/>
                  <w:w w:val="92"/>
                </w:rPr>
                <w:t>Insurance Company, and the shareholders of Kilpatrick Life Insurance Company (9)</w:t>
              </w:r>
            </w:hyperlink>
          </w:p>
        </w:tc>
        <w:tc>
          <w:tcPr>
            <w:tcW w:w="1300" w:type="dxa"/>
            <w:vAlign w:val="bottom"/>
            <w:tcBorders>
              <w:top w:val="single" w:sz="8" w:color="0000FF"/>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49"/>
        </w:trPr>
        <w:tc>
          <w:tcPr>
            <w:tcW w:w="480" w:type="dxa"/>
            <w:vAlign w:val="bottom"/>
          </w:tcPr>
          <w:p>
            <w:pPr>
              <w:spacing w:after="0"/>
              <w:rPr>
                <w:sz w:val="20"/>
                <w:szCs w:val="20"/>
                <w:color w:val="auto"/>
              </w:rPr>
            </w:pPr>
            <w:r>
              <w:rPr>
                <w:rFonts w:ascii="Arial" w:cs="Arial" w:eastAsia="Arial" w:hAnsi="Arial"/>
                <w:sz w:val="19"/>
                <w:szCs w:val="19"/>
                <w:color w:val="auto"/>
              </w:rPr>
              <w:t>10.9</w:t>
            </w:r>
          </w:p>
        </w:tc>
        <w:tc>
          <w:tcPr>
            <w:tcW w:w="560" w:type="dxa"/>
            <w:vAlign w:val="bottom"/>
          </w:tcPr>
          <w:p>
            <w:pPr>
              <w:spacing w:after="0"/>
              <w:rPr>
                <w:sz w:val="21"/>
                <w:szCs w:val="21"/>
                <w:color w:val="auto"/>
              </w:rPr>
            </w:pPr>
          </w:p>
        </w:tc>
        <w:tc>
          <w:tcPr>
            <w:tcW w:w="7880" w:type="dxa"/>
            <w:vAlign w:val="bottom"/>
            <w:gridSpan w:val="13"/>
          </w:tcPr>
          <w:p>
            <w:pPr>
              <w:spacing w:after="0"/>
              <w:rPr>
                <w:rFonts w:ascii="Arial" w:cs="Arial" w:eastAsia="Arial" w:hAnsi="Arial"/>
                <w:sz w:val="19"/>
                <w:szCs w:val="19"/>
                <w:color w:val="0000EE"/>
                <w:w w:val="97"/>
              </w:rPr>
            </w:pPr>
            <w:hyperlink r:id="rId212">
              <w:r>
                <w:rPr>
                  <w:rFonts w:ascii="Arial" w:cs="Arial" w:eastAsia="Arial" w:hAnsi="Arial"/>
                  <w:sz w:val="19"/>
                  <w:szCs w:val="19"/>
                  <w:color w:val="0000EE"/>
                  <w:w w:val="97"/>
                </w:rPr>
                <w:t>Consolidated Statement of Assets Acquired and Liabilities Assumed at December 31, 2019 (10)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-10795</wp:posOffset>
            </wp:positionV>
            <wp:extent cx="47148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ind w:left="1060" w:hanging="1032"/>
        <w:spacing w:after="0"/>
        <w:tabs>
          <w:tab w:leader="none" w:pos="1060" w:val="left"/>
        </w:tabs>
        <w:numPr>
          <w:ilvl w:val="0"/>
          <w:numId w:val="129"/>
        </w:numPr>
        <w:rPr>
          <w:rFonts w:ascii="Arial" w:cs="Arial" w:eastAsia="Arial" w:hAnsi="Arial"/>
          <w:sz w:val="19"/>
          <w:szCs w:val="19"/>
          <w:color w:val="0000EE"/>
        </w:rPr>
      </w:pPr>
      <w:hyperlink r:id="rId211">
        <w:r>
          <w:rPr>
            <w:rFonts w:ascii="Arial" w:cs="Arial" w:eastAsia="Arial" w:hAnsi="Arial"/>
            <w:sz w:val="19"/>
            <w:szCs w:val="19"/>
            <w:color w:val="0000EE"/>
          </w:rPr>
          <w:t>Code of Business Conduct and Ethics (8)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5715</wp:posOffset>
            </wp:positionV>
            <wp:extent cx="20269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12" w:lineRule="exact"/>
        <w:rPr>
          <w:sz w:val="20"/>
          <w:szCs w:val="20"/>
          <w:color w:val="auto"/>
        </w:rPr>
      </w:pPr>
    </w:p>
    <w:p>
      <w:pPr>
        <w:ind w:left="1060" w:hanging="1032"/>
        <w:spacing w:after="0"/>
        <w:tabs>
          <w:tab w:leader="none" w:pos="1060" w:val="left"/>
        </w:tabs>
        <w:numPr>
          <w:ilvl w:val="0"/>
          <w:numId w:val="130"/>
        </w:numPr>
        <w:rPr>
          <w:rFonts w:ascii="Arial" w:cs="Arial" w:eastAsia="Arial" w:hAnsi="Arial"/>
          <w:sz w:val="19"/>
          <w:szCs w:val="19"/>
          <w:color w:val="0000EE"/>
        </w:rPr>
      </w:pPr>
      <w:hyperlink r:id="rId215">
        <w:r>
          <w:rPr>
            <w:rFonts w:ascii="Arial" w:cs="Arial" w:eastAsia="Arial" w:hAnsi="Arial"/>
            <w:sz w:val="19"/>
            <w:szCs w:val="19"/>
            <w:color w:val="0000E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5715</wp:posOffset>
            </wp:positionV>
            <wp:extent cx="1449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ind w:left="20"/>
              <w:spacing w:after="0"/>
              <w:rPr>
                <w:sz w:val="20"/>
                <w:szCs w:val="20"/>
                <w:color w:val="auto"/>
              </w:rPr>
            </w:pPr>
            <w:r>
              <w:rPr>
                <w:rFonts w:ascii="Arial" w:cs="Arial" w:eastAsia="Arial" w:hAnsi="Arial"/>
                <w:sz w:val="19"/>
                <w:szCs w:val="19"/>
                <w:color w:val="auto"/>
              </w:rPr>
              <w:t>23.1</w:t>
            </w:r>
          </w:p>
        </w:tc>
        <w:tc>
          <w:tcPr>
            <w:tcW w:w="100" w:type="dxa"/>
            <w:vAlign w:val="bottom"/>
          </w:tcPr>
          <w:p>
            <w:pPr>
              <w:spacing w:after="0"/>
              <w:rPr>
                <w:sz w:val="19"/>
                <w:szCs w:val="19"/>
                <w:color w:val="auto"/>
              </w:rPr>
            </w:pPr>
          </w:p>
        </w:tc>
        <w:tc>
          <w:tcPr>
            <w:tcW w:w="7840" w:type="dxa"/>
            <w:vAlign w:val="bottom"/>
            <w:gridSpan w:val="7"/>
          </w:tcPr>
          <w:p>
            <w:pPr>
              <w:spacing w:after="0"/>
              <w:rPr>
                <w:rFonts w:ascii="Arial" w:cs="Arial" w:eastAsia="Arial" w:hAnsi="Arial"/>
                <w:sz w:val="19"/>
                <w:szCs w:val="19"/>
                <w:color w:val="0000EE"/>
              </w:rPr>
            </w:pPr>
            <w:hyperlink r:id="rId217">
              <w:r>
                <w:rPr>
                  <w:rFonts w:ascii="Arial" w:cs="Arial" w:eastAsia="Arial" w:hAnsi="Arial"/>
                  <w:sz w:val="19"/>
                  <w:szCs w:val="19"/>
                  <w:color w:val="0000EE"/>
                </w:rPr>
                <w:t>Consent of Eide Bailly LLP (4)</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1"/>
        </w:trPr>
        <w:tc>
          <w:tcPr>
            <w:tcW w:w="960" w:type="dxa"/>
            <w:vAlign w:val="bottom"/>
          </w:tcPr>
          <w:p>
            <w:pPr>
              <w:ind w:left="20"/>
              <w:spacing w:after="0"/>
              <w:rPr>
                <w:sz w:val="20"/>
                <w:szCs w:val="20"/>
                <w:color w:val="auto"/>
              </w:rPr>
            </w:pPr>
            <w:r>
              <w:rPr>
                <w:rFonts w:ascii="Arial" w:cs="Arial" w:eastAsia="Arial" w:hAnsi="Arial"/>
                <w:sz w:val="19"/>
                <w:szCs w:val="19"/>
                <w:color w:val="auto"/>
              </w:rPr>
              <w:t>23.2</w:t>
            </w:r>
          </w:p>
        </w:tc>
        <w:tc>
          <w:tcPr>
            <w:tcW w:w="100" w:type="dxa"/>
            <w:vAlign w:val="bottom"/>
          </w:tcPr>
          <w:p>
            <w:pPr>
              <w:spacing w:after="0"/>
              <w:rPr>
                <w:sz w:val="20"/>
                <w:szCs w:val="20"/>
                <w:color w:val="auto"/>
              </w:rPr>
            </w:pPr>
          </w:p>
        </w:tc>
        <w:tc>
          <w:tcPr>
            <w:tcW w:w="3160" w:type="dxa"/>
            <w:vAlign w:val="bottom"/>
            <w:tcBorders>
              <w:bottom w:val="single" w:sz="8" w:color="0000FF"/>
            </w:tcBorders>
            <w:gridSpan w:val="5"/>
          </w:tcPr>
          <w:p>
            <w:pPr>
              <w:spacing w:after="0"/>
              <w:rPr>
                <w:rFonts w:ascii="Arial" w:cs="Arial" w:eastAsia="Arial" w:hAnsi="Arial"/>
                <w:sz w:val="19"/>
                <w:szCs w:val="19"/>
                <w:color w:val="0000EE"/>
                <w:w w:val="93"/>
              </w:rPr>
            </w:pPr>
            <w:hyperlink r:id="rId218">
              <w:r>
                <w:rPr>
                  <w:rFonts w:ascii="Arial" w:cs="Arial" w:eastAsia="Arial" w:hAnsi="Arial"/>
                  <w:sz w:val="19"/>
                  <w:szCs w:val="19"/>
                  <w:color w:val="0000EE"/>
                  <w:w w:val="93"/>
                </w:rPr>
                <w:t>Consent of Mackey Price &amp; Mecham (4)</w:t>
              </w:r>
            </w:hyperlink>
          </w:p>
        </w:tc>
        <w:tc>
          <w:tcPr>
            <w:tcW w:w="4680" w:type="dxa"/>
            <w:vAlign w:val="bottom"/>
            <w:gridSpan w:val="2"/>
          </w:tcPr>
          <w:p>
            <w:pPr>
              <w:spacing w:after="0"/>
              <w:rPr>
                <w:sz w:val="20"/>
                <w:szCs w:val="20"/>
                <w:color w:val="auto"/>
              </w:rPr>
            </w:pPr>
          </w:p>
        </w:tc>
      </w:tr>
      <w:tr>
        <w:trPr>
          <w:trHeight w:val="231"/>
        </w:trPr>
        <w:tc>
          <w:tcPr>
            <w:tcW w:w="960" w:type="dxa"/>
            <w:vAlign w:val="bottom"/>
          </w:tcPr>
          <w:p>
            <w:pPr>
              <w:ind w:left="20"/>
              <w:spacing w:after="0"/>
              <w:rPr>
                <w:sz w:val="20"/>
                <w:szCs w:val="20"/>
                <w:color w:val="auto"/>
              </w:rPr>
            </w:pPr>
            <w:r>
              <w:rPr>
                <w:rFonts w:ascii="Arial" w:cs="Arial" w:eastAsia="Arial" w:hAnsi="Arial"/>
                <w:sz w:val="19"/>
                <w:szCs w:val="19"/>
                <w:color w:val="auto"/>
              </w:rPr>
              <w:t>31.1</w:t>
            </w:r>
          </w:p>
        </w:tc>
        <w:tc>
          <w:tcPr>
            <w:tcW w:w="100" w:type="dxa"/>
            <w:vAlign w:val="bottom"/>
          </w:tcPr>
          <w:p>
            <w:pPr>
              <w:spacing w:after="0"/>
              <w:rPr>
                <w:sz w:val="20"/>
                <w:szCs w:val="20"/>
                <w:color w:val="auto"/>
              </w:rPr>
            </w:pPr>
          </w:p>
        </w:tc>
        <w:tc>
          <w:tcPr>
            <w:tcW w:w="7840" w:type="dxa"/>
            <w:vAlign w:val="bottom"/>
            <w:tcBorders>
              <w:bottom w:val="single" w:sz="8" w:color="0000FF"/>
            </w:tcBorders>
            <w:gridSpan w:val="7"/>
          </w:tcPr>
          <w:p>
            <w:pPr>
              <w:spacing w:after="0"/>
              <w:rPr>
                <w:rFonts w:ascii="Arial" w:cs="Arial" w:eastAsia="Arial" w:hAnsi="Arial"/>
                <w:sz w:val="19"/>
                <w:szCs w:val="19"/>
                <w:color w:val="0000EE"/>
                <w:w w:val="93"/>
              </w:rPr>
            </w:pPr>
            <w:hyperlink r:id="rId219">
              <w:r>
                <w:rPr>
                  <w:rFonts w:ascii="Arial" w:cs="Arial" w:eastAsia="Arial" w:hAnsi="Arial"/>
                  <w:sz w:val="19"/>
                  <w:szCs w:val="19"/>
                  <w:color w:val="0000EE"/>
                  <w:w w:val="93"/>
                </w:rPr>
                <w:t>Certification pursuant to 18 U.S.C. Section 1350, as enacted by Section 302 of the Sarbanes-Oxley</w:t>
              </w:r>
            </w:hyperlink>
          </w:p>
        </w:tc>
      </w:tr>
      <w:tr>
        <w:trPr>
          <w:trHeight w:val="204"/>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7"/>
          </w:tcPr>
          <w:p>
            <w:pPr>
              <w:spacing w:after="0" w:line="204" w:lineRule="exact"/>
              <w:rPr>
                <w:rFonts w:ascii="Arial" w:cs="Arial" w:eastAsia="Arial" w:hAnsi="Arial"/>
                <w:sz w:val="19"/>
                <w:szCs w:val="19"/>
                <w:color w:val="0000EE"/>
              </w:rPr>
            </w:pPr>
            <w:hyperlink r:id="rId219">
              <w:r>
                <w:rPr>
                  <w:rFonts w:ascii="Arial" w:cs="Arial" w:eastAsia="Arial" w:hAnsi="Arial"/>
                  <w:sz w:val="19"/>
                  <w:szCs w:val="19"/>
                  <w:color w:val="0000EE"/>
                </w:rPr>
                <w:t>Act of 2002</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1"/>
        </w:trPr>
        <w:tc>
          <w:tcPr>
            <w:tcW w:w="960" w:type="dxa"/>
            <w:vAlign w:val="bottom"/>
          </w:tcPr>
          <w:p>
            <w:pPr>
              <w:ind w:left="20"/>
              <w:spacing w:after="0"/>
              <w:rPr>
                <w:sz w:val="20"/>
                <w:szCs w:val="20"/>
                <w:color w:val="auto"/>
              </w:rPr>
            </w:pPr>
            <w:r>
              <w:rPr>
                <w:rFonts w:ascii="Arial" w:cs="Arial" w:eastAsia="Arial" w:hAnsi="Arial"/>
                <w:sz w:val="19"/>
                <w:szCs w:val="19"/>
                <w:color w:val="auto"/>
              </w:rPr>
              <w:t>31.2</w:t>
            </w:r>
          </w:p>
        </w:tc>
        <w:tc>
          <w:tcPr>
            <w:tcW w:w="100" w:type="dxa"/>
            <w:vAlign w:val="bottom"/>
          </w:tcPr>
          <w:p>
            <w:pPr>
              <w:spacing w:after="0"/>
              <w:rPr>
                <w:sz w:val="20"/>
                <w:szCs w:val="20"/>
                <w:color w:val="auto"/>
              </w:rPr>
            </w:pPr>
          </w:p>
        </w:tc>
        <w:tc>
          <w:tcPr>
            <w:tcW w:w="7840" w:type="dxa"/>
            <w:vAlign w:val="bottom"/>
            <w:tcBorders>
              <w:bottom w:val="single" w:sz="8" w:color="0000FF"/>
            </w:tcBorders>
            <w:gridSpan w:val="7"/>
          </w:tcPr>
          <w:p>
            <w:pPr>
              <w:spacing w:after="0"/>
              <w:rPr>
                <w:rFonts w:ascii="Arial" w:cs="Arial" w:eastAsia="Arial" w:hAnsi="Arial"/>
                <w:sz w:val="19"/>
                <w:szCs w:val="19"/>
                <w:color w:val="0000EE"/>
                <w:w w:val="93"/>
              </w:rPr>
            </w:pPr>
            <w:hyperlink r:id="rId220">
              <w:r>
                <w:rPr>
                  <w:rFonts w:ascii="Arial" w:cs="Arial" w:eastAsia="Arial" w:hAnsi="Arial"/>
                  <w:sz w:val="19"/>
                  <w:szCs w:val="19"/>
                  <w:color w:val="0000EE"/>
                  <w:w w:val="93"/>
                </w:rPr>
                <w:t>Certification pursuant to 18 U.S.C. Section 1350, as enacted by Section 302 of the Sarbanes-Oxley</w:t>
              </w:r>
            </w:hyperlink>
          </w:p>
        </w:tc>
      </w:tr>
      <w:tr>
        <w:trPr>
          <w:trHeight w:val="204"/>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7"/>
          </w:tcPr>
          <w:p>
            <w:pPr>
              <w:spacing w:after="0" w:line="204" w:lineRule="exact"/>
              <w:rPr>
                <w:rFonts w:ascii="Arial" w:cs="Arial" w:eastAsia="Arial" w:hAnsi="Arial"/>
                <w:sz w:val="19"/>
                <w:szCs w:val="19"/>
                <w:color w:val="0000EE"/>
              </w:rPr>
            </w:pPr>
            <w:hyperlink r:id="rId220">
              <w:r>
                <w:rPr>
                  <w:rFonts w:ascii="Arial" w:cs="Arial" w:eastAsia="Arial" w:hAnsi="Arial"/>
                  <w:sz w:val="19"/>
                  <w:szCs w:val="19"/>
                  <w:color w:val="0000EE"/>
                </w:rPr>
                <w:t>Act of 2002</w:t>
              </w:r>
            </w:hyperlink>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1"/>
        </w:trPr>
        <w:tc>
          <w:tcPr>
            <w:tcW w:w="960" w:type="dxa"/>
            <w:vAlign w:val="bottom"/>
          </w:tcPr>
          <w:p>
            <w:pPr>
              <w:ind w:left="20"/>
              <w:spacing w:after="0"/>
              <w:rPr>
                <w:sz w:val="20"/>
                <w:szCs w:val="20"/>
                <w:color w:val="auto"/>
              </w:rPr>
            </w:pPr>
            <w:r>
              <w:rPr>
                <w:rFonts w:ascii="Arial" w:cs="Arial" w:eastAsia="Arial" w:hAnsi="Arial"/>
                <w:sz w:val="19"/>
                <w:szCs w:val="19"/>
                <w:color w:val="auto"/>
              </w:rPr>
              <w:t>32.1</w:t>
            </w:r>
          </w:p>
        </w:tc>
        <w:tc>
          <w:tcPr>
            <w:tcW w:w="100" w:type="dxa"/>
            <w:vAlign w:val="bottom"/>
          </w:tcPr>
          <w:p>
            <w:pPr>
              <w:spacing w:after="0"/>
              <w:rPr>
                <w:sz w:val="20"/>
                <w:szCs w:val="20"/>
                <w:color w:val="auto"/>
              </w:rPr>
            </w:pPr>
          </w:p>
        </w:tc>
        <w:tc>
          <w:tcPr>
            <w:tcW w:w="7840" w:type="dxa"/>
            <w:vAlign w:val="bottom"/>
            <w:gridSpan w:val="7"/>
          </w:tcPr>
          <w:p>
            <w:pPr>
              <w:spacing w:after="0"/>
              <w:rPr>
                <w:rFonts w:ascii="Arial" w:cs="Arial" w:eastAsia="Arial" w:hAnsi="Arial"/>
                <w:sz w:val="19"/>
                <w:szCs w:val="19"/>
                <w:color w:val="0000EE"/>
              </w:rPr>
            </w:pPr>
            <w:hyperlink r:id="rId221">
              <w:r>
                <w:rPr>
                  <w:rFonts w:ascii="Arial" w:cs="Arial" w:eastAsia="Arial" w:hAnsi="Arial"/>
                  <w:sz w:val="19"/>
                  <w:szCs w:val="19"/>
                  <w:color w:val="0000EE"/>
                </w:rPr>
                <w:t>Certification pursuant to 18 U.S.C. Section 1350, as adopted pursuant to Section 906 of the</w:t>
              </w:r>
            </w:hyperlink>
          </w:p>
        </w:tc>
      </w:tr>
      <w:tr>
        <w:trPr>
          <w:trHeight w:val="204"/>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top w:val="single" w:sz="8" w:color="0000FF"/>
              <w:bottom w:val="single" w:sz="8" w:color="0000FF"/>
            </w:tcBorders>
            <w:gridSpan w:val="3"/>
          </w:tcPr>
          <w:p>
            <w:pPr>
              <w:spacing w:after="0" w:line="204" w:lineRule="exact"/>
              <w:rPr>
                <w:rFonts w:ascii="Arial" w:cs="Arial" w:eastAsia="Arial" w:hAnsi="Arial"/>
                <w:sz w:val="19"/>
                <w:szCs w:val="19"/>
                <w:color w:val="0000EE"/>
                <w:w w:val="92"/>
              </w:rPr>
            </w:pPr>
            <w:hyperlink r:id="rId221">
              <w:r>
                <w:rPr>
                  <w:rFonts w:ascii="Arial" w:cs="Arial" w:eastAsia="Arial" w:hAnsi="Arial"/>
                  <w:sz w:val="19"/>
                  <w:szCs w:val="19"/>
                  <w:color w:val="0000EE"/>
                  <w:w w:val="92"/>
                </w:rPr>
                <w:t>Sarbanes-Oxley Act of 2002</w:t>
              </w:r>
            </w:hyperlink>
          </w:p>
        </w:tc>
        <w:tc>
          <w:tcPr>
            <w:tcW w:w="4840" w:type="dxa"/>
            <w:vAlign w:val="bottom"/>
            <w:tcBorders>
              <w:top w:val="single" w:sz="8" w:color="0000FF"/>
            </w:tcBorders>
            <w:gridSpan w:val="3"/>
          </w:tcPr>
          <w:p>
            <w:pPr>
              <w:spacing w:after="0"/>
              <w:rPr>
                <w:sz w:val="17"/>
                <w:szCs w:val="17"/>
                <w:color w:val="auto"/>
              </w:rPr>
            </w:pPr>
          </w:p>
        </w:tc>
        <w:tc>
          <w:tcPr>
            <w:tcW w:w="780" w:type="dxa"/>
            <w:vAlign w:val="bottom"/>
          </w:tcPr>
          <w:p>
            <w:pPr>
              <w:spacing w:after="0"/>
              <w:rPr>
                <w:sz w:val="17"/>
                <w:szCs w:val="17"/>
                <w:color w:val="auto"/>
              </w:rPr>
            </w:pPr>
          </w:p>
        </w:tc>
      </w:tr>
      <w:tr>
        <w:trPr>
          <w:trHeight w:val="231"/>
        </w:trPr>
        <w:tc>
          <w:tcPr>
            <w:tcW w:w="960" w:type="dxa"/>
            <w:vAlign w:val="bottom"/>
          </w:tcPr>
          <w:p>
            <w:pPr>
              <w:ind w:left="20"/>
              <w:spacing w:after="0"/>
              <w:rPr>
                <w:sz w:val="20"/>
                <w:szCs w:val="20"/>
                <w:color w:val="auto"/>
              </w:rPr>
            </w:pPr>
            <w:r>
              <w:rPr>
                <w:rFonts w:ascii="Arial" w:cs="Arial" w:eastAsia="Arial" w:hAnsi="Arial"/>
                <w:sz w:val="19"/>
                <w:szCs w:val="19"/>
                <w:color w:val="auto"/>
              </w:rPr>
              <w:t>32.2</w:t>
            </w:r>
          </w:p>
        </w:tc>
        <w:tc>
          <w:tcPr>
            <w:tcW w:w="100" w:type="dxa"/>
            <w:vAlign w:val="bottom"/>
          </w:tcPr>
          <w:p>
            <w:pPr>
              <w:spacing w:after="0"/>
              <w:rPr>
                <w:sz w:val="20"/>
                <w:szCs w:val="20"/>
                <w:color w:val="auto"/>
              </w:rPr>
            </w:pPr>
          </w:p>
        </w:tc>
        <w:tc>
          <w:tcPr>
            <w:tcW w:w="7840" w:type="dxa"/>
            <w:vAlign w:val="bottom"/>
            <w:gridSpan w:val="7"/>
          </w:tcPr>
          <w:p>
            <w:pPr>
              <w:spacing w:after="0"/>
              <w:rPr>
                <w:rFonts w:ascii="Arial" w:cs="Arial" w:eastAsia="Arial" w:hAnsi="Arial"/>
                <w:sz w:val="19"/>
                <w:szCs w:val="19"/>
                <w:color w:val="0000EE"/>
              </w:rPr>
            </w:pPr>
            <w:hyperlink r:id="rId222">
              <w:r>
                <w:rPr>
                  <w:rFonts w:ascii="Arial" w:cs="Arial" w:eastAsia="Arial" w:hAnsi="Arial"/>
                  <w:sz w:val="19"/>
                  <w:szCs w:val="19"/>
                  <w:color w:val="0000EE"/>
                </w:rPr>
                <w:t>Certification pursuant to 18 U.S.C. Section 1350, as adopted pursuant to Section 906 of the</w:t>
              </w:r>
            </w:hyperlink>
          </w:p>
        </w:tc>
      </w:tr>
      <w:tr>
        <w:trPr>
          <w:trHeight w:val="204"/>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tcBorders>
              <w:top w:val="single" w:sz="8" w:color="0000FF"/>
            </w:tcBorders>
            <w:gridSpan w:val="6"/>
          </w:tcPr>
          <w:p>
            <w:pPr>
              <w:spacing w:after="0" w:line="204" w:lineRule="exact"/>
              <w:rPr>
                <w:rFonts w:ascii="Arial" w:cs="Arial" w:eastAsia="Arial" w:hAnsi="Arial"/>
                <w:sz w:val="19"/>
                <w:szCs w:val="19"/>
                <w:color w:val="0000EE"/>
              </w:rPr>
            </w:pPr>
            <w:hyperlink r:id="rId222">
              <w:r>
                <w:rPr>
                  <w:rFonts w:ascii="Arial" w:cs="Arial" w:eastAsia="Arial" w:hAnsi="Arial"/>
                  <w:sz w:val="19"/>
                  <w:szCs w:val="19"/>
                  <w:color w:val="0000EE"/>
                </w:rPr>
                <w:t>Sarbanes-Oxley Act of 2002</w:t>
              </w:r>
            </w:hyperlink>
          </w:p>
        </w:tc>
        <w:tc>
          <w:tcPr>
            <w:tcW w:w="780" w:type="dxa"/>
            <w:vAlign w:val="bottom"/>
          </w:tcPr>
          <w:p>
            <w:pPr>
              <w:spacing w:after="0"/>
              <w:rPr>
                <w:sz w:val="17"/>
                <w:szCs w:val="17"/>
                <w:color w:val="auto"/>
              </w:rPr>
            </w:pPr>
          </w:p>
        </w:tc>
      </w:tr>
      <w:tr>
        <w:trPr>
          <w:trHeight w:val="249"/>
        </w:trPr>
        <w:tc>
          <w:tcPr>
            <w:tcW w:w="1060" w:type="dxa"/>
            <w:vAlign w:val="bottom"/>
            <w:gridSpan w:val="2"/>
          </w:tcPr>
          <w:p>
            <w:pPr>
              <w:ind w:left="20"/>
              <w:spacing w:after="0"/>
              <w:rPr>
                <w:sz w:val="20"/>
                <w:szCs w:val="20"/>
                <w:color w:val="auto"/>
              </w:rPr>
            </w:pPr>
            <w:r>
              <w:rPr>
                <w:rFonts w:ascii="Arial" w:cs="Arial" w:eastAsia="Arial" w:hAnsi="Arial"/>
                <w:sz w:val="19"/>
                <w:szCs w:val="19"/>
                <w:color w:val="auto"/>
              </w:rPr>
              <w:t>101.xml</w:t>
            </w:r>
          </w:p>
        </w:tc>
        <w:tc>
          <w:tcPr>
            <w:tcW w:w="2200" w:type="dxa"/>
            <w:vAlign w:val="bottom"/>
            <w:tcBorders>
              <w:top w:val="single" w:sz="8" w:color="0000FF"/>
            </w:tcBorders>
            <w:gridSpan w:val="2"/>
          </w:tcPr>
          <w:p>
            <w:pPr>
              <w:spacing w:after="0"/>
              <w:rPr>
                <w:sz w:val="20"/>
                <w:szCs w:val="20"/>
                <w:color w:val="auto"/>
              </w:rPr>
            </w:pPr>
            <w:r>
              <w:rPr>
                <w:rFonts w:ascii="Arial" w:cs="Arial" w:eastAsia="Arial" w:hAnsi="Arial"/>
                <w:sz w:val="19"/>
                <w:szCs w:val="19"/>
                <w:color w:val="auto"/>
              </w:rPr>
              <w:t>Instance Document</w:t>
            </w:r>
          </w:p>
        </w:tc>
        <w:tc>
          <w:tcPr>
            <w:tcW w:w="5640" w:type="dxa"/>
            <w:vAlign w:val="bottom"/>
            <w:gridSpan w:val="5"/>
          </w:tcPr>
          <w:p>
            <w:pPr>
              <w:spacing w:after="0"/>
              <w:rPr>
                <w:sz w:val="21"/>
                <w:szCs w:val="21"/>
                <w:color w:val="auto"/>
              </w:rPr>
            </w:pPr>
          </w:p>
        </w:tc>
      </w:tr>
      <w:tr>
        <w:trPr>
          <w:trHeight w:val="251"/>
        </w:trPr>
        <w:tc>
          <w:tcPr>
            <w:tcW w:w="1060" w:type="dxa"/>
            <w:vAlign w:val="bottom"/>
            <w:gridSpan w:val="2"/>
          </w:tcPr>
          <w:p>
            <w:pPr>
              <w:ind w:left="20"/>
              <w:spacing w:after="0"/>
              <w:rPr>
                <w:sz w:val="20"/>
                <w:szCs w:val="20"/>
                <w:color w:val="auto"/>
              </w:rPr>
            </w:pPr>
            <w:r>
              <w:rPr>
                <w:rFonts w:ascii="Arial" w:cs="Arial" w:eastAsia="Arial" w:hAnsi="Arial"/>
                <w:sz w:val="19"/>
                <w:szCs w:val="19"/>
                <w:color w:val="auto"/>
              </w:rPr>
              <w:t>101.xsd</w:t>
            </w:r>
          </w:p>
        </w:tc>
        <w:tc>
          <w:tcPr>
            <w:tcW w:w="7840" w:type="dxa"/>
            <w:vAlign w:val="bottom"/>
            <w:gridSpan w:val="7"/>
          </w:tcPr>
          <w:p>
            <w:pPr>
              <w:spacing w:after="0"/>
              <w:rPr>
                <w:sz w:val="20"/>
                <w:szCs w:val="20"/>
                <w:color w:val="auto"/>
              </w:rPr>
            </w:pPr>
            <w:r>
              <w:rPr>
                <w:rFonts w:ascii="Arial" w:cs="Arial" w:eastAsia="Arial" w:hAnsi="Arial"/>
                <w:sz w:val="19"/>
                <w:szCs w:val="19"/>
                <w:color w:val="auto"/>
              </w:rPr>
              <w:t>Taxonomy Extension Schema Document</w:t>
            </w:r>
          </w:p>
        </w:tc>
      </w:tr>
      <w:tr>
        <w:trPr>
          <w:trHeight w:val="251"/>
        </w:trPr>
        <w:tc>
          <w:tcPr>
            <w:tcW w:w="1060" w:type="dxa"/>
            <w:vAlign w:val="bottom"/>
            <w:gridSpan w:val="2"/>
          </w:tcPr>
          <w:p>
            <w:pPr>
              <w:ind w:left="20"/>
              <w:spacing w:after="0"/>
              <w:rPr>
                <w:sz w:val="20"/>
                <w:szCs w:val="20"/>
                <w:color w:val="auto"/>
              </w:rPr>
            </w:pPr>
            <w:r>
              <w:rPr>
                <w:rFonts w:ascii="Arial" w:cs="Arial" w:eastAsia="Arial" w:hAnsi="Arial"/>
                <w:sz w:val="19"/>
                <w:szCs w:val="19"/>
                <w:color w:val="auto"/>
              </w:rPr>
              <w:t>101.cal</w:t>
            </w:r>
          </w:p>
        </w:tc>
        <w:tc>
          <w:tcPr>
            <w:tcW w:w="7840" w:type="dxa"/>
            <w:vAlign w:val="bottom"/>
            <w:gridSpan w:val="7"/>
          </w:tcPr>
          <w:p>
            <w:pPr>
              <w:spacing w:after="0"/>
              <w:rPr>
                <w:sz w:val="20"/>
                <w:szCs w:val="20"/>
                <w:color w:val="auto"/>
              </w:rPr>
            </w:pPr>
            <w:r>
              <w:rPr>
                <w:rFonts w:ascii="Arial" w:cs="Arial" w:eastAsia="Arial" w:hAnsi="Arial"/>
                <w:sz w:val="19"/>
                <w:szCs w:val="19"/>
                <w:color w:val="auto"/>
              </w:rPr>
              <w:t>Taxonomy Extension Calculation Linkbase Document</w:t>
            </w:r>
          </w:p>
        </w:tc>
      </w:tr>
      <w:tr>
        <w:trPr>
          <w:trHeight w:val="251"/>
        </w:trPr>
        <w:tc>
          <w:tcPr>
            <w:tcW w:w="1060" w:type="dxa"/>
            <w:vAlign w:val="bottom"/>
            <w:gridSpan w:val="2"/>
          </w:tcPr>
          <w:p>
            <w:pPr>
              <w:ind w:left="20"/>
              <w:spacing w:after="0"/>
              <w:rPr>
                <w:sz w:val="20"/>
                <w:szCs w:val="20"/>
                <w:color w:val="auto"/>
              </w:rPr>
            </w:pPr>
            <w:r>
              <w:rPr>
                <w:rFonts w:ascii="Arial" w:cs="Arial" w:eastAsia="Arial" w:hAnsi="Arial"/>
                <w:sz w:val="19"/>
                <w:szCs w:val="19"/>
                <w:color w:val="auto"/>
              </w:rPr>
              <w:t>101.def</w:t>
            </w:r>
          </w:p>
        </w:tc>
        <w:tc>
          <w:tcPr>
            <w:tcW w:w="7840" w:type="dxa"/>
            <w:vAlign w:val="bottom"/>
            <w:gridSpan w:val="7"/>
          </w:tcPr>
          <w:p>
            <w:pPr>
              <w:spacing w:after="0"/>
              <w:rPr>
                <w:sz w:val="20"/>
                <w:szCs w:val="20"/>
                <w:color w:val="auto"/>
              </w:rPr>
            </w:pPr>
            <w:r>
              <w:rPr>
                <w:rFonts w:ascii="Arial" w:cs="Arial" w:eastAsia="Arial" w:hAnsi="Arial"/>
                <w:sz w:val="19"/>
                <w:szCs w:val="19"/>
                <w:color w:val="auto"/>
              </w:rPr>
              <w:t>Taxonomy Extension Definition Linkbase Document</w:t>
            </w:r>
          </w:p>
        </w:tc>
      </w:tr>
      <w:tr>
        <w:trPr>
          <w:trHeight w:val="251"/>
        </w:trPr>
        <w:tc>
          <w:tcPr>
            <w:tcW w:w="1060" w:type="dxa"/>
            <w:vAlign w:val="bottom"/>
            <w:gridSpan w:val="2"/>
          </w:tcPr>
          <w:p>
            <w:pPr>
              <w:ind w:left="20"/>
              <w:spacing w:after="0"/>
              <w:rPr>
                <w:sz w:val="20"/>
                <w:szCs w:val="20"/>
                <w:color w:val="auto"/>
              </w:rPr>
            </w:pPr>
            <w:r>
              <w:rPr>
                <w:rFonts w:ascii="Arial" w:cs="Arial" w:eastAsia="Arial" w:hAnsi="Arial"/>
                <w:sz w:val="19"/>
                <w:szCs w:val="19"/>
                <w:color w:val="auto"/>
              </w:rPr>
              <w:t>101.lab</w:t>
            </w:r>
          </w:p>
        </w:tc>
        <w:tc>
          <w:tcPr>
            <w:tcW w:w="7840" w:type="dxa"/>
            <w:vAlign w:val="bottom"/>
            <w:gridSpan w:val="7"/>
          </w:tcPr>
          <w:p>
            <w:pPr>
              <w:spacing w:after="0"/>
              <w:rPr>
                <w:sz w:val="20"/>
                <w:szCs w:val="20"/>
                <w:color w:val="auto"/>
              </w:rPr>
            </w:pPr>
            <w:r>
              <w:rPr>
                <w:rFonts w:ascii="Arial" w:cs="Arial" w:eastAsia="Arial" w:hAnsi="Arial"/>
                <w:sz w:val="19"/>
                <w:szCs w:val="19"/>
                <w:color w:val="auto"/>
              </w:rPr>
              <w:t>Taxonomy Extension Label Linkbase Document</w:t>
            </w:r>
          </w:p>
        </w:tc>
      </w:tr>
      <w:tr>
        <w:trPr>
          <w:trHeight w:val="255"/>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101.pre</w:t>
            </w:r>
          </w:p>
        </w:tc>
        <w:tc>
          <w:tcPr>
            <w:tcW w:w="100" w:type="dxa"/>
            <w:vAlign w:val="bottom"/>
          </w:tcPr>
          <w:p>
            <w:pPr>
              <w:spacing w:after="0"/>
              <w:rPr>
                <w:sz w:val="22"/>
                <w:szCs w:val="22"/>
                <w:color w:val="auto"/>
              </w:rPr>
            </w:pPr>
          </w:p>
        </w:tc>
        <w:tc>
          <w:tcPr>
            <w:tcW w:w="7840" w:type="dxa"/>
            <w:vAlign w:val="bottom"/>
            <w:gridSpan w:val="7"/>
          </w:tcPr>
          <w:p>
            <w:pPr>
              <w:spacing w:after="0"/>
              <w:rPr>
                <w:sz w:val="20"/>
                <w:szCs w:val="20"/>
                <w:color w:val="auto"/>
              </w:rPr>
            </w:pPr>
            <w:r>
              <w:rPr>
                <w:rFonts w:ascii="Arial" w:cs="Arial" w:eastAsia="Arial" w:hAnsi="Arial"/>
                <w:sz w:val="19"/>
                <w:szCs w:val="19"/>
                <w:color w:val="auto"/>
              </w:rPr>
              <w:t>Taxonomy Extension Presentation Linkbase Document</w:t>
            </w:r>
          </w:p>
        </w:tc>
      </w:tr>
    </w:tbl>
    <w:p>
      <w:pPr>
        <w:spacing w:after="0" w:line="155" w:lineRule="exact"/>
        <w:rPr>
          <w:sz w:val="20"/>
          <w:szCs w:val="20"/>
          <w:color w:val="auto"/>
        </w:rPr>
      </w:pPr>
    </w:p>
    <w:p>
      <w:pPr>
        <w:ind w:left="1280" w:hanging="315"/>
        <w:spacing w:after="0"/>
        <w:tabs>
          <w:tab w:leader="none" w:pos="12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33" w:lineRule="exact"/>
        <w:rPr>
          <w:rFonts w:ascii="Arial" w:cs="Arial" w:eastAsia="Arial" w:hAnsi="Arial"/>
          <w:sz w:val="18"/>
          <w:szCs w:val="18"/>
          <w:color w:val="auto"/>
        </w:rPr>
      </w:pP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November 13, 2015</w:t>
      </w:r>
    </w:p>
    <w:p>
      <w:pPr>
        <w:spacing w:after="0" w:line="5" w:lineRule="exact"/>
        <w:rPr>
          <w:rFonts w:ascii="Arial" w:cs="Arial" w:eastAsia="Arial" w:hAnsi="Arial"/>
          <w:sz w:val="19"/>
          <w:szCs w:val="19"/>
          <w:color w:val="auto"/>
        </w:rPr>
      </w:pP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August 15, 2016</w:t>
      </w:r>
    </w:p>
    <w:p>
      <w:pPr>
        <w:spacing w:after="0" w:line="5" w:lineRule="exact"/>
        <w:rPr>
          <w:rFonts w:ascii="Arial" w:cs="Arial" w:eastAsia="Arial" w:hAnsi="Arial"/>
          <w:sz w:val="19"/>
          <w:szCs w:val="19"/>
          <w:color w:val="auto"/>
        </w:rPr>
      </w:pPr>
    </w:p>
    <w:p>
      <w:pPr>
        <w:ind w:left="1440" w:right="299" w:hanging="475"/>
        <w:spacing w:after="0" w:line="246" w:lineRule="auto"/>
        <w:tabs>
          <w:tab w:leader="none" w:pos="128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Registration Statement on Form S-8, as filed on September 7, 2016</w:t>
      </w: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10-K, as filed on March 31, 2017</w:t>
      </w:r>
    </w:p>
    <w:p>
      <w:pPr>
        <w:spacing w:after="0" w:line="5" w:lineRule="exact"/>
        <w:rPr>
          <w:rFonts w:ascii="Arial" w:cs="Arial" w:eastAsia="Arial" w:hAnsi="Arial"/>
          <w:sz w:val="19"/>
          <w:szCs w:val="19"/>
          <w:color w:val="auto"/>
        </w:rPr>
      </w:pP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November 13, 2018</w:t>
      </w:r>
    </w:p>
    <w:p>
      <w:pPr>
        <w:spacing w:after="0" w:line="5" w:lineRule="exact"/>
        <w:rPr>
          <w:rFonts w:ascii="Arial" w:cs="Arial" w:eastAsia="Arial" w:hAnsi="Arial"/>
          <w:sz w:val="19"/>
          <w:szCs w:val="19"/>
          <w:color w:val="auto"/>
        </w:rPr>
      </w:pP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8-K, as filed on February 28, 2019</w:t>
      </w:r>
    </w:p>
    <w:p>
      <w:pPr>
        <w:spacing w:after="0" w:line="5" w:lineRule="exact"/>
        <w:rPr>
          <w:rFonts w:ascii="Arial" w:cs="Arial" w:eastAsia="Arial" w:hAnsi="Arial"/>
          <w:sz w:val="19"/>
          <w:szCs w:val="19"/>
          <w:color w:val="auto"/>
        </w:rPr>
      </w:pP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May 15, 2019</w:t>
      </w:r>
    </w:p>
    <w:p>
      <w:pPr>
        <w:spacing w:after="0" w:line="5" w:lineRule="exact"/>
        <w:rPr>
          <w:rFonts w:ascii="Arial" w:cs="Arial" w:eastAsia="Arial" w:hAnsi="Arial"/>
          <w:sz w:val="19"/>
          <w:szCs w:val="19"/>
          <w:color w:val="auto"/>
        </w:rPr>
      </w:pPr>
    </w:p>
    <w:p>
      <w:pPr>
        <w:ind w:left="1280" w:hanging="315"/>
        <w:spacing w:after="0"/>
        <w:tabs>
          <w:tab w:leader="none" w:pos="128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8-K, as filed on November 12, 2019</w:t>
      </w:r>
    </w:p>
    <w:p>
      <w:pPr>
        <w:spacing w:after="0" w:line="5" w:lineRule="exact"/>
        <w:rPr>
          <w:rFonts w:ascii="Arial" w:cs="Arial" w:eastAsia="Arial" w:hAnsi="Arial"/>
          <w:sz w:val="19"/>
          <w:szCs w:val="19"/>
          <w:color w:val="auto"/>
        </w:rPr>
      </w:pPr>
    </w:p>
    <w:p>
      <w:pPr>
        <w:ind w:left="1360" w:hanging="395"/>
        <w:spacing w:after="0"/>
        <w:tabs>
          <w:tab w:leader="none" w:pos="13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8-K/A, as filed on February 26, 2020</w:t>
      </w:r>
    </w:p>
    <w:p>
      <w:pPr>
        <w:spacing w:after="0" w:line="5" w:lineRule="exact"/>
        <w:rPr>
          <w:rFonts w:ascii="Arial" w:cs="Arial" w:eastAsia="Arial" w:hAnsi="Arial"/>
          <w:sz w:val="19"/>
          <w:szCs w:val="19"/>
          <w:color w:val="auto"/>
        </w:rPr>
      </w:pPr>
    </w:p>
    <w:p>
      <w:pPr>
        <w:ind w:left="1360" w:hanging="395"/>
        <w:spacing w:after="0"/>
        <w:tabs>
          <w:tab w:leader="none" w:pos="136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August 14, 2020</w:t>
      </w: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5653405" cy="33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99"/>
          </w:cols>
          <w:pgMar w:left="1260" w:top="122" w:right="1440" w:bottom="1440" w:gutter="0" w:footer="0" w:header="0"/>
        </w:sectPr>
      </w:pPr>
    </w:p>
    <w:bookmarkStart w:id="135" w:name="page136"/>
    <w:bookmarkEnd w:id="135"/>
    <w:p>
      <w:pPr>
        <w:jc w:val="center"/>
        <w:ind w:right="279"/>
        <w:spacing w:after="0"/>
        <w:rPr>
          <w:sz w:val="20"/>
          <w:szCs w:val="20"/>
          <w:color w:val="auto"/>
        </w:rPr>
      </w:pPr>
      <w:r>
        <w:rPr>
          <w:rFonts w:ascii="Arial" w:cs="Arial" w:eastAsia="Arial" w:hAnsi="Arial"/>
          <w:sz w:val="19"/>
          <w:szCs w:val="19"/>
          <w:color w:val="auto"/>
        </w:rPr>
        <w:t>SIGNATURES</w:t>
      </w:r>
    </w:p>
    <w:p>
      <w:pPr>
        <w:spacing w:after="0" w:line="126" w:lineRule="exact"/>
        <w:rPr>
          <w:sz w:val="20"/>
          <w:szCs w:val="20"/>
          <w:color w:val="auto"/>
        </w:rPr>
      </w:pPr>
    </w:p>
    <w:p>
      <w:pPr>
        <w:ind w:right="279"/>
        <w:spacing w:after="0" w:line="30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SECURITY NATIONAL FINANCIAL CORPORATION</w:t>
      </w:r>
    </w:p>
    <w:p>
      <w:pPr>
        <w:spacing w:after="0" w:line="200" w:lineRule="exact"/>
        <w:rPr>
          <w:sz w:val="20"/>
          <w:szCs w:val="20"/>
          <w:color w:val="auto"/>
        </w:rPr>
      </w:pPr>
    </w:p>
    <w:p>
      <w:pPr>
        <w:spacing w:after="0" w:line="267" w:lineRule="exact"/>
        <w:rPr>
          <w:sz w:val="20"/>
          <w:szCs w:val="20"/>
          <w:color w:val="auto"/>
        </w:rPr>
      </w:pPr>
    </w:p>
    <w:p>
      <w:pPr>
        <w:spacing w:after="0"/>
        <w:tabs>
          <w:tab w:leader="none" w:pos="5040" w:val="left"/>
        </w:tabs>
        <w:rPr>
          <w:sz w:val="20"/>
          <w:szCs w:val="20"/>
          <w:color w:val="auto"/>
        </w:rPr>
      </w:pPr>
      <w:r>
        <w:rPr>
          <w:rFonts w:ascii="Arial" w:cs="Arial" w:eastAsia="Arial" w:hAnsi="Arial"/>
          <w:sz w:val="19"/>
          <w:szCs w:val="19"/>
          <w:color w:val="auto"/>
        </w:rPr>
        <w:t>Dated: March 31, 2021</w:t>
      </w:r>
      <w:r>
        <w:rPr>
          <w:sz w:val="20"/>
          <w:szCs w:val="20"/>
          <w:color w:val="auto"/>
        </w:rPr>
        <w:tab/>
      </w:r>
      <w:r>
        <w:rPr>
          <w:rFonts w:ascii="Arial" w:cs="Arial" w:eastAsia="Arial" w:hAnsi="Arial"/>
          <w:sz w:val="18"/>
          <w:szCs w:val="18"/>
          <w:color w:val="auto"/>
        </w:rPr>
        <w:t>By: /s/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22860</wp:posOffset>
            </wp:positionV>
            <wp:extent cx="22028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5"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Scott M. Quist</w:t>
      </w:r>
    </w:p>
    <w:p>
      <w:pPr>
        <w:spacing w:after="0" w:line="32"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Chairman of the Board, President, and</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9"/>
          <w:szCs w:val="19"/>
          <w:color w:val="auto"/>
        </w:rPr>
        <w:t>Chief Executive Officer</w:t>
      </w:r>
    </w:p>
    <w:p>
      <w:pPr>
        <w:spacing w:after="0" w:line="227" w:lineRule="exact"/>
        <w:rPr>
          <w:sz w:val="20"/>
          <w:szCs w:val="20"/>
          <w:color w:val="auto"/>
        </w:rPr>
      </w:pPr>
    </w:p>
    <w:p>
      <w:pPr>
        <w:ind w:right="299"/>
        <w:spacing w:after="0" w:line="276"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Pr>
          <w:p>
            <w:pPr>
              <w:ind w:left="820"/>
              <w:spacing w:after="0"/>
              <w:rPr>
                <w:sz w:val="20"/>
                <w:szCs w:val="20"/>
                <w:color w:val="auto"/>
              </w:rPr>
            </w:pPr>
            <w:r>
              <w:rPr>
                <w:rFonts w:ascii="Arial" w:cs="Arial" w:eastAsia="Arial" w:hAnsi="Arial"/>
                <w:sz w:val="19"/>
                <w:szCs w:val="19"/>
                <w:color w:val="auto"/>
              </w:rPr>
              <w:t>SIGNATURE</w:t>
            </w:r>
          </w:p>
        </w:tc>
        <w:tc>
          <w:tcPr>
            <w:tcW w:w="140" w:type="dxa"/>
            <w:vAlign w:val="bottom"/>
          </w:tcPr>
          <w:p>
            <w:pPr>
              <w:spacing w:after="0"/>
              <w:rPr>
                <w:sz w:val="21"/>
                <w:szCs w:val="21"/>
                <w:color w:val="auto"/>
              </w:rPr>
            </w:pPr>
          </w:p>
        </w:tc>
        <w:tc>
          <w:tcPr>
            <w:tcW w:w="4140" w:type="dxa"/>
            <w:vAlign w:val="bottom"/>
            <w:gridSpan w:val="2"/>
          </w:tcPr>
          <w:p>
            <w:pPr>
              <w:ind w:left="1740"/>
              <w:spacing w:after="0"/>
              <w:rPr>
                <w:sz w:val="20"/>
                <w:szCs w:val="20"/>
                <w:color w:val="auto"/>
              </w:rPr>
            </w:pPr>
            <w:r>
              <w:rPr>
                <w:rFonts w:ascii="Arial" w:cs="Arial" w:eastAsia="Arial" w:hAnsi="Arial"/>
                <w:sz w:val="19"/>
                <w:szCs w:val="19"/>
                <w:color w:val="auto"/>
              </w:rPr>
              <w:t>TITLE</w:t>
            </w:r>
          </w:p>
        </w:tc>
        <w:tc>
          <w:tcPr>
            <w:tcW w:w="1860" w:type="dxa"/>
            <w:vAlign w:val="bottom"/>
          </w:tcPr>
          <w:p>
            <w:pPr>
              <w:jc w:val="center"/>
              <w:spacing w:after="0"/>
              <w:rPr>
                <w:sz w:val="20"/>
                <w:szCs w:val="20"/>
                <w:color w:val="auto"/>
              </w:rPr>
            </w:pPr>
            <w:r>
              <w:rPr>
                <w:rFonts w:ascii="Arial" w:cs="Arial" w:eastAsia="Arial" w:hAnsi="Arial"/>
                <w:sz w:val="19"/>
                <w:szCs w:val="19"/>
                <w:color w:val="auto"/>
                <w:w w:val="98"/>
              </w:rPr>
              <w:t>DATE</w:t>
            </w:r>
          </w:p>
        </w:tc>
        <w:tc>
          <w:tcPr>
            <w:tcW w:w="20" w:type="dxa"/>
            <w:vAlign w:val="bottom"/>
          </w:tcPr>
          <w:p>
            <w:pPr>
              <w:spacing w:after="0"/>
              <w:rPr>
                <w:sz w:val="21"/>
                <w:szCs w:val="21"/>
                <w:color w:val="auto"/>
              </w:rPr>
            </w:pPr>
          </w:p>
        </w:tc>
      </w:tr>
      <w:tr>
        <w:trPr>
          <w:trHeight w:val="243"/>
        </w:trPr>
        <w:tc>
          <w:tcPr>
            <w:tcW w:w="2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rPr>
              <w:t>/s/ Scott M. Quist</w:t>
            </w:r>
          </w:p>
        </w:tc>
        <w:tc>
          <w:tcPr>
            <w:tcW w:w="140" w:type="dxa"/>
            <w:vAlign w:val="bottom"/>
          </w:tcPr>
          <w:p>
            <w:pPr>
              <w:spacing w:after="0"/>
              <w:rPr>
                <w:sz w:val="21"/>
                <w:szCs w:val="21"/>
                <w:color w:val="auto"/>
              </w:rPr>
            </w:pPr>
          </w:p>
        </w:tc>
        <w:tc>
          <w:tcPr>
            <w:tcW w:w="402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Chairman of the Board, President,</w:t>
            </w:r>
          </w:p>
        </w:tc>
        <w:tc>
          <w:tcPr>
            <w:tcW w:w="12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2740" w:type="dxa"/>
            <w:vAlign w:val="bottom"/>
          </w:tcPr>
          <w:p>
            <w:pPr>
              <w:spacing w:after="0"/>
              <w:rPr>
                <w:sz w:val="20"/>
                <w:szCs w:val="20"/>
                <w:color w:val="auto"/>
              </w:rPr>
            </w:pPr>
            <w:r>
              <w:rPr>
                <w:rFonts w:ascii="Arial" w:cs="Arial" w:eastAsia="Arial" w:hAnsi="Arial"/>
                <w:sz w:val="19"/>
                <w:szCs w:val="19"/>
                <w:color w:val="auto"/>
              </w:rPr>
              <w:t>Scott M. Quist</w:t>
            </w:r>
          </w:p>
        </w:tc>
        <w:tc>
          <w:tcPr>
            <w:tcW w:w="1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and Chief Executive Officer</w:t>
            </w: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(Principal Executive Officer)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Garrett S. Sill</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Chief Financial Officer and</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2740" w:type="dxa"/>
            <w:vAlign w:val="bottom"/>
          </w:tcPr>
          <w:p>
            <w:pPr>
              <w:spacing w:after="0"/>
              <w:rPr>
                <w:sz w:val="20"/>
                <w:szCs w:val="20"/>
                <w:color w:val="auto"/>
              </w:rPr>
            </w:pPr>
            <w:r>
              <w:rPr>
                <w:rFonts w:ascii="Arial" w:cs="Arial" w:eastAsia="Arial" w:hAnsi="Arial"/>
                <w:sz w:val="19"/>
                <w:szCs w:val="19"/>
                <w:color w:val="auto"/>
              </w:rPr>
              <w:t>Garrett S. Sill</w:t>
            </w:r>
          </w:p>
        </w:tc>
        <w:tc>
          <w:tcPr>
            <w:tcW w:w="1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Treasurer (Principal Financial</w:t>
            </w: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and Accounting Officer)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1"/>
                <w:szCs w:val="21"/>
                <w:color w:val="auto"/>
              </w:rPr>
            </w:pPr>
          </w:p>
        </w:tc>
      </w:tr>
      <w:tr>
        <w:trPr>
          <w:trHeight w:val="505"/>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Jason G. Overbaugh</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Vice President and 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Jason G. Overbaugh</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S. Andrew Quist</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Vice President and 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S. Andrew Quist</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John L. Cook</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John L. Cook</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Gilbert A. Fuller</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Gilbert A. Fuller</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Robert G. Hunter</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Robert G. Hunter</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H. Craig Moody</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H. Craig Moody</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2"/>
        </w:trPr>
        <w:tc>
          <w:tcPr>
            <w:tcW w:w="2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Norman G. Wilbur</w:t>
            </w: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9"/>
                <w:szCs w:val="19"/>
                <w:color w:val="auto"/>
              </w:rPr>
              <w:t>Director</w:t>
            </w:r>
          </w:p>
        </w:tc>
        <w:tc>
          <w:tcPr>
            <w:tcW w:w="1860" w:type="dxa"/>
            <w:vAlign w:val="bottom"/>
          </w:tcPr>
          <w:p>
            <w:pPr>
              <w:jc w:val="center"/>
              <w:spacing w:after="0"/>
              <w:rPr>
                <w:sz w:val="20"/>
                <w:szCs w:val="20"/>
                <w:color w:val="auto"/>
              </w:rPr>
            </w:pPr>
            <w:r>
              <w:rPr>
                <w:rFonts w:ascii="Arial" w:cs="Arial" w:eastAsia="Arial" w:hAnsi="Arial"/>
                <w:sz w:val="19"/>
                <w:szCs w:val="19"/>
                <w:color w:val="auto"/>
                <w:w w:val="92"/>
              </w:rPr>
              <w:t>March 31, 2021</w:t>
            </w:r>
          </w:p>
        </w:tc>
        <w:tc>
          <w:tcPr>
            <w:tcW w:w="20" w:type="dxa"/>
            <w:vAlign w:val="bottom"/>
          </w:tcPr>
          <w:p>
            <w:pPr>
              <w:spacing w:after="0"/>
              <w:rPr>
                <w:sz w:val="24"/>
                <w:szCs w:val="24"/>
                <w:color w:val="auto"/>
              </w:rPr>
            </w:pPr>
          </w:p>
        </w:tc>
      </w:tr>
      <w:tr>
        <w:trPr>
          <w:trHeight w:val="243"/>
        </w:trPr>
        <w:tc>
          <w:tcPr>
            <w:tcW w:w="2740" w:type="dxa"/>
            <w:vAlign w:val="bottom"/>
          </w:tcPr>
          <w:p>
            <w:pPr>
              <w:spacing w:after="0"/>
              <w:rPr>
                <w:sz w:val="20"/>
                <w:szCs w:val="20"/>
                <w:color w:val="auto"/>
              </w:rPr>
            </w:pPr>
            <w:r>
              <w:rPr>
                <w:rFonts w:ascii="Arial" w:cs="Arial" w:eastAsia="Arial" w:hAnsi="Arial"/>
                <w:sz w:val="19"/>
                <w:szCs w:val="19"/>
                <w:color w:val="auto"/>
              </w:rPr>
              <w:t>Norman G. Wilbur</w:t>
            </w:r>
          </w:p>
        </w:tc>
        <w:tc>
          <w:tcPr>
            <w:tcW w:w="1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65"/>
        </w:trPr>
        <w:tc>
          <w:tcPr>
            <w:tcW w:w="2740" w:type="dxa"/>
            <w:vAlign w:val="bottom"/>
          </w:tcPr>
          <w:p>
            <w:pPr>
              <w:spacing w:after="0"/>
              <w:rPr>
                <w:sz w:val="24"/>
                <w:szCs w:val="24"/>
                <w:color w:val="auto"/>
              </w:rPr>
            </w:pPr>
          </w:p>
        </w:tc>
        <w:tc>
          <w:tcPr>
            <w:tcW w:w="4160" w:type="dxa"/>
            <w:vAlign w:val="bottom"/>
            <w:gridSpan w:val="2"/>
          </w:tcPr>
          <w:p>
            <w:pPr>
              <w:jc w:val="right"/>
              <w:ind w:right="222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5"/>
        </w:trPr>
        <w:tc>
          <w:tcPr>
            <w:tcW w:w="2740" w:type="dxa"/>
            <w:vAlign w:val="bottom"/>
            <w:tcBorders>
              <w:bottom w:val="single" w:sz="8" w:color="909090"/>
            </w:tcBorders>
          </w:tcPr>
          <w:p>
            <w:pPr>
              <w:spacing w:after="0"/>
              <w:rPr>
                <w:sz w:val="14"/>
                <w:szCs w:val="14"/>
                <w:color w:val="auto"/>
              </w:rPr>
            </w:pPr>
          </w:p>
        </w:tc>
        <w:tc>
          <w:tcPr>
            <w:tcW w:w="140" w:type="dxa"/>
            <w:vAlign w:val="bottom"/>
            <w:tcBorders>
              <w:bottom w:val="single" w:sz="8" w:color="909090"/>
            </w:tcBorders>
          </w:tcPr>
          <w:p>
            <w:pPr>
              <w:spacing w:after="0"/>
              <w:rPr>
                <w:sz w:val="14"/>
                <w:szCs w:val="14"/>
                <w:color w:val="auto"/>
              </w:rPr>
            </w:pPr>
          </w:p>
        </w:tc>
        <w:tc>
          <w:tcPr>
            <w:tcW w:w="4020" w:type="dxa"/>
            <w:vAlign w:val="bottom"/>
            <w:tcBorders>
              <w:bottom w:val="single" w:sz="8" w:color="909090"/>
            </w:tcBorders>
          </w:tcPr>
          <w:p>
            <w:pPr>
              <w:spacing w:after="0"/>
              <w:rPr>
                <w:sz w:val="14"/>
                <w:szCs w:val="14"/>
                <w:color w:val="auto"/>
              </w:rPr>
            </w:pPr>
          </w:p>
        </w:tc>
        <w:tc>
          <w:tcPr>
            <w:tcW w:w="120" w:type="dxa"/>
            <w:vAlign w:val="bottom"/>
            <w:tcBorders>
              <w:bottom w:val="single" w:sz="8" w:color="909090"/>
            </w:tcBorders>
          </w:tcPr>
          <w:p>
            <w:pPr>
              <w:spacing w:after="0"/>
              <w:rPr>
                <w:sz w:val="14"/>
                <w:szCs w:val="14"/>
                <w:color w:val="auto"/>
              </w:rPr>
            </w:pPr>
          </w:p>
        </w:tc>
        <w:tc>
          <w:tcPr>
            <w:tcW w:w="1860" w:type="dxa"/>
            <w:vAlign w:val="bottom"/>
            <w:tcBorders>
              <w:bottom w:val="single" w:sz="8" w:color="909090"/>
            </w:tcBorders>
          </w:tcPr>
          <w:p>
            <w:pPr>
              <w:spacing w:after="0"/>
              <w:rPr>
                <w:sz w:val="14"/>
                <w:szCs w:val="14"/>
                <w:color w:val="auto"/>
              </w:rPr>
            </w:pPr>
          </w:p>
        </w:tc>
        <w:tc>
          <w:tcPr>
            <w:tcW w:w="20" w:type="dxa"/>
            <w:vAlign w:val="bottom"/>
            <w:tcBorders>
              <w:bottom w:val="single" w:sz="8" w:color="909090"/>
            </w:tcBorders>
          </w:tcPr>
          <w:p>
            <w:pPr>
              <w:spacing w:after="0"/>
              <w:rPr>
                <w:sz w:val="14"/>
                <w:szCs w:val="14"/>
                <w:color w:val="auto"/>
              </w:rPr>
            </w:pPr>
          </w:p>
        </w:tc>
      </w:tr>
    </w:tbl>
    <w:p>
      <w:pPr>
        <w:sectPr>
          <w:pgSz w:w="11900" w:h="16838" w:orient="portrait"/>
          <w:cols w:equalWidth="0" w:num="1">
            <w:col w:w="9179"/>
          </w:cols>
          <w:pgMar w:left="1280" w:top="121" w:right="1440" w:bottom="1440" w:gutter="0" w:footer="0" w:header="0"/>
        </w:sectPr>
      </w:pPr>
    </w:p>
    <w:bookmarkStart w:id="136" w:name="page137"/>
    <w:bookmarkEnd w:id="136"/>
    <w:p>
      <w:pPr>
        <w:jc w:val="center"/>
        <w:ind w:right="279"/>
        <w:spacing w:after="0"/>
        <w:rPr>
          <w:sz w:val="20"/>
          <w:szCs w:val="20"/>
          <w:color w:val="auto"/>
        </w:rPr>
      </w:pPr>
      <w:r>
        <w:rPr>
          <w:rFonts w:ascii="Arial" w:cs="Arial" w:eastAsia="Arial" w:hAnsi="Arial"/>
          <w:sz w:val="19"/>
          <w:szCs w:val="19"/>
          <w:color w:val="auto"/>
        </w:rPr>
        <w:t>Schedule II</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(Parent Company Only)</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Condensed Financial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2300" w:type="dxa"/>
            <w:vAlign w:val="bottom"/>
            <w:gridSpan w:val="2"/>
          </w:tcPr>
          <w:p>
            <w:pPr>
              <w:jc w:val="right"/>
              <w:ind w:right="83"/>
              <w:spacing w:after="0"/>
              <w:rPr>
                <w:sz w:val="20"/>
                <w:szCs w:val="20"/>
                <w:color w:val="auto"/>
              </w:rPr>
            </w:pPr>
            <w:r>
              <w:rPr>
                <w:rFonts w:ascii="Arial" w:cs="Arial" w:eastAsia="Arial" w:hAnsi="Arial"/>
                <w:sz w:val="19"/>
                <w:szCs w:val="19"/>
                <w:color w:val="auto"/>
                <w:w w:val="89"/>
              </w:rPr>
              <w:t>Condensed Balance Sheets</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720"/>
              <w:spacing w:after="0"/>
              <w:rPr>
                <w:sz w:val="20"/>
                <w:szCs w:val="20"/>
                <w:color w:val="auto"/>
              </w:rPr>
            </w:pPr>
            <w:r>
              <w:rPr>
                <w:rFonts w:ascii="Arial" w:cs="Arial" w:eastAsia="Arial" w:hAnsi="Arial"/>
                <w:sz w:val="19"/>
                <w:szCs w:val="19"/>
                <w:b w:val="1"/>
                <w:bCs w:val="1"/>
                <w:color w:val="auto"/>
                <w:w w:val="99"/>
              </w:rPr>
              <w:t>December 31</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3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Assets</w:t>
            </w:r>
          </w:p>
        </w:tc>
        <w:tc>
          <w:tcPr>
            <w:tcW w:w="15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3"/>
              <w:spacing w:after="0"/>
              <w:rPr>
                <w:sz w:val="20"/>
                <w:szCs w:val="20"/>
                <w:color w:val="auto"/>
              </w:rPr>
            </w:pPr>
            <w:r>
              <w:rPr>
                <w:rFonts w:ascii="Arial" w:cs="Arial" w:eastAsia="Arial" w:hAnsi="Arial"/>
                <w:sz w:val="19"/>
                <w:szCs w:val="19"/>
                <w:b w:val="1"/>
                <w:bCs w:val="1"/>
                <w:color w:val="auto"/>
                <w:w w:val="85"/>
              </w:rPr>
              <w:t>2020</w:t>
            </w: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583"/>
              <w:spacing w:after="0"/>
              <w:rPr>
                <w:sz w:val="20"/>
                <w:szCs w:val="20"/>
                <w:color w:val="auto"/>
              </w:rPr>
            </w:pPr>
            <w:r>
              <w:rPr>
                <w:rFonts w:ascii="Arial" w:cs="Arial" w:eastAsia="Arial" w:hAnsi="Arial"/>
                <w:sz w:val="19"/>
                <w:szCs w:val="19"/>
                <w:b w:val="1"/>
                <w:bCs w:val="1"/>
                <w:color w:val="auto"/>
              </w:rPr>
              <w:t>2019</w:t>
            </w: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3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360" w:type="dxa"/>
            <w:vAlign w:val="bottom"/>
            <w:shd w:val="clear" w:color="auto" w:fill="CCEEFF"/>
          </w:tcPr>
          <w:p>
            <w:pPr>
              <w:ind w:left="20"/>
              <w:spacing w:after="0"/>
              <w:rPr>
                <w:sz w:val="20"/>
                <w:szCs w:val="20"/>
                <w:color w:val="auto"/>
              </w:rPr>
            </w:pPr>
            <w:r>
              <w:rPr>
                <w:rFonts w:ascii="Arial" w:cs="Arial" w:eastAsia="Arial" w:hAnsi="Arial"/>
                <w:sz w:val="19"/>
                <w:szCs w:val="19"/>
                <w:color w:val="auto"/>
              </w:rPr>
              <w:t>Mortgage loans held for investment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2,338,000</w:t>
            </w: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2,952,000</w:t>
            </w:r>
          </w:p>
        </w:tc>
        <w:tc>
          <w:tcPr>
            <w:tcW w:w="0" w:type="dxa"/>
            <w:vAlign w:val="bottom"/>
          </w:tcPr>
          <w:p>
            <w:pPr>
              <w:spacing w:after="0"/>
              <w:rPr>
                <w:sz w:val="1"/>
                <w:szCs w:val="1"/>
                <w:color w:val="auto"/>
              </w:rPr>
            </w:pPr>
          </w:p>
        </w:tc>
      </w:tr>
      <w:tr>
        <w:trPr>
          <w:trHeight w:val="248"/>
        </w:trPr>
        <w:tc>
          <w:tcPr>
            <w:tcW w:w="3360" w:type="dxa"/>
            <w:vAlign w:val="bottom"/>
          </w:tcPr>
          <w:p>
            <w:pPr>
              <w:ind w:left="20"/>
              <w:spacing w:after="0"/>
              <w:rPr>
                <w:sz w:val="20"/>
                <w:szCs w:val="20"/>
                <w:color w:val="auto"/>
              </w:rPr>
            </w:pPr>
            <w:r>
              <w:rPr>
                <w:rFonts w:ascii="Arial" w:cs="Arial" w:eastAsia="Arial" w:hAnsi="Arial"/>
                <w:sz w:val="19"/>
                <w:szCs w:val="19"/>
                <w:color w:val="auto"/>
              </w:rPr>
              <w:t>Accrued investment income</w:t>
            </w:r>
          </w:p>
        </w:tc>
        <w:tc>
          <w:tcPr>
            <w:tcW w:w="1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192,608</w:t>
            </w:r>
          </w:p>
        </w:tc>
        <w:tc>
          <w:tcPr>
            <w:tcW w:w="0" w:type="dxa"/>
            <w:vAlign w:val="bottom"/>
          </w:tcPr>
          <w:p>
            <w:pPr>
              <w:spacing w:after="0"/>
              <w:rPr>
                <w:sz w:val="1"/>
                <w:szCs w:val="1"/>
                <w:color w:val="auto"/>
              </w:rPr>
            </w:pP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9"/>
                <w:szCs w:val="19"/>
                <w:color w:val="auto"/>
              </w:rPr>
              <w:t>Cash</w:t>
            </w:r>
          </w:p>
        </w:tc>
        <w:tc>
          <w:tcPr>
            <w:tcW w:w="15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6,042,663</w:t>
            </w: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1,432,830</w:t>
            </w:r>
          </w:p>
        </w:tc>
        <w:tc>
          <w:tcPr>
            <w:tcW w:w="0" w:type="dxa"/>
            <w:vAlign w:val="bottom"/>
          </w:tcPr>
          <w:p>
            <w:pPr>
              <w:spacing w:after="0"/>
              <w:rPr>
                <w:sz w:val="1"/>
                <w:szCs w:val="1"/>
                <w:color w:val="auto"/>
              </w:rPr>
            </w:pPr>
          </w:p>
        </w:tc>
      </w:tr>
      <w:tr>
        <w:trPr>
          <w:trHeight w:val="248"/>
        </w:trPr>
        <w:tc>
          <w:tcPr>
            <w:tcW w:w="3360" w:type="dxa"/>
            <w:vAlign w:val="bottom"/>
          </w:tcPr>
          <w:p>
            <w:pPr>
              <w:ind w:left="20"/>
              <w:spacing w:after="0"/>
              <w:rPr>
                <w:sz w:val="20"/>
                <w:szCs w:val="20"/>
                <w:color w:val="auto"/>
              </w:rPr>
            </w:pPr>
            <w:r>
              <w:rPr>
                <w:rFonts w:ascii="Arial" w:cs="Arial" w:eastAsia="Arial" w:hAnsi="Arial"/>
                <w:sz w:val="19"/>
                <w:szCs w:val="19"/>
                <w:color w:val="auto"/>
                <w:w w:val="93"/>
              </w:rPr>
              <w:t>Investment in subsidiaries (equity method)</w:t>
            </w:r>
          </w:p>
        </w:tc>
        <w:tc>
          <w:tcPr>
            <w:tcW w:w="1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253,972,662</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w w:val="94"/>
              </w:rPr>
              <w:t>188,187,440</w:t>
            </w:r>
          </w:p>
        </w:tc>
        <w:tc>
          <w:tcPr>
            <w:tcW w:w="0" w:type="dxa"/>
            <w:vAlign w:val="bottom"/>
          </w:tcPr>
          <w:p>
            <w:pPr>
              <w:spacing w:after="0"/>
              <w:rPr>
                <w:sz w:val="1"/>
                <w:szCs w:val="1"/>
                <w:color w:val="auto"/>
              </w:rPr>
            </w:pP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9"/>
                <w:szCs w:val="19"/>
                <w:color w:val="auto"/>
              </w:rPr>
              <w:t>Receivable from affiliates</w:t>
            </w:r>
          </w:p>
        </w:tc>
        <w:tc>
          <w:tcPr>
            <w:tcW w:w="15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9,016,823</w:t>
            </w: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13,190,260</w:t>
            </w:r>
          </w:p>
        </w:tc>
        <w:tc>
          <w:tcPr>
            <w:tcW w:w="0" w:type="dxa"/>
            <w:vAlign w:val="bottom"/>
          </w:tcPr>
          <w:p>
            <w:pPr>
              <w:spacing w:after="0"/>
              <w:rPr>
                <w:sz w:val="1"/>
                <w:szCs w:val="1"/>
                <w:color w:val="auto"/>
              </w:rPr>
            </w:pPr>
          </w:p>
        </w:tc>
      </w:tr>
      <w:tr>
        <w:trPr>
          <w:trHeight w:val="248"/>
        </w:trPr>
        <w:tc>
          <w:tcPr>
            <w:tcW w:w="3360" w:type="dxa"/>
            <w:vAlign w:val="bottom"/>
          </w:tcPr>
          <w:p>
            <w:pPr>
              <w:ind w:left="20"/>
              <w:spacing w:after="0"/>
              <w:rPr>
                <w:sz w:val="20"/>
                <w:szCs w:val="20"/>
                <w:color w:val="auto"/>
              </w:rPr>
            </w:pPr>
            <w:r>
              <w:rPr>
                <w:rFonts w:ascii="Arial" w:cs="Arial" w:eastAsia="Arial" w:hAnsi="Arial"/>
                <w:sz w:val="19"/>
                <w:szCs w:val="19"/>
                <w:color w:val="auto"/>
              </w:rPr>
              <w:t>Restricted cash</w:t>
            </w:r>
          </w:p>
        </w:tc>
        <w:tc>
          <w:tcPr>
            <w:tcW w:w="1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3,180,382</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3,180,382</w:t>
            </w:r>
          </w:p>
        </w:tc>
        <w:tc>
          <w:tcPr>
            <w:tcW w:w="0" w:type="dxa"/>
            <w:vAlign w:val="bottom"/>
          </w:tcPr>
          <w:p>
            <w:pPr>
              <w:spacing w:after="0"/>
              <w:rPr>
                <w:sz w:val="1"/>
                <w:szCs w:val="1"/>
                <w:color w:val="auto"/>
              </w:rPr>
            </w:pPr>
          </w:p>
        </w:tc>
      </w:tr>
      <w:tr>
        <w:trPr>
          <w:trHeight w:val="253"/>
        </w:trPr>
        <w:tc>
          <w:tcPr>
            <w:tcW w:w="3360" w:type="dxa"/>
            <w:vAlign w:val="bottom"/>
            <w:shd w:val="clear" w:color="auto" w:fill="CCEEFF"/>
          </w:tcPr>
          <w:p>
            <w:pPr>
              <w:ind w:left="20"/>
              <w:spacing w:after="0"/>
              <w:rPr>
                <w:sz w:val="20"/>
                <w:szCs w:val="20"/>
                <w:color w:val="auto"/>
              </w:rPr>
            </w:pPr>
            <w:r>
              <w:rPr>
                <w:rFonts w:ascii="Arial" w:cs="Arial" w:eastAsia="Arial" w:hAnsi="Arial"/>
                <w:sz w:val="19"/>
                <w:szCs w:val="19"/>
                <w:color w:val="auto"/>
              </w:rPr>
              <w:t>Other</w:t>
            </w:r>
          </w:p>
        </w:tc>
        <w:tc>
          <w:tcPr>
            <w:tcW w:w="156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14,793</w:t>
            </w:r>
          </w:p>
        </w:tc>
        <w:tc>
          <w:tcPr>
            <w:tcW w:w="3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2,422</w:t>
            </w:r>
          </w:p>
        </w:tc>
        <w:tc>
          <w:tcPr>
            <w:tcW w:w="0" w:type="dxa"/>
            <w:vAlign w:val="bottom"/>
          </w:tcPr>
          <w:p>
            <w:pPr>
              <w:spacing w:after="0"/>
              <w:rPr>
                <w:sz w:val="1"/>
                <w:szCs w:val="1"/>
                <w:color w:val="auto"/>
              </w:rPr>
            </w:pPr>
          </w:p>
        </w:tc>
      </w:tr>
      <w:tr>
        <w:trPr>
          <w:trHeight w:val="242"/>
        </w:trPr>
        <w:tc>
          <w:tcPr>
            <w:tcW w:w="3360" w:type="dxa"/>
            <w:vAlign w:val="bottom"/>
          </w:tcPr>
          <w:p>
            <w:pPr>
              <w:ind w:left="20"/>
              <w:spacing w:after="0"/>
              <w:rPr>
                <w:sz w:val="20"/>
                <w:szCs w:val="20"/>
                <w:color w:val="auto"/>
              </w:rPr>
            </w:pPr>
            <w:r>
              <w:rPr>
                <w:rFonts w:ascii="Arial" w:cs="Arial" w:eastAsia="Arial" w:hAnsi="Arial"/>
                <w:sz w:val="19"/>
                <w:szCs w:val="19"/>
                <w:b w:val="1"/>
                <w:bCs w:val="1"/>
                <w:color w:val="auto"/>
              </w:rPr>
              <w:t>Total assets</w:t>
            </w:r>
          </w:p>
        </w:tc>
        <w:tc>
          <w:tcPr>
            <w:tcW w:w="15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274,565,323</w:t>
            </w: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209,137,942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financial statements.</w:t>
      </w: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137" w:name="page138"/>
    <w:bookmarkEnd w:id="137"/>
    <w:p>
      <w:pPr>
        <w:jc w:val="center"/>
        <w:ind w:right="279"/>
        <w:spacing w:after="0"/>
        <w:rPr>
          <w:sz w:val="20"/>
          <w:szCs w:val="20"/>
          <w:color w:val="auto"/>
        </w:rPr>
      </w:pPr>
      <w:r>
        <w:rPr>
          <w:rFonts w:ascii="Arial" w:cs="Arial" w:eastAsia="Arial" w:hAnsi="Arial"/>
          <w:sz w:val="19"/>
          <w:szCs w:val="19"/>
          <w:color w:val="auto"/>
        </w:rPr>
        <w:t>Schedule II (Continued)</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(Parent Company Only)</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Condensed Financial Information</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Condensed Balance Sheets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9"/>
                <w:szCs w:val="19"/>
                <w:b w:val="1"/>
                <w:bCs w:val="1"/>
                <w:color w:val="auto"/>
                <w:w w:val="92"/>
              </w:rPr>
              <w:t>December 31</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48"/>
        </w:trPr>
        <w:tc>
          <w:tcPr>
            <w:tcW w:w="52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9"/>
                <w:szCs w:val="19"/>
                <w:b w:val="1"/>
                <w:bCs w:val="1"/>
                <w:color w:val="auto"/>
                <w:w w:val="89"/>
              </w:rPr>
              <w:t>2020</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9"/>
                <w:szCs w:val="19"/>
                <w:b w:val="1"/>
                <w:bCs w:val="1"/>
                <w:color w:val="auto"/>
                <w:w w:val="89"/>
              </w:rPr>
              <w:t>2019</w:t>
            </w:r>
          </w:p>
        </w:tc>
      </w:tr>
      <w:tr>
        <w:trPr>
          <w:trHeight w:val="244"/>
        </w:trPr>
        <w:tc>
          <w:tcPr>
            <w:tcW w:w="52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Liabilities and Stockholders’ Equity Liabilities</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8"/>
        </w:trPr>
        <w:tc>
          <w:tcPr>
            <w:tcW w:w="5240" w:type="dxa"/>
            <w:vAlign w:val="bottom"/>
          </w:tcPr>
          <w:p>
            <w:pPr>
              <w:spacing w:after="0"/>
              <w:rPr>
                <w:sz w:val="20"/>
                <w:szCs w:val="20"/>
                <w:color w:val="auto"/>
              </w:rPr>
            </w:pPr>
            <w:r>
              <w:rPr>
                <w:rFonts w:ascii="Arial" w:cs="Arial" w:eastAsia="Arial" w:hAnsi="Arial"/>
                <w:sz w:val="19"/>
                <w:szCs w:val="19"/>
                <w:color w:val="auto"/>
              </w:rPr>
              <w:t>Bank and other loans payable:</w:t>
            </w: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3"/>
        </w:trPr>
        <w:tc>
          <w:tcPr>
            <w:tcW w:w="5240" w:type="dxa"/>
            <w:vAlign w:val="bottom"/>
            <w:shd w:val="clear" w:color="auto" w:fill="CCEEFF"/>
          </w:tcPr>
          <w:p>
            <w:pPr>
              <w:ind w:left="200"/>
              <w:spacing w:after="0"/>
              <w:rPr>
                <w:sz w:val="20"/>
                <w:szCs w:val="20"/>
                <w:color w:val="auto"/>
              </w:rPr>
            </w:pPr>
            <w:r>
              <w:rPr>
                <w:rFonts w:ascii="Arial" w:cs="Arial" w:eastAsia="Arial" w:hAnsi="Arial"/>
                <w:sz w:val="19"/>
                <w:szCs w:val="19"/>
                <w:color w:val="auto"/>
              </w:rPr>
              <w:t>Current installments</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1,408,141</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1,334,798</w:t>
            </w:r>
          </w:p>
        </w:tc>
      </w:tr>
      <w:tr>
        <w:trPr>
          <w:trHeight w:val="248"/>
        </w:trPr>
        <w:tc>
          <w:tcPr>
            <w:tcW w:w="5240" w:type="dxa"/>
            <w:vAlign w:val="bottom"/>
          </w:tcPr>
          <w:p>
            <w:pPr>
              <w:ind w:left="200"/>
              <w:spacing w:after="0"/>
              <w:rPr>
                <w:sz w:val="20"/>
                <w:szCs w:val="20"/>
                <w:color w:val="auto"/>
              </w:rPr>
            </w:pPr>
            <w:r>
              <w:rPr>
                <w:rFonts w:ascii="Arial" w:cs="Arial" w:eastAsia="Arial" w:hAnsi="Arial"/>
                <w:sz w:val="19"/>
                <w:szCs w:val="19"/>
                <w:color w:val="auto"/>
              </w:rPr>
              <w:t>Long-term</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2,482,862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3,903,821</w:t>
            </w:r>
          </w:p>
        </w:tc>
      </w:tr>
      <w:tr>
        <w:trPr>
          <w:trHeight w:val="253"/>
        </w:trPr>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Advances from affiliated companies</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39,513</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640,774</w:t>
            </w:r>
          </w:p>
        </w:tc>
      </w:tr>
      <w:tr>
        <w:trPr>
          <w:trHeight w:val="248"/>
        </w:trPr>
        <w:tc>
          <w:tcPr>
            <w:tcW w:w="5240" w:type="dxa"/>
            <w:vAlign w:val="bottom"/>
          </w:tcPr>
          <w:p>
            <w:pPr>
              <w:spacing w:after="0"/>
              <w:rPr>
                <w:sz w:val="20"/>
                <w:szCs w:val="20"/>
                <w:color w:val="auto"/>
              </w:rPr>
            </w:pPr>
            <w:r>
              <w:rPr>
                <w:rFonts w:ascii="Arial" w:cs="Arial" w:eastAsia="Arial" w:hAnsi="Arial"/>
                <w:sz w:val="19"/>
                <w:szCs w:val="19"/>
                <w:color w:val="auto"/>
              </w:rPr>
              <w:t>Other liabilities and accrued expenses</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2,135,515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1,847,705</w:t>
            </w:r>
          </w:p>
        </w:tc>
      </w:tr>
      <w:tr>
        <w:trPr>
          <w:trHeight w:val="253"/>
        </w:trPr>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Income taxes</w:t>
            </w:r>
          </w:p>
        </w:tc>
        <w:tc>
          <w:tcPr>
            <w:tcW w:w="6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4,512,239</w:t>
            </w:r>
          </w:p>
        </w:tc>
        <w:tc>
          <w:tcPr>
            <w:tcW w:w="2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4,700,239</w:t>
            </w:r>
          </w:p>
        </w:tc>
      </w:tr>
      <w:tr>
        <w:trPr>
          <w:trHeight w:val="242"/>
        </w:trPr>
        <w:tc>
          <w:tcPr>
            <w:tcW w:w="524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Total liabilities</w:t>
            </w: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10,578,270</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12,427,337</w:t>
            </w:r>
          </w:p>
        </w:tc>
      </w:tr>
      <w:tr>
        <w:trPr>
          <w:trHeight w:val="246"/>
        </w:trPr>
        <w:tc>
          <w:tcPr>
            <w:tcW w:w="5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1"/>
        </w:trPr>
        <w:tc>
          <w:tcPr>
            <w:tcW w:w="5240" w:type="dxa"/>
            <w:vAlign w:val="bottom"/>
          </w:tcPr>
          <w:p>
            <w:pPr>
              <w:spacing w:after="0"/>
              <w:rPr>
                <w:sz w:val="20"/>
                <w:szCs w:val="20"/>
                <w:color w:val="auto"/>
              </w:rPr>
            </w:pPr>
            <w:r>
              <w:rPr>
                <w:rFonts w:ascii="Arial" w:cs="Arial" w:eastAsia="Arial" w:hAnsi="Arial"/>
                <w:sz w:val="19"/>
                <w:szCs w:val="19"/>
                <w:b w:val="1"/>
                <w:bCs w:val="1"/>
                <w:color w:val="auto"/>
              </w:rPr>
              <w:t>Stockholders’ Equity</w:t>
            </w: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1"/>
        </w:trPr>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Preferred stock - non-voting - $1.00 par value;</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5,000,000 shares authorized; none issued or</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outstanding</w:t>
            </w: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21"/>
        </w:trPr>
        <w:tc>
          <w:tcPr>
            <w:tcW w:w="5240" w:type="dxa"/>
            <w:vAlign w:val="bottom"/>
          </w:tcPr>
          <w:p>
            <w:pPr>
              <w:spacing w:after="0"/>
              <w:rPr>
                <w:sz w:val="20"/>
                <w:szCs w:val="20"/>
                <w:color w:val="auto"/>
              </w:rPr>
            </w:pPr>
            <w:r>
              <w:rPr>
                <w:rFonts w:ascii="Arial" w:cs="Arial" w:eastAsia="Arial" w:hAnsi="Arial"/>
                <w:sz w:val="19"/>
                <w:szCs w:val="19"/>
                <w:color w:val="auto"/>
              </w:rPr>
              <w:t>Class A common stock $2.00 par value;</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240" w:type="dxa"/>
            <w:vAlign w:val="bottom"/>
          </w:tcPr>
          <w:p>
            <w:pPr>
              <w:ind w:left="100"/>
              <w:spacing w:after="0"/>
              <w:rPr>
                <w:sz w:val="20"/>
                <w:szCs w:val="20"/>
                <w:color w:val="auto"/>
              </w:rPr>
            </w:pPr>
            <w:r>
              <w:rPr>
                <w:rFonts w:ascii="Arial" w:cs="Arial" w:eastAsia="Arial" w:hAnsi="Arial"/>
                <w:sz w:val="19"/>
                <w:szCs w:val="19"/>
                <w:color w:val="auto"/>
              </w:rPr>
              <w:t>20,000,000 shares authorized;</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240" w:type="dxa"/>
            <w:vAlign w:val="bottom"/>
          </w:tcPr>
          <w:p>
            <w:pPr>
              <w:ind w:left="100"/>
              <w:spacing w:after="0"/>
              <w:rPr>
                <w:sz w:val="20"/>
                <w:szCs w:val="20"/>
                <w:color w:val="auto"/>
              </w:rPr>
            </w:pPr>
            <w:r>
              <w:rPr>
                <w:rFonts w:ascii="Arial" w:cs="Arial" w:eastAsia="Arial" w:hAnsi="Arial"/>
                <w:sz w:val="19"/>
                <w:szCs w:val="19"/>
                <w:color w:val="auto"/>
              </w:rPr>
              <w:t>issued 16,595,783 shares in 2020 and</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5240" w:type="dxa"/>
            <w:vAlign w:val="bottom"/>
          </w:tcPr>
          <w:p>
            <w:pPr>
              <w:ind w:left="100"/>
              <w:spacing w:after="0"/>
              <w:rPr>
                <w:sz w:val="20"/>
                <w:szCs w:val="20"/>
                <w:color w:val="auto"/>
              </w:rPr>
            </w:pPr>
            <w:r>
              <w:rPr>
                <w:rFonts w:ascii="Arial" w:cs="Arial" w:eastAsia="Arial" w:hAnsi="Arial"/>
                <w:sz w:val="19"/>
                <w:szCs w:val="19"/>
                <w:color w:val="auto"/>
              </w:rPr>
              <w:t>16,107,779 shares in 2019</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33,191,566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32,215,558</w:t>
            </w:r>
          </w:p>
        </w:tc>
      </w:tr>
      <w:tr>
        <w:trPr>
          <w:trHeight w:val="225"/>
        </w:trPr>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Class B non-voting common stock-$1.00 par value;</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5,000,000 shares authorized; none issued or</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outstanding</w:t>
            </w: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r>
      <w:tr>
        <w:trPr>
          <w:trHeight w:val="221"/>
        </w:trPr>
        <w:tc>
          <w:tcPr>
            <w:tcW w:w="5240" w:type="dxa"/>
            <w:vAlign w:val="bottom"/>
          </w:tcPr>
          <w:p>
            <w:pPr>
              <w:spacing w:after="0"/>
              <w:rPr>
                <w:sz w:val="20"/>
                <w:szCs w:val="20"/>
                <w:color w:val="auto"/>
              </w:rPr>
            </w:pPr>
            <w:r>
              <w:rPr>
                <w:rFonts w:ascii="Arial" w:cs="Arial" w:eastAsia="Arial" w:hAnsi="Arial"/>
                <w:sz w:val="19"/>
                <w:szCs w:val="19"/>
                <w:color w:val="auto"/>
              </w:rPr>
              <w:t>Class C convertible common stock, $2.00 par value;</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240" w:type="dxa"/>
            <w:vAlign w:val="bottom"/>
          </w:tcPr>
          <w:p>
            <w:pPr>
              <w:ind w:left="100"/>
              <w:spacing w:after="0"/>
              <w:rPr>
                <w:sz w:val="20"/>
                <w:szCs w:val="20"/>
                <w:color w:val="auto"/>
              </w:rPr>
            </w:pPr>
            <w:r>
              <w:rPr>
                <w:rFonts w:ascii="Arial" w:cs="Arial" w:eastAsia="Arial" w:hAnsi="Arial"/>
                <w:sz w:val="19"/>
                <w:szCs w:val="19"/>
                <w:color w:val="auto"/>
              </w:rPr>
              <w:t>3,000,000 shares authorized; issued 2,679,603</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0"/>
        </w:trPr>
        <w:tc>
          <w:tcPr>
            <w:tcW w:w="5240" w:type="dxa"/>
            <w:vAlign w:val="bottom"/>
          </w:tcPr>
          <w:p>
            <w:pPr>
              <w:ind w:left="100"/>
              <w:spacing w:after="0"/>
              <w:rPr>
                <w:sz w:val="20"/>
                <w:szCs w:val="20"/>
                <w:color w:val="auto"/>
              </w:rPr>
            </w:pPr>
            <w:r>
              <w:rPr>
                <w:rFonts w:ascii="Arial" w:cs="Arial" w:eastAsia="Arial" w:hAnsi="Arial"/>
                <w:sz w:val="19"/>
                <w:szCs w:val="19"/>
                <w:color w:val="auto"/>
              </w:rPr>
              <w:t>shares in 2020 and 2,500,887 shares in 2019</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5,359,206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5,001,774</w:t>
            </w:r>
          </w:p>
        </w:tc>
      </w:tr>
      <w:tr>
        <w:trPr>
          <w:trHeight w:val="255"/>
        </w:trPr>
        <w:tc>
          <w:tcPr>
            <w:tcW w:w="5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8"/>
        </w:trPr>
        <w:tc>
          <w:tcPr>
            <w:tcW w:w="5240" w:type="dxa"/>
            <w:vAlign w:val="bottom"/>
          </w:tcPr>
          <w:p>
            <w:pPr>
              <w:spacing w:after="0"/>
              <w:rPr>
                <w:sz w:val="20"/>
                <w:szCs w:val="20"/>
                <w:color w:val="auto"/>
              </w:rPr>
            </w:pPr>
            <w:r>
              <w:rPr>
                <w:rFonts w:ascii="Arial" w:cs="Arial" w:eastAsia="Arial" w:hAnsi="Arial"/>
                <w:sz w:val="19"/>
                <w:szCs w:val="19"/>
                <w:color w:val="auto"/>
              </w:rPr>
              <w:t>Additional paid-in capital</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50,287,253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46,091,112</w:t>
            </w:r>
          </w:p>
        </w:tc>
      </w:tr>
      <w:tr>
        <w:trPr>
          <w:trHeight w:val="253"/>
        </w:trPr>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Accumulated other comprehensive income, net of taxes</w:t>
            </w: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23,243,133</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13,726,514</w:t>
            </w:r>
          </w:p>
        </w:tc>
      </w:tr>
      <w:tr>
        <w:trPr>
          <w:trHeight w:val="248"/>
        </w:trPr>
        <w:tc>
          <w:tcPr>
            <w:tcW w:w="5240" w:type="dxa"/>
            <w:vAlign w:val="bottom"/>
          </w:tcPr>
          <w:p>
            <w:pPr>
              <w:spacing w:after="0"/>
              <w:rPr>
                <w:sz w:val="20"/>
                <w:szCs w:val="20"/>
                <w:color w:val="auto"/>
              </w:rPr>
            </w:pPr>
            <w:r>
              <w:rPr>
                <w:rFonts w:ascii="Arial" w:cs="Arial" w:eastAsia="Arial" w:hAnsi="Arial"/>
                <w:sz w:val="19"/>
                <w:szCs w:val="19"/>
                <w:color w:val="auto"/>
              </w:rPr>
              <w:t>Retained Earnings</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w w:val="96"/>
              </w:rPr>
              <w:t>153,739,167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w w:val="98"/>
              </w:rPr>
              <w:t>101,256,229</w:t>
            </w:r>
          </w:p>
        </w:tc>
      </w:tr>
      <w:tr>
        <w:trPr>
          <w:trHeight w:val="223"/>
        </w:trPr>
        <w:tc>
          <w:tcPr>
            <w:tcW w:w="5240" w:type="dxa"/>
            <w:vAlign w:val="bottom"/>
            <w:shd w:val="clear" w:color="auto" w:fill="CCEEFF"/>
          </w:tcPr>
          <w:p>
            <w:pPr>
              <w:spacing w:after="0"/>
              <w:rPr>
                <w:sz w:val="20"/>
                <w:szCs w:val="20"/>
                <w:color w:val="auto"/>
              </w:rPr>
            </w:pPr>
            <w:r>
              <w:rPr>
                <w:rFonts w:ascii="Arial" w:cs="Arial" w:eastAsia="Arial" w:hAnsi="Arial"/>
                <w:sz w:val="19"/>
                <w:szCs w:val="19"/>
                <w:color w:val="auto"/>
              </w:rPr>
              <w:t>Treasury stock at cost - 227,852 Class A shares</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and 10,985 Class C shares in 2020; 490,823</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Class A shares and -0- Class C shares</w:t>
            </w: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4"/>
        </w:trPr>
        <w:tc>
          <w:tcPr>
            <w:tcW w:w="5240" w:type="dxa"/>
            <w:vAlign w:val="bottom"/>
            <w:shd w:val="clear" w:color="auto" w:fill="CCEEFF"/>
          </w:tcPr>
          <w:p>
            <w:pPr>
              <w:ind w:left="100"/>
              <w:spacing w:after="0"/>
              <w:rPr>
                <w:sz w:val="20"/>
                <w:szCs w:val="20"/>
                <w:color w:val="auto"/>
              </w:rPr>
            </w:pPr>
            <w:r>
              <w:rPr>
                <w:rFonts w:ascii="Arial" w:cs="Arial" w:eastAsia="Arial" w:hAnsi="Arial"/>
                <w:sz w:val="19"/>
                <w:szCs w:val="19"/>
                <w:color w:val="auto"/>
              </w:rPr>
              <w:t>in 2019</w:t>
            </w:r>
          </w:p>
        </w:tc>
        <w:tc>
          <w:tcPr>
            <w:tcW w:w="6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(1,833,272)</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(1,580,582)</w:t>
            </w:r>
          </w:p>
        </w:tc>
      </w:tr>
      <w:tr>
        <w:trPr>
          <w:trHeight w:val="242"/>
        </w:trPr>
        <w:tc>
          <w:tcPr>
            <w:tcW w:w="524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Total stockholders’ equity</w:t>
            </w: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263,987,053</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8"/>
              </w:rPr>
              <w:t>196,710,605</w:t>
            </w: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Liabilities and Stockholders’ Equity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274,565,323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8"/>
              </w:rPr>
              <w:t>209,137,942</w:t>
            </w:r>
          </w:p>
        </w:tc>
      </w:tr>
      <w:tr>
        <w:trPr>
          <w:trHeight w:val="20"/>
        </w:trPr>
        <w:tc>
          <w:tcPr>
            <w:tcW w:w="5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right"/>
        <w:ind w:right="4579"/>
        <w:spacing w:after="0" w:line="530" w:lineRule="auto"/>
        <w:rPr>
          <w:sz w:val="20"/>
          <w:szCs w:val="20"/>
          <w:color w:val="auto"/>
        </w:rPr>
      </w:pPr>
      <w:r>
        <w:rPr>
          <w:rFonts w:ascii="Arial" w:cs="Arial" w:eastAsia="Arial" w:hAnsi="Arial"/>
          <w:sz w:val="19"/>
          <w:szCs w:val="19"/>
          <w:color w:val="auto"/>
        </w:rPr>
        <w:t xml:space="preserve">See accompanying notes to condensed financial statements. </w:t>
      </w: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5653405" cy="33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138" w:name="page139"/>
    <w:bookmarkEnd w:id="138"/>
    <w:p>
      <w:pPr>
        <w:jc w:val="center"/>
        <w:ind w:right="319"/>
        <w:spacing w:after="0"/>
        <w:rPr>
          <w:sz w:val="20"/>
          <w:szCs w:val="20"/>
          <w:color w:val="auto"/>
        </w:rPr>
      </w:pPr>
      <w:r>
        <w:rPr>
          <w:rFonts w:ascii="Arial" w:cs="Arial" w:eastAsia="Arial" w:hAnsi="Arial"/>
          <w:sz w:val="19"/>
          <w:szCs w:val="19"/>
          <w:color w:val="auto"/>
        </w:rPr>
        <w:t>Schedule II (Continued)</w:t>
      </w: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(Parent Company Only)</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Condensed Financial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60" w:type="dxa"/>
            <w:vAlign w:val="bottom"/>
          </w:tcPr>
          <w:p>
            <w:pPr>
              <w:spacing w:after="0"/>
              <w:rPr>
                <w:sz w:val="21"/>
                <w:szCs w:val="21"/>
                <w:color w:val="auto"/>
              </w:rPr>
            </w:pPr>
          </w:p>
        </w:tc>
        <w:tc>
          <w:tcPr>
            <w:tcW w:w="3840" w:type="dxa"/>
            <w:vAlign w:val="bottom"/>
            <w:gridSpan w:val="4"/>
          </w:tcPr>
          <w:p>
            <w:pPr>
              <w:ind w:left="120"/>
              <w:spacing w:after="0"/>
              <w:rPr>
                <w:sz w:val="20"/>
                <w:szCs w:val="20"/>
                <w:color w:val="auto"/>
              </w:rPr>
            </w:pPr>
            <w:r>
              <w:rPr>
                <w:rFonts w:ascii="Arial" w:cs="Arial" w:eastAsia="Arial" w:hAnsi="Arial"/>
                <w:sz w:val="19"/>
                <w:szCs w:val="19"/>
                <w:color w:val="auto"/>
              </w:rPr>
              <w:t>Condensed Statements of Earnings</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9"/>
                <w:szCs w:val="19"/>
                <w:b w:val="1"/>
                <w:bCs w:val="1"/>
                <w:color w:val="auto"/>
                <w:w w:val="93"/>
              </w:rPr>
              <w:t>Years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960" w:type="dxa"/>
            <w:vAlign w:val="bottom"/>
            <w:vMerge w:val="restart"/>
          </w:tcPr>
          <w:p>
            <w:pPr>
              <w:spacing w:after="0"/>
              <w:rPr>
                <w:sz w:val="20"/>
                <w:szCs w:val="20"/>
                <w:color w:val="auto"/>
              </w:rPr>
            </w:pPr>
            <w:r>
              <w:rPr>
                <w:rFonts w:ascii="Arial" w:cs="Arial" w:eastAsia="Arial" w:hAnsi="Arial"/>
                <w:sz w:val="19"/>
                <w:szCs w:val="19"/>
                <w:b w:val="1"/>
                <w:bCs w:val="1"/>
                <w:color w:val="auto"/>
              </w:rPr>
              <w:t>Revenue</w:t>
            </w:r>
          </w:p>
        </w:tc>
        <w:tc>
          <w:tcPr>
            <w:tcW w:w="1500" w:type="dxa"/>
            <w:vAlign w:val="bottom"/>
          </w:tcPr>
          <w:p>
            <w:pPr>
              <w:spacing w:after="0"/>
              <w:rPr>
                <w:sz w:val="21"/>
                <w:szCs w:val="21"/>
                <w:color w:val="auto"/>
              </w:rPr>
            </w:pPr>
          </w:p>
        </w:tc>
        <w:tc>
          <w:tcPr>
            <w:tcW w:w="2060" w:type="dxa"/>
            <w:vAlign w:val="bottom"/>
            <w:tcBorders>
              <w:bottom w:val="single" w:sz="8" w:color="auto"/>
            </w:tcBorders>
            <w:gridSpan w:val="2"/>
          </w:tcPr>
          <w:p>
            <w:pPr>
              <w:ind w:left="840"/>
              <w:spacing w:after="0"/>
              <w:rPr>
                <w:sz w:val="20"/>
                <w:szCs w:val="20"/>
                <w:color w:val="auto"/>
              </w:rPr>
            </w:pPr>
            <w:r>
              <w:rPr>
                <w:rFonts w:ascii="Arial" w:cs="Arial" w:eastAsia="Arial" w:hAnsi="Arial"/>
                <w:sz w:val="19"/>
                <w:szCs w:val="19"/>
                <w:b w:val="1"/>
                <w:bCs w:val="1"/>
                <w:color w:val="auto"/>
              </w:rPr>
              <w:t>2020</w:t>
            </w:r>
          </w:p>
        </w:tc>
        <w:tc>
          <w:tcPr>
            <w:tcW w:w="280" w:type="dxa"/>
            <w:vAlign w:val="bottom"/>
          </w:tcPr>
          <w:p>
            <w:pPr>
              <w:spacing w:after="0"/>
              <w:rPr>
                <w:sz w:val="21"/>
                <w:szCs w:val="21"/>
                <w:color w:val="auto"/>
              </w:rPr>
            </w:pPr>
          </w:p>
        </w:tc>
        <w:tc>
          <w:tcPr>
            <w:tcW w:w="2080" w:type="dxa"/>
            <w:vAlign w:val="bottom"/>
            <w:tcBorders>
              <w:bottom w:val="single" w:sz="8" w:color="auto"/>
            </w:tcBorders>
            <w:gridSpan w:val="2"/>
          </w:tcPr>
          <w:p>
            <w:pPr>
              <w:jc w:val="right"/>
              <w:ind w:right="743"/>
              <w:spacing w:after="0"/>
              <w:rPr>
                <w:sz w:val="20"/>
                <w:szCs w:val="20"/>
                <w:color w:val="auto"/>
              </w:rPr>
            </w:pPr>
            <w:r>
              <w:rPr>
                <w:rFonts w:ascii="Arial" w:cs="Arial" w:eastAsia="Arial" w:hAnsi="Arial"/>
                <w:sz w:val="19"/>
                <w:szCs w:val="19"/>
                <w:b w:val="1"/>
                <w:bCs w:val="1"/>
                <w:color w:val="auto"/>
              </w:rPr>
              <w:t>2019</w:t>
            </w:r>
          </w:p>
        </w:tc>
        <w:tc>
          <w:tcPr>
            <w:tcW w:w="0" w:type="dxa"/>
            <w:vAlign w:val="bottom"/>
          </w:tcPr>
          <w:p>
            <w:pPr>
              <w:spacing w:after="0"/>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60" w:type="dxa"/>
            <w:vAlign w:val="bottom"/>
            <w:shd w:val="clear" w:color="auto" w:fill="CCEEFF"/>
          </w:tcPr>
          <w:p>
            <w:pPr>
              <w:spacing w:after="0"/>
              <w:rPr>
                <w:sz w:val="20"/>
                <w:szCs w:val="20"/>
                <w:color w:val="auto"/>
              </w:rPr>
            </w:pPr>
            <w:r>
              <w:rPr>
                <w:rFonts w:ascii="Arial" w:cs="Arial" w:eastAsia="Arial" w:hAnsi="Arial"/>
                <w:sz w:val="19"/>
                <w:szCs w:val="19"/>
                <w:color w:val="auto"/>
              </w:rPr>
              <w:t>Net investment income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235,761</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260,022</w:t>
            </w:r>
          </w:p>
        </w:tc>
        <w:tc>
          <w:tcPr>
            <w:tcW w:w="0" w:type="dxa"/>
            <w:vAlign w:val="bottom"/>
          </w:tcPr>
          <w:p>
            <w:pPr>
              <w:spacing w:after="0"/>
              <w:rPr>
                <w:sz w:val="1"/>
                <w:szCs w:val="1"/>
                <w:color w:val="auto"/>
              </w:rPr>
            </w:pPr>
          </w:p>
        </w:tc>
      </w:tr>
      <w:tr>
        <w:trPr>
          <w:trHeight w:val="248"/>
        </w:trPr>
        <w:tc>
          <w:tcPr>
            <w:tcW w:w="2960" w:type="dxa"/>
            <w:vAlign w:val="bottom"/>
          </w:tcPr>
          <w:p>
            <w:pPr>
              <w:spacing w:after="0"/>
              <w:rPr>
                <w:sz w:val="20"/>
                <w:szCs w:val="20"/>
                <w:color w:val="auto"/>
              </w:rPr>
            </w:pPr>
            <w:r>
              <w:rPr>
                <w:rFonts w:ascii="Arial" w:cs="Arial" w:eastAsia="Arial" w:hAnsi="Arial"/>
                <w:sz w:val="19"/>
                <w:szCs w:val="19"/>
                <w:color w:val="auto"/>
              </w:rPr>
              <w:t>Fees from affiliates</w:t>
            </w: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1,119,172</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1,152,480</w:t>
            </w:r>
          </w:p>
        </w:tc>
        <w:tc>
          <w:tcPr>
            <w:tcW w:w="0" w:type="dxa"/>
            <w:vAlign w:val="bottom"/>
          </w:tcPr>
          <w:p>
            <w:pPr>
              <w:spacing w:after="0"/>
              <w:rPr>
                <w:sz w:val="1"/>
                <w:szCs w:val="1"/>
                <w:color w:val="auto"/>
              </w:rPr>
            </w:pPr>
          </w:p>
        </w:tc>
      </w:tr>
      <w:tr>
        <w:trPr>
          <w:trHeight w:val="253"/>
        </w:trPr>
        <w:tc>
          <w:tcPr>
            <w:tcW w:w="2960" w:type="dxa"/>
            <w:vAlign w:val="bottom"/>
            <w:shd w:val="clear" w:color="auto" w:fill="CCEEFF"/>
          </w:tcPr>
          <w:p>
            <w:pPr>
              <w:spacing w:after="0"/>
              <w:rPr>
                <w:sz w:val="20"/>
                <w:szCs w:val="20"/>
                <w:color w:val="auto"/>
              </w:rPr>
            </w:pPr>
            <w:r>
              <w:rPr>
                <w:rFonts w:ascii="Arial" w:cs="Arial" w:eastAsia="Arial" w:hAnsi="Arial"/>
                <w:sz w:val="19"/>
                <w:szCs w:val="19"/>
                <w:color w:val="auto"/>
              </w:rPr>
              <w:t>Other income</w:t>
            </w:r>
          </w:p>
        </w:tc>
        <w:tc>
          <w:tcPr>
            <w:tcW w:w="15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522</w:t>
            </w:r>
          </w:p>
        </w:tc>
        <w:tc>
          <w:tcPr>
            <w:tcW w:w="2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23,864</w:t>
            </w:r>
          </w:p>
        </w:tc>
        <w:tc>
          <w:tcPr>
            <w:tcW w:w="0" w:type="dxa"/>
            <w:vAlign w:val="bottom"/>
          </w:tcPr>
          <w:p>
            <w:pPr>
              <w:spacing w:after="0"/>
              <w:rPr>
                <w:sz w:val="1"/>
                <w:szCs w:val="1"/>
                <w:color w:val="auto"/>
              </w:rPr>
            </w:pPr>
          </w:p>
        </w:tc>
      </w:tr>
      <w:tr>
        <w:trPr>
          <w:trHeight w:val="242"/>
        </w:trPr>
        <w:tc>
          <w:tcPr>
            <w:tcW w:w="2960" w:type="dxa"/>
            <w:vAlign w:val="bottom"/>
            <w:tcBorders>
              <w:bottom w:val="single" w:sz="8" w:color="CCEEFF"/>
            </w:tcBorders>
          </w:tcPr>
          <w:p>
            <w:pPr>
              <w:ind w:left="200"/>
              <w:spacing w:after="0"/>
              <w:rPr>
                <w:sz w:val="20"/>
                <w:szCs w:val="20"/>
                <w:color w:val="auto"/>
              </w:rPr>
            </w:pPr>
            <w:r>
              <w:rPr>
                <w:rFonts w:ascii="Arial" w:cs="Arial" w:eastAsia="Arial" w:hAnsi="Arial"/>
                <w:sz w:val="19"/>
                <w:szCs w:val="19"/>
                <w:color w:val="auto"/>
              </w:rPr>
              <w:t>Total revenue</w:t>
            </w:r>
          </w:p>
        </w:tc>
        <w:tc>
          <w:tcPr>
            <w:tcW w:w="15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1,355,455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1,436,366</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tcPr>
          <w:p>
            <w:pPr>
              <w:spacing w:after="0"/>
              <w:rPr>
                <w:sz w:val="20"/>
                <w:szCs w:val="20"/>
                <w:color w:val="auto"/>
              </w:rPr>
            </w:pPr>
            <w:r>
              <w:rPr>
                <w:rFonts w:ascii="Arial" w:cs="Arial" w:eastAsia="Arial" w:hAnsi="Arial"/>
                <w:sz w:val="19"/>
                <w:szCs w:val="19"/>
                <w:b w:val="1"/>
                <w:bCs w:val="1"/>
                <w:color w:val="auto"/>
              </w:rPr>
              <w:t>Benefits and Expenses:</w:t>
            </w: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0"/>
                <w:szCs w:val="20"/>
                <w:color w:val="auto"/>
              </w:rPr>
            </w:pPr>
            <w:r>
              <w:rPr>
                <w:rFonts w:ascii="Arial" w:cs="Arial" w:eastAsia="Arial" w:hAnsi="Arial"/>
                <w:sz w:val="19"/>
                <w:szCs w:val="19"/>
                <w:color w:val="auto"/>
                <w:w w:val="93"/>
              </w:rPr>
              <w:t>General and administrative expenses</w:t>
            </w:r>
          </w:p>
        </w:tc>
        <w:tc>
          <w:tcPr>
            <w:tcW w:w="1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1,797,872</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1,100,010</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Interest expense</w:t>
            </w:r>
          </w:p>
        </w:tc>
        <w:tc>
          <w:tcPr>
            <w:tcW w:w="15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179,799</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68,821</w:t>
            </w:r>
          </w:p>
        </w:tc>
        <w:tc>
          <w:tcPr>
            <w:tcW w:w="0" w:type="dxa"/>
            <w:vAlign w:val="bottom"/>
          </w:tcPr>
          <w:p>
            <w:pPr>
              <w:spacing w:after="0"/>
              <w:rPr>
                <w:sz w:val="1"/>
                <w:szCs w:val="1"/>
                <w:color w:val="auto"/>
              </w:rPr>
            </w:pPr>
          </w:p>
        </w:tc>
      </w:tr>
      <w:tr>
        <w:trPr>
          <w:trHeight w:val="244"/>
        </w:trPr>
        <w:tc>
          <w:tcPr>
            <w:tcW w:w="2960" w:type="dxa"/>
            <w:vAlign w:val="bottom"/>
            <w:shd w:val="clear" w:color="auto" w:fill="CCEEFF"/>
          </w:tcPr>
          <w:p>
            <w:pPr>
              <w:ind w:left="200"/>
              <w:spacing w:after="0"/>
              <w:rPr>
                <w:sz w:val="20"/>
                <w:szCs w:val="20"/>
                <w:color w:val="auto"/>
              </w:rPr>
            </w:pPr>
            <w:r>
              <w:rPr>
                <w:rFonts w:ascii="Arial" w:cs="Arial" w:eastAsia="Arial" w:hAnsi="Arial"/>
                <w:sz w:val="19"/>
                <w:szCs w:val="19"/>
                <w:color w:val="auto"/>
              </w:rPr>
              <w:t>Total benefits and expenses</w:t>
            </w:r>
          </w:p>
        </w:tc>
        <w:tc>
          <w:tcPr>
            <w:tcW w:w="15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1,977,671</w:t>
            </w:r>
          </w:p>
        </w:tc>
        <w:tc>
          <w:tcPr>
            <w:tcW w:w="2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1,168,831</w:t>
            </w:r>
          </w:p>
        </w:tc>
        <w:tc>
          <w:tcPr>
            <w:tcW w:w="0" w:type="dxa"/>
            <w:vAlign w:val="bottom"/>
          </w:tcPr>
          <w:p>
            <w:pPr>
              <w:spacing w:after="0"/>
              <w:rPr>
                <w:sz w:val="1"/>
                <w:szCs w:val="1"/>
                <w:color w:val="auto"/>
              </w:rPr>
            </w:pPr>
          </w:p>
        </w:tc>
      </w:tr>
      <w:tr>
        <w:trPr>
          <w:trHeight w:val="246"/>
        </w:trPr>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spacing w:after="0" w:line="214" w:lineRule="exact"/>
              <w:rPr>
                <w:sz w:val="20"/>
                <w:szCs w:val="20"/>
                <w:color w:val="auto"/>
              </w:rPr>
            </w:pPr>
            <w:r>
              <w:rPr>
                <w:rFonts w:ascii="Arial" w:cs="Arial" w:eastAsia="Arial" w:hAnsi="Arial"/>
                <w:sz w:val="19"/>
                <w:szCs w:val="19"/>
                <w:b w:val="1"/>
                <w:bCs w:val="1"/>
                <w:color w:val="auto"/>
              </w:rPr>
              <w:t>Earnings before income taxes,</w:t>
            </w:r>
          </w:p>
        </w:tc>
        <w:tc>
          <w:tcPr>
            <w:tcW w:w="1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960" w:type="dxa"/>
            <w:vAlign w:val="bottom"/>
            <w:shd w:val="clear" w:color="auto" w:fill="CCEEFF"/>
          </w:tcPr>
          <w:p>
            <w:pPr>
              <w:ind w:left="100"/>
              <w:spacing w:after="0"/>
              <w:rPr>
                <w:sz w:val="20"/>
                <w:szCs w:val="20"/>
                <w:color w:val="auto"/>
              </w:rPr>
            </w:pPr>
            <w:r>
              <w:rPr>
                <w:rFonts w:ascii="Arial" w:cs="Arial" w:eastAsia="Arial" w:hAnsi="Arial"/>
                <w:sz w:val="19"/>
                <w:szCs w:val="19"/>
                <w:b w:val="1"/>
                <w:bCs w:val="1"/>
                <w:color w:val="auto"/>
              </w:rPr>
              <w:t>and earnings of subsidiaries</w:t>
            </w:r>
          </w:p>
        </w:tc>
        <w:tc>
          <w:tcPr>
            <w:tcW w:w="15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(622,216)</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267,535</w:t>
            </w:r>
          </w:p>
        </w:tc>
        <w:tc>
          <w:tcPr>
            <w:tcW w:w="0" w:type="dxa"/>
            <w:vAlign w:val="bottom"/>
          </w:tcPr>
          <w:p>
            <w:pPr>
              <w:spacing w:after="0"/>
              <w:rPr>
                <w:sz w:val="1"/>
                <w:szCs w:val="1"/>
                <w:color w:val="auto"/>
              </w:rPr>
            </w:pPr>
          </w:p>
        </w:tc>
      </w:tr>
      <w:tr>
        <w:trPr>
          <w:trHeight w:val="248"/>
        </w:trPr>
        <w:tc>
          <w:tcPr>
            <w:tcW w:w="2960" w:type="dxa"/>
            <w:vAlign w:val="bottom"/>
          </w:tcPr>
          <w:p>
            <w:pPr>
              <w:spacing w:after="0"/>
              <w:rPr>
                <w:sz w:val="20"/>
                <w:szCs w:val="20"/>
                <w:color w:val="auto"/>
              </w:rPr>
            </w:pPr>
            <w:r>
              <w:rPr>
                <w:rFonts w:ascii="Arial" w:cs="Arial" w:eastAsia="Arial" w:hAnsi="Arial"/>
                <w:sz w:val="19"/>
                <w:szCs w:val="19"/>
                <w:color w:val="auto"/>
              </w:rPr>
              <w:t>Income tax benefit</w:t>
            </w: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97,217</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304,548</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0"/>
                <w:szCs w:val="20"/>
                <w:color w:val="auto"/>
              </w:rPr>
            </w:pPr>
            <w:r>
              <w:rPr>
                <w:rFonts w:ascii="Arial" w:cs="Arial" w:eastAsia="Arial" w:hAnsi="Arial"/>
                <w:sz w:val="19"/>
                <w:szCs w:val="19"/>
                <w:color w:val="auto"/>
              </w:rPr>
              <w:t>Equity in earnings of subsidiaries</w:t>
            </w:r>
          </w:p>
        </w:tc>
        <w:tc>
          <w:tcPr>
            <w:tcW w:w="15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56,121,612</w:t>
            </w:r>
          </w:p>
        </w:tc>
        <w:tc>
          <w:tcPr>
            <w:tcW w:w="2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10,321,436</w:t>
            </w:r>
          </w:p>
        </w:tc>
        <w:tc>
          <w:tcPr>
            <w:tcW w:w="0" w:type="dxa"/>
            <w:vAlign w:val="bottom"/>
          </w:tcPr>
          <w:p>
            <w:pPr>
              <w:spacing w:after="0"/>
              <w:rPr>
                <w:sz w:val="1"/>
                <w:szCs w:val="1"/>
                <w:color w:val="auto"/>
              </w:rPr>
            </w:pPr>
          </w:p>
        </w:tc>
      </w:tr>
      <w:tr>
        <w:trPr>
          <w:trHeight w:val="246"/>
        </w:trPr>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Net earnings</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9"/>
                <w:szCs w:val="19"/>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55,596,613</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10,893,519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financial statements.</w:t>
      </w: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139" w:name="page140"/>
    <w:bookmarkEnd w:id="139"/>
    <w:p>
      <w:pPr>
        <w:ind w:left="3520"/>
        <w:spacing w:after="0"/>
        <w:rPr>
          <w:sz w:val="20"/>
          <w:szCs w:val="20"/>
          <w:color w:val="auto"/>
        </w:rPr>
      </w:pPr>
      <w:r>
        <w:rPr>
          <w:rFonts w:ascii="Arial" w:cs="Arial" w:eastAsia="Arial" w:hAnsi="Arial"/>
          <w:sz w:val="19"/>
          <w:szCs w:val="19"/>
          <w:color w:val="auto"/>
        </w:rPr>
        <w:t>Schedule II (Continued)</w:t>
      </w:r>
    </w:p>
    <w:p>
      <w:pPr>
        <w:spacing w:after="0" w:line="126"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(Parent Company Only)</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Condensed Financial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20" w:type="dxa"/>
            <w:vAlign w:val="bottom"/>
            <w:gridSpan w:val="2"/>
          </w:tcPr>
          <w:p>
            <w:pPr>
              <w:ind w:left="3040"/>
              <w:spacing w:after="0"/>
              <w:rPr>
                <w:sz w:val="20"/>
                <w:szCs w:val="20"/>
                <w:color w:val="auto"/>
              </w:rPr>
            </w:pPr>
            <w:r>
              <w:rPr>
                <w:rFonts w:ascii="Arial" w:cs="Arial" w:eastAsia="Arial" w:hAnsi="Arial"/>
                <w:sz w:val="19"/>
                <w:szCs w:val="19"/>
                <w:color w:val="auto"/>
                <w:w w:val="90"/>
              </w:rPr>
              <w:t>Condensed Statements of Cash Flow</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5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9"/>
                <w:szCs w:val="19"/>
                <w:b w:val="1"/>
                <w:bCs w:val="1"/>
                <w:color w:val="auto"/>
                <w:w w:val="96"/>
              </w:rPr>
              <w:t>Years Ended December 31</w:t>
            </w:r>
          </w:p>
        </w:tc>
        <w:tc>
          <w:tcPr>
            <w:tcW w:w="0" w:type="dxa"/>
            <w:vAlign w:val="bottom"/>
          </w:tcPr>
          <w:p>
            <w:pPr>
              <w:spacing w:after="0"/>
              <w:rPr>
                <w:sz w:val="1"/>
                <w:szCs w:val="1"/>
                <w:color w:val="auto"/>
              </w:rPr>
            </w:pPr>
          </w:p>
        </w:tc>
      </w:tr>
      <w:tr>
        <w:trPr>
          <w:trHeight w:val="248"/>
        </w:trPr>
        <w:tc>
          <w:tcPr>
            <w:tcW w:w="5400" w:type="dxa"/>
            <w:vAlign w:val="bottom"/>
            <w:vMerge w:val="restart"/>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9"/>
                <w:szCs w:val="19"/>
                <w:b w:val="1"/>
                <w:bCs w:val="1"/>
                <w:color w:val="auto"/>
              </w:rPr>
              <w:t>2020</w:t>
            </w:r>
          </w:p>
        </w:tc>
        <w:tc>
          <w:tcPr>
            <w:tcW w:w="2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23"/>
              <w:spacing w:after="0"/>
              <w:rPr>
                <w:sz w:val="20"/>
                <w:szCs w:val="20"/>
                <w:color w:val="auto"/>
              </w:rPr>
            </w:pPr>
            <w:r>
              <w:rPr>
                <w:rFonts w:ascii="Arial" w:cs="Arial" w:eastAsia="Arial" w:hAnsi="Arial"/>
                <w:sz w:val="19"/>
                <w:szCs w:val="19"/>
                <w:b w:val="1"/>
                <w:bCs w:val="1"/>
                <w:color w:val="auto"/>
                <w:w w:val="99"/>
              </w:rPr>
              <w:t>2019</w:t>
            </w:r>
          </w:p>
        </w:tc>
        <w:tc>
          <w:tcPr>
            <w:tcW w:w="0" w:type="dxa"/>
            <w:vAlign w:val="bottom"/>
          </w:tcPr>
          <w:p>
            <w:pPr>
              <w:spacing w:after="0"/>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Net earnings</w:t>
            </w:r>
          </w:p>
        </w:tc>
        <w:tc>
          <w:tcPr>
            <w:tcW w:w="5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55,596,613</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10,893,519</w:t>
            </w: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9"/>
                <w:szCs w:val="19"/>
                <w:color w:val="auto"/>
              </w:rPr>
              <w:t>Adjustments to reconcile net earnings to net cash provided by</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0"/>
                <w:szCs w:val="20"/>
                <w:color w:val="auto"/>
              </w:rPr>
            </w:pPr>
            <w:r>
              <w:rPr>
                <w:rFonts w:ascii="Arial" w:cs="Arial" w:eastAsia="Arial" w:hAnsi="Arial"/>
                <w:sz w:val="19"/>
                <w:szCs w:val="19"/>
                <w:color w:val="auto"/>
              </w:rPr>
              <w:t>operating activities:</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Undistributed earnings of affiliates</w:t>
            </w: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56,121,612</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10,321,436</w:t>
            </w:r>
          </w:p>
        </w:tc>
        <w:tc>
          <w:tcPr>
            <w:tcW w:w="0" w:type="dxa"/>
            <w:vAlign w:val="bottom"/>
          </w:tcPr>
          <w:p>
            <w:pPr>
              <w:spacing w:after="0"/>
              <w:rPr>
                <w:sz w:val="1"/>
                <w:szCs w:val="1"/>
                <w:color w:val="auto"/>
              </w:rPr>
            </w:pPr>
          </w:p>
        </w:tc>
      </w:tr>
      <w:tr>
        <w:trPr>
          <w:trHeight w:val="248"/>
        </w:trPr>
        <w:tc>
          <w:tcPr>
            <w:tcW w:w="5400" w:type="dxa"/>
            <w:vAlign w:val="bottom"/>
          </w:tcPr>
          <w:p>
            <w:pPr>
              <w:ind w:left="200"/>
              <w:spacing w:after="0"/>
              <w:rPr>
                <w:sz w:val="20"/>
                <w:szCs w:val="20"/>
                <w:color w:val="auto"/>
              </w:rPr>
            </w:pPr>
            <w:r>
              <w:rPr>
                <w:rFonts w:ascii="Arial" w:cs="Arial" w:eastAsia="Arial" w:hAnsi="Arial"/>
                <w:sz w:val="19"/>
                <w:szCs w:val="19"/>
                <w:color w:val="auto"/>
              </w:rPr>
              <w:t>Provision for deferred and other income taxes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(188,000)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(1,508,011)</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Stock based compensation expense</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358,878</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256,996</w:t>
            </w:r>
          </w:p>
        </w:tc>
        <w:tc>
          <w:tcPr>
            <w:tcW w:w="0" w:type="dxa"/>
            <w:vAlign w:val="bottom"/>
          </w:tcPr>
          <w:p>
            <w:pPr>
              <w:spacing w:after="0"/>
              <w:rPr>
                <w:sz w:val="1"/>
                <w:szCs w:val="1"/>
                <w:color w:val="auto"/>
              </w:rPr>
            </w:pPr>
          </w:p>
        </w:tc>
      </w:tr>
      <w:tr>
        <w:trPr>
          <w:trHeight w:val="248"/>
        </w:trPr>
        <w:tc>
          <w:tcPr>
            <w:tcW w:w="5400" w:type="dxa"/>
            <w:vAlign w:val="bottom"/>
          </w:tcPr>
          <w:p>
            <w:pPr>
              <w:ind w:left="200"/>
              <w:spacing w:after="0"/>
              <w:rPr>
                <w:sz w:val="20"/>
                <w:szCs w:val="20"/>
                <w:color w:val="auto"/>
              </w:rPr>
            </w:pPr>
            <w:r>
              <w:rPr>
                <w:rFonts w:ascii="Arial" w:cs="Arial" w:eastAsia="Arial" w:hAnsi="Arial"/>
                <w:sz w:val="19"/>
                <w:szCs w:val="19"/>
                <w:color w:val="auto"/>
              </w:rPr>
              <w:t>Benefit plans funded with treasury stock</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3,939,948</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695,560</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Change in assets and liabilities: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00" w:type="dxa"/>
            <w:vAlign w:val="bottom"/>
          </w:tcPr>
          <w:p>
            <w:pPr>
              <w:ind w:left="200"/>
              <w:spacing w:after="0"/>
              <w:rPr>
                <w:sz w:val="20"/>
                <w:szCs w:val="20"/>
                <w:color w:val="auto"/>
              </w:rPr>
            </w:pPr>
            <w:r>
              <w:rPr>
                <w:rFonts w:ascii="Arial" w:cs="Arial" w:eastAsia="Arial" w:hAnsi="Arial"/>
                <w:sz w:val="19"/>
                <w:szCs w:val="19"/>
                <w:color w:val="auto"/>
              </w:rPr>
              <w:t>Other assets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(12,371)</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(2,422)</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Other liabilities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287,809</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(44,558)</w:t>
            </w:r>
          </w:p>
        </w:tc>
        <w:tc>
          <w:tcPr>
            <w:tcW w:w="0" w:type="dxa"/>
            <w:vAlign w:val="bottom"/>
          </w:tcPr>
          <w:p>
            <w:pPr>
              <w:spacing w:after="0"/>
              <w:rPr>
                <w:sz w:val="1"/>
                <w:szCs w:val="1"/>
                <w:color w:val="auto"/>
              </w:rPr>
            </w:pPr>
          </w:p>
        </w:tc>
      </w:tr>
      <w:tr>
        <w:trPr>
          <w:trHeight w:val="251"/>
        </w:trPr>
        <w:tc>
          <w:tcPr>
            <w:tcW w:w="54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Net cash provided by operating activities</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116,104,489</w:t>
            </w:r>
          </w:p>
        </w:tc>
        <w:tc>
          <w:tcPr>
            <w:tcW w:w="2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20,612,520</w:t>
            </w: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00" w:type="dxa"/>
            <w:vAlign w:val="bottom"/>
          </w:tcPr>
          <w:p>
            <w:pPr>
              <w:ind w:left="200"/>
              <w:spacing w:after="0"/>
              <w:rPr>
                <w:sz w:val="20"/>
                <w:szCs w:val="20"/>
                <w:color w:val="auto"/>
              </w:rPr>
            </w:pPr>
            <w:r>
              <w:rPr>
                <w:rFonts w:ascii="Arial" w:cs="Arial" w:eastAsia="Arial" w:hAnsi="Arial"/>
                <w:sz w:val="19"/>
                <w:szCs w:val="19"/>
                <w:color w:val="auto"/>
              </w:rPr>
              <w:t>Investment in subsidiaries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w w:val="91"/>
              </w:rPr>
              <w:t>(112,390,215)</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w w:val="96"/>
              </w:rPr>
              <w:t>(18,759,314)</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Mortgage loans held for investment made</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(2,593,000)</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9"/>
                <w:szCs w:val="19"/>
                <w:color w:val="auto"/>
              </w:rPr>
              <w:t>Payments received for mortgage loans held for investment</w:t>
            </w: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614,000</w:t>
            </w: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1,820,000</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Net cash used in investing activities</w:t>
            </w: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1"/>
              </w:rPr>
              <w:t>(111,776,215)</w:t>
            </w: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6"/>
              </w:rPr>
              <w:t>(19,532,314)</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400" w:type="dxa"/>
            <w:vAlign w:val="bottom"/>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Advances to affiliates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3,764,784</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(8,694,702)</w:t>
            </w:r>
          </w:p>
        </w:tc>
        <w:tc>
          <w:tcPr>
            <w:tcW w:w="0" w:type="dxa"/>
            <w:vAlign w:val="bottom"/>
          </w:tcPr>
          <w:p>
            <w:pPr>
              <w:spacing w:after="0"/>
              <w:rPr>
                <w:sz w:val="1"/>
                <w:szCs w:val="1"/>
                <w:color w:val="auto"/>
              </w:rPr>
            </w:pPr>
          </w:p>
        </w:tc>
      </w:tr>
      <w:tr>
        <w:trPr>
          <w:trHeight w:val="248"/>
        </w:trPr>
        <w:tc>
          <w:tcPr>
            <w:tcW w:w="5400" w:type="dxa"/>
            <w:vAlign w:val="bottom"/>
          </w:tcPr>
          <w:p>
            <w:pPr>
              <w:ind w:left="200"/>
              <w:spacing w:after="0"/>
              <w:rPr>
                <w:sz w:val="20"/>
                <w:szCs w:val="20"/>
                <w:color w:val="auto"/>
              </w:rPr>
            </w:pPr>
            <w:r>
              <w:rPr>
                <w:rFonts w:ascii="Arial" w:cs="Arial" w:eastAsia="Arial" w:hAnsi="Arial"/>
                <w:sz w:val="19"/>
                <w:szCs w:val="19"/>
                <w:color w:val="auto"/>
              </w:rPr>
              <w:t>Purchase of treasury stock</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(2,967,761)</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(1,539,888)</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Proceeds from stock options exercised</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832,152</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863,910</w:t>
            </w:r>
          </w:p>
        </w:tc>
        <w:tc>
          <w:tcPr>
            <w:tcW w:w="0" w:type="dxa"/>
            <w:vAlign w:val="bottom"/>
          </w:tcPr>
          <w:p>
            <w:pPr>
              <w:spacing w:after="0"/>
              <w:rPr>
                <w:sz w:val="1"/>
                <w:szCs w:val="1"/>
                <w:color w:val="auto"/>
              </w:rPr>
            </w:pPr>
          </w:p>
        </w:tc>
      </w:tr>
      <w:tr>
        <w:trPr>
          <w:trHeight w:val="248"/>
        </w:trPr>
        <w:tc>
          <w:tcPr>
            <w:tcW w:w="5400" w:type="dxa"/>
            <w:vAlign w:val="bottom"/>
          </w:tcPr>
          <w:p>
            <w:pPr>
              <w:ind w:left="200"/>
              <w:spacing w:after="0"/>
              <w:rPr>
                <w:sz w:val="20"/>
                <w:szCs w:val="20"/>
                <w:color w:val="auto"/>
              </w:rPr>
            </w:pPr>
            <w:r>
              <w:rPr>
                <w:rFonts w:ascii="Arial" w:cs="Arial" w:eastAsia="Arial" w:hAnsi="Arial"/>
                <w:sz w:val="19"/>
                <w:szCs w:val="19"/>
                <w:color w:val="auto"/>
              </w:rPr>
              <w:t>Repayment of bank loans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(1,347,616)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(579,286)</w:t>
            </w:r>
          </w:p>
        </w:tc>
        <w:tc>
          <w:tcPr>
            <w:tcW w:w="0" w:type="dxa"/>
            <w:vAlign w:val="bottom"/>
          </w:tcPr>
          <w:p>
            <w:pPr>
              <w:spacing w:after="0"/>
              <w:rPr>
                <w:sz w:val="1"/>
                <w:szCs w:val="1"/>
                <w:color w:val="auto"/>
              </w:rPr>
            </w:pPr>
          </w:p>
        </w:tc>
      </w:tr>
      <w:tr>
        <w:trPr>
          <w:trHeight w:val="253"/>
        </w:trPr>
        <w:tc>
          <w:tcPr>
            <w:tcW w:w="5400" w:type="dxa"/>
            <w:vAlign w:val="bottom"/>
            <w:shd w:val="clear" w:color="auto" w:fill="CCEEFF"/>
          </w:tcPr>
          <w:p>
            <w:pPr>
              <w:ind w:left="200"/>
              <w:spacing w:after="0"/>
              <w:rPr>
                <w:sz w:val="20"/>
                <w:szCs w:val="20"/>
                <w:color w:val="auto"/>
              </w:rPr>
            </w:pPr>
            <w:r>
              <w:rPr>
                <w:rFonts w:ascii="Arial" w:cs="Arial" w:eastAsia="Arial" w:hAnsi="Arial"/>
                <w:sz w:val="19"/>
                <w:szCs w:val="19"/>
                <w:color w:val="auto"/>
              </w:rPr>
              <w:t>Proceeds from borrowing on bank loans</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4,000,000</w:t>
            </w:r>
          </w:p>
        </w:tc>
        <w:tc>
          <w:tcPr>
            <w:tcW w:w="0" w:type="dxa"/>
            <w:vAlign w:val="bottom"/>
          </w:tcPr>
          <w:p>
            <w:pPr>
              <w:spacing w:after="0"/>
              <w:rPr>
                <w:sz w:val="1"/>
                <w:szCs w:val="1"/>
                <w:color w:val="auto"/>
              </w:rPr>
            </w:pPr>
          </w:p>
        </w:tc>
      </w:tr>
      <w:tr>
        <w:trPr>
          <w:trHeight w:val="251"/>
        </w:trPr>
        <w:tc>
          <w:tcPr>
            <w:tcW w:w="54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Net cash provided by (used in) financing activities</w:t>
            </w: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281,559</w:t>
            </w:r>
          </w:p>
        </w:tc>
        <w:tc>
          <w:tcPr>
            <w:tcW w:w="2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(5,949,966)</w:t>
            </w:r>
          </w:p>
        </w:tc>
        <w:tc>
          <w:tcPr>
            <w:tcW w:w="0" w:type="dxa"/>
            <w:vAlign w:val="bottom"/>
          </w:tcPr>
          <w:p>
            <w:pPr>
              <w:spacing w:after="0"/>
              <w:rPr>
                <w:sz w:val="1"/>
                <w:szCs w:val="1"/>
                <w:color w:val="auto"/>
              </w:rPr>
            </w:pPr>
          </w:p>
        </w:tc>
      </w:tr>
      <w:tr>
        <w:trPr>
          <w:trHeight w:val="233"/>
        </w:trPr>
        <w:tc>
          <w:tcPr>
            <w:tcW w:w="5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EEFF"/>
          </w:tcPr>
          <w:p>
            <w:pPr>
              <w:spacing w:after="0" w:line="214" w:lineRule="exact"/>
              <w:rPr>
                <w:sz w:val="20"/>
                <w:szCs w:val="20"/>
                <w:color w:val="auto"/>
              </w:rPr>
            </w:pPr>
            <w:r>
              <w:rPr>
                <w:rFonts w:ascii="Arial" w:cs="Arial" w:eastAsia="Arial" w:hAnsi="Arial"/>
                <w:sz w:val="19"/>
                <w:szCs w:val="19"/>
                <w:b w:val="1"/>
                <w:bCs w:val="1"/>
                <w:color w:val="auto"/>
              </w:rPr>
              <w:t>Net change in cash, cash equivalents, restricted cash and</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400" w:type="dxa"/>
            <w:vAlign w:val="bottom"/>
            <w:shd w:val="clear" w:color="auto" w:fill="CCEEFF"/>
          </w:tcPr>
          <w:p>
            <w:pPr>
              <w:ind w:left="100"/>
              <w:spacing w:after="0"/>
              <w:rPr>
                <w:sz w:val="20"/>
                <w:szCs w:val="20"/>
                <w:color w:val="auto"/>
              </w:rPr>
            </w:pPr>
            <w:r>
              <w:rPr>
                <w:rFonts w:ascii="Arial" w:cs="Arial" w:eastAsia="Arial" w:hAnsi="Arial"/>
                <w:sz w:val="19"/>
                <w:szCs w:val="19"/>
                <w:b w:val="1"/>
                <w:bCs w:val="1"/>
                <w:color w:val="auto"/>
              </w:rPr>
              <w:t>restricted cash equivalents</w:t>
            </w: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4,609,833</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(4,869,760)</w:t>
            </w:r>
          </w:p>
        </w:tc>
        <w:tc>
          <w:tcPr>
            <w:tcW w:w="0" w:type="dxa"/>
            <w:vAlign w:val="bottom"/>
          </w:tcPr>
          <w:p>
            <w:pPr>
              <w:spacing w:after="0"/>
              <w:rPr>
                <w:sz w:val="1"/>
                <w:szCs w:val="1"/>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9"/>
                <w:szCs w:val="19"/>
                <w:color w:val="auto"/>
              </w:rPr>
              <w:t>Cash, cash equivalents, restricted cash and restricted cash</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9"/>
                <w:szCs w:val="19"/>
                <w:color w:val="auto"/>
              </w:rPr>
              <w:t>equivalents at beginning of year</w:t>
            </w: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4,613,212</w:t>
            </w:r>
          </w:p>
        </w:tc>
        <w:tc>
          <w:tcPr>
            <w:tcW w:w="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9,482,972</w:t>
            </w:r>
          </w:p>
        </w:tc>
        <w:tc>
          <w:tcPr>
            <w:tcW w:w="0" w:type="dxa"/>
            <w:vAlign w:val="bottom"/>
          </w:tcPr>
          <w:p>
            <w:pPr>
              <w:spacing w:after="0"/>
              <w:rPr>
                <w:sz w:val="1"/>
                <w:szCs w:val="1"/>
                <w:color w:val="auto"/>
              </w:rPr>
            </w:pPr>
          </w:p>
        </w:tc>
      </w:tr>
      <w:tr>
        <w:trPr>
          <w:trHeight w:val="199"/>
        </w:trPr>
        <w:tc>
          <w:tcPr>
            <w:tcW w:w="5400" w:type="dxa"/>
            <w:vAlign w:val="bottom"/>
            <w:shd w:val="clear" w:color="auto" w:fill="CCEEFF"/>
          </w:tcPr>
          <w:p>
            <w:pPr>
              <w:spacing w:after="0" w:line="199" w:lineRule="exact"/>
              <w:rPr>
                <w:sz w:val="20"/>
                <w:szCs w:val="20"/>
                <w:color w:val="auto"/>
              </w:rPr>
            </w:pPr>
            <w:r>
              <w:rPr>
                <w:rFonts w:ascii="Arial" w:cs="Arial" w:eastAsia="Arial" w:hAnsi="Arial"/>
                <w:sz w:val="19"/>
                <w:szCs w:val="19"/>
                <w:b w:val="1"/>
                <w:bCs w:val="1"/>
                <w:color w:val="auto"/>
              </w:rPr>
              <w:t>Cash, cash equivalents, restricted cash and restricted</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9,223,045</w:t>
            </w:r>
          </w:p>
        </w:tc>
        <w:tc>
          <w:tcPr>
            <w:tcW w:w="2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9"/>
                <w:szCs w:val="19"/>
                <w:color w:val="auto"/>
              </w:rPr>
              <w:t>4,613,212</w:t>
            </w:r>
          </w:p>
        </w:tc>
        <w:tc>
          <w:tcPr>
            <w:tcW w:w="0" w:type="dxa"/>
            <w:vAlign w:val="bottom"/>
          </w:tcPr>
          <w:p>
            <w:pPr>
              <w:spacing w:after="0"/>
              <w:rPr>
                <w:sz w:val="1"/>
                <w:szCs w:val="1"/>
                <w:color w:val="auto"/>
              </w:rPr>
            </w:pPr>
          </w:p>
        </w:tc>
      </w:tr>
      <w:tr>
        <w:trPr>
          <w:trHeight w:val="247"/>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9"/>
                <w:szCs w:val="19"/>
                <w:b w:val="1"/>
                <w:bCs w:val="1"/>
                <w:color w:val="auto"/>
              </w:rPr>
              <w:t>cash equivalents at end of year</w:t>
            </w: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financial statements.</w:t>
      </w: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140" w:name="page141"/>
    <w:bookmarkEnd w:id="140"/>
    <w:p>
      <w:pPr>
        <w:ind w:left="3520"/>
        <w:spacing w:after="0"/>
        <w:rPr>
          <w:sz w:val="20"/>
          <w:szCs w:val="20"/>
          <w:color w:val="auto"/>
        </w:rPr>
      </w:pPr>
      <w:r>
        <w:rPr>
          <w:rFonts w:ascii="Arial" w:cs="Arial" w:eastAsia="Arial" w:hAnsi="Arial"/>
          <w:sz w:val="19"/>
          <w:szCs w:val="19"/>
          <w:color w:val="auto"/>
        </w:rPr>
        <w:t>Schedule II (Continued)</w:t>
      </w:r>
    </w:p>
    <w:p>
      <w:pPr>
        <w:spacing w:after="0" w:line="152" w:lineRule="exact"/>
        <w:rPr>
          <w:sz w:val="20"/>
          <w:szCs w:val="20"/>
          <w:color w:val="auto"/>
        </w:rPr>
      </w:pPr>
    </w:p>
    <w:p>
      <w:pPr>
        <w:ind w:left="2220"/>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(Parent Company Only)</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Condensed Financial Information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Notes to Condensed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80" w:type="dxa"/>
            <w:vAlign w:val="bottom"/>
          </w:tcPr>
          <w:p>
            <w:pPr>
              <w:spacing w:after="0"/>
              <w:rPr>
                <w:sz w:val="20"/>
                <w:szCs w:val="20"/>
                <w:color w:val="auto"/>
              </w:rPr>
            </w:pPr>
            <w:r>
              <w:rPr>
                <w:rFonts w:ascii="Arial" w:cs="Arial" w:eastAsia="Arial" w:hAnsi="Arial"/>
                <w:sz w:val="19"/>
                <w:szCs w:val="19"/>
                <w:color w:val="auto"/>
                <w:w w:val="94"/>
              </w:rPr>
              <w:t>1)</w:t>
            </w:r>
          </w:p>
        </w:tc>
        <w:tc>
          <w:tcPr>
            <w:tcW w:w="280" w:type="dxa"/>
            <w:vAlign w:val="bottom"/>
          </w:tcPr>
          <w:p>
            <w:pPr>
              <w:spacing w:after="0"/>
              <w:rPr>
                <w:sz w:val="21"/>
                <w:szCs w:val="21"/>
                <w:color w:val="auto"/>
              </w:rPr>
            </w:pPr>
          </w:p>
        </w:tc>
        <w:tc>
          <w:tcPr>
            <w:tcW w:w="5620" w:type="dxa"/>
            <w:vAlign w:val="bottom"/>
            <w:gridSpan w:val="2"/>
          </w:tcPr>
          <w:p>
            <w:pPr>
              <w:ind w:left="20"/>
              <w:spacing w:after="0"/>
              <w:rPr>
                <w:sz w:val="20"/>
                <w:szCs w:val="20"/>
                <w:color w:val="auto"/>
              </w:rPr>
            </w:pPr>
            <w:r>
              <w:rPr>
                <w:rFonts w:ascii="Arial" w:cs="Arial" w:eastAsia="Arial" w:hAnsi="Arial"/>
                <w:sz w:val="21"/>
                <w:szCs w:val="21"/>
                <w:color w:val="auto"/>
              </w:rPr>
              <w:t>Bank and Other Loans Payable</w:t>
            </w:r>
          </w:p>
        </w:tc>
        <w:tc>
          <w:tcPr>
            <w:tcW w:w="2800" w:type="dxa"/>
            <w:vAlign w:val="bottom"/>
            <w:gridSpan w:val="3"/>
            <w:vMerge w:val="restart"/>
          </w:tcPr>
          <w:p>
            <w:pPr>
              <w:jc w:val="right"/>
              <w:ind w:right="783"/>
              <w:spacing w:after="0"/>
              <w:rPr>
                <w:sz w:val="20"/>
                <w:szCs w:val="20"/>
                <w:color w:val="auto"/>
              </w:rPr>
            </w:pPr>
            <w:r>
              <w:rPr>
                <w:rFonts w:ascii="Arial" w:cs="Arial" w:eastAsia="Arial" w:hAnsi="Arial"/>
                <w:sz w:val="19"/>
                <w:szCs w:val="19"/>
                <w:color w:val="auto"/>
              </w:rPr>
              <w:t>December 31</w:t>
            </w: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8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8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2019</w:t>
            </w:r>
          </w:p>
        </w:tc>
        <w:tc>
          <w:tcPr>
            <w:tcW w:w="260" w:type="dxa"/>
            <w:vAlign w:val="bottom"/>
          </w:tcPr>
          <w:p>
            <w:pPr>
              <w:spacing w:after="0"/>
              <w:rPr>
                <w:sz w:val="22"/>
                <w:szCs w:val="22"/>
                <w:color w:val="auto"/>
              </w:rPr>
            </w:pPr>
          </w:p>
        </w:tc>
        <w:tc>
          <w:tcPr>
            <w:tcW w:w="126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2019</w:t>
            </w:r>
          </w:p>
        </w:tc>
        <w:tc>
          <w:tcPr>
            <w:tcW w:w="0" w:type="dxa"/>
            <w:vAlign w:val="bottom"/>
          </w:tcPr>
          <w:p>
            <w:pPr>
              <w:spacing w:after="0"/>
              <w:rPr>
                <w:sz w:val="1"/>
                <w:szCs w:val="1"/>
                <w:color w:val="auto"/>
              </w:rPr>
            </w:pPr>
          </w:p>
        </w:tc>
      </w:tr>
      <w:tr>
        <w:trPr>
          <w:trHeight w:val="235"/>
        </w:trPr>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08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4.27% fixed note payable in monthly installments of $53,881 including</w:t>
            </w: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80" w:type="dxa"/>
            <w:vAlign w:val="bottom"/>
            <w:shd w:val="clear" w:color="auto" w:fill="CCEEFF"/>
          </w:tcPr>
          <w:p>
            <w:pPr>
              <w:spacing w:after="0"/>
              <w:rPr>
                <w:sz w:val="19"/>
                <w:szCs w:val="19"/>
                <w:color w:val="auto"/>
              </w:rPr>
            </w:pPr>
          </w:p>
        </w:tc>
        <w:tc>
          <w:tcPr>
            <w:tcW w:w="5900" w:type="dxa"/>
            <w:vAlign w:val="bottom"/>
            <w:gridSpan w:val="3"/>
            <w:shd w:val="clear" w:color="auto" w:fill="CCEEFF"/>
          </w:tcPr>
          <w:p>
            <w:pPr>
              <w:ind w:left="20"/>
              <w:spacing w:after="0"/>
              <w:rPr>
                <w:sz w:val="20"/>
                <w:szCs w:val="20"/>
                <w:color w:val="auto"/>
              </w:rPr>
            </w:pPr>
            <w:r>
              <w:rPr>
                <w:rFonts w:ascii="Arial" w:cs="Arial" w:eastAsia="Arial" w:hAnsi="Arial"/>
                <w:sz w:val="19"/>
                <w:szCs w:val="19"/>
                <w:color w:val="auto"/>
              </w:rPr>
              <w:t>principal and interest, collateralized by shares of Security National</w:t>
            </w: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180" w:type="dxa"/>
            <w:vAlign w:val="bottom"/>
            <w:shd w:val="clear" w:color="auto" w:fill="CCEEFF"/>
          </w:tcPr>
          <w:p>
            <w:pPr>
              <w:spacing w:after="0"/>
              <w:rPr>
                <w:sz w:val="22"/>
                <w:szCs w:val="22"/>
                <w:color w:val="auto"/>
              </w:rPr>
            </w:pPr>
          </w:p>
        </w:tc>
        <w:tc>
          <w:tcPr>
            <w:tcW w:w="5900" w:type="dxa"/>
            <w:vAlign w:val="bottom"/>
            <w:gridSpan w:val="3"/>
            <w:shd w:val="clear" w:color="auto" w:fill="CCEEFF"/>
          </w:tcPr>
          <w:p>
            <w:pPr>
              <w:ind w:left="20"/>
              <w:spacing w:after="0"/>
              <w:rPr>
                <w:sz w:val="20"/>
                <w:szCs w:val="20"/>
                <w:color w:val="auto"/>
              </w:rPr>
            </w:pPr>
            <w:r>
              <w:rPr>
                <w:rFonts w:ascii="Arial" w:cs="Arial" w:eastAsia="Arial" w:hAnsi="Arial"/>
                <w:sz w:val="19"/>
                <w:szCs w:val="19"/>
                <w:color w:val="auto"/>
              </w:rPr>
              <w:t>Life Insurance Company stock, due December 2021.</w:t>
            </w:r>
          </w:p>
        </w:tc>
        <w:tc>
          <w:tcPr>
            <w:tcW w:w="1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   633,890</w:t>
            </w: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$ 1,238,619</w:t>
            </w:r>
          </w:p>
        </w:tc>
        <w:tc>
          <w:tcPr>
            <w:tcW w:w="0" w:type="dxa"/>
            <w:vAlign w:val="bottom"/>
          </w:tcPr>
          <w:p>
            <w:pPr>
              <w:spacing w:after="0"/>
              <w:rPr>
                <w:sz w:val="1"/>
                <w:szCs w:val="1"/>
                <w:color w:val="auto"/>
              </w:rPr>
            </w:pPr>
          </w:p>
        </w:tc>
      </w:tr>
      <w:tr>
        <w:trPr>
          <w:trHeight w:val="221"/>
        </w:trPr>
        <w:tc>
          <w:tcPr>
            <w:tcW w:w="6080" w:type="dxa"/>
            <w:vAlign w:val="bottom"/>
            <w:gridSpan w:val="4"/>
          </w:tcPr>
          <w:p>
            <w:pPr>
              <w:spacing w:after="0"/>
              <w:rPr>
                <w:sz w:val="20"/>
                <w:szCs w:val="20"/>
                <w:color w:val="auto"/>
              </w:rPr>
            </w:pPr>
            <w:r>
              <w:rPr>
                <w:rFonts w:ascii="Arial" w:cs="Arial" w:eastAsia="Arial" w:hAnsi="Arial"/>
                <w:sz w:val="19"/>
                <w:szCs w:val="19"/>
                <w:color w:val="auto"/>
              </w:rPr>
              <w:t>Prime rate note payable in monthly installements of $75,108 including</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gridSpan w:val="4"/>
          </w:tcPr>
          <w:p>
            <w:pPr>
              <w:ind w:left="100"/>
              <w:spacing w:after="0"/>
              <w:rPr>
                <w:sz w:val="20"/>
                <w:szCs w:val="20"/>
                <w:color w:val="auto"/>
              </w:rPr>
            </w:pPr>
            <w:r>
              <w:rPr>
                <w:rFonts w:ascii="Arial" w:cs="Arial" w:eastAsia="Arial" w:hAnsi="Arial"/>
                <w:sz w:val="19"/>
                <w:szCs w:val="19"/>
                <w:color w:val="auto"/>
              </w:rPr>
              <w:t>principal and interest, collateralized by shares of Security National</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4"/>
          </w:tcPr>
          <w:p>
            <w:pPr>
              <w:ind w:left="100"/>
              <w:spacing w:after="0"/>
              <w:rPr>
                <w:sz w:val="20"/>
                <w:szCs w:val="20"/>
                <w:color w:val="auto"/>
              </w:rPr>
            </w:pPr>
            <w:r>
              <w:rPr>
                <w:rFonts w:ascii="Arial" w:cs="Arial" w:eastAsia="Arial" w:hAnsi="Arial"/>
                <w:sz w:val="19"/>
                <w:szCs w:val="19"/>
                <w:color w:val="auto"/>
              </w:rPr>
              <w:t>Life Insurance Company stock, due December 2024</w:t>
            </w:r>
          </w:p>
        </w:tc>
        <w:tc>
          <w:tcPr>
            <w:tcW w:w="128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rPr>
              <w:t>3,257,113</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rPr>
              <w:t>4,000,000</w:t>
            </w:r>
          </w:p>
        </w:tc>
        <w:tc>
          <w:tcPr>
            <w:tcW w:w="0" w:type="dxa"/>
            <w:vAlign w:val="bottom"/>
          </w:tcPr>
          <w:p>
            <w:pPr>
              <w:spacing w:after="0"/>
              <w:rPr>
                <w:sz w:val="1"/>
                <w:szCs w:val="1"/>
                <w:color w:val="auto"/>
              </w:rPr>
            </w:pPr>
          </w:p>
        </w:tc>
      </w:tr>
      <w:tr>
        <w:trPr>
          <w:trHeight w:val="248"/>
        </w:trPr>
        <w:tc>
          <w:tcPr>
            <w:tcW w:w="6080" w:type="dxa"/>
            <w:vAlign w:val="bottom"/>
            <w:gridSpan w:val="4"/>
            <w:shd w:val="clear" w:color="auto" w:fill="CCEEFF"/>
          </w:tcPr>
          <w:p>
            <w:pPr>
              <w:spacing w:after="0"/>
              <w:rPr>
                <w:sz w:val="20"/>
                <w:szCs w:val="20"/>
                <w:color w:val="auto"/>
              </w:rPr>
            </w:pPr>
            <w:r>
              <w:rPr>
                <w:rFonts w:ascii="Arial" w:cs="Arial" w:eastAsia="Arial" w:hAnsi="Arial"/>
                <w:sz w:val="19"/>
                <w:szCs w:val="19"/>
                <w:color w:val="auto"/>
              </w:rPr>
              <w:t>Total bank and other loans</w:t>
            </w:r>
          </w:p>
        </w:tc>
        <w:tc>
          <w:tcPr>
            <w:tcW w:w="128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rPr>
              <w:t>3,891,003</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rPr>
              <w:t>5,238,619</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gridSpan w:val="4"/>
          </w:tcPr>
          <w:p>
            <w:pPr>
              <w:spacing w:after="0"/>
              <w:rPr>
                <w:sz w:val="20"/>
                <w:szCs w:val="20"/>
                <w:color w:val="auto"/>
              </w:rPr>
            </w:pPr>
            <w:r>
              <w:rPr>
                <w:rFonts w:ascii="Arial" w:cs="Arial" w:eastAsia="Arial" w:hAnsi="Arial"/>
                <w:sz w:val="19"/>
                <w:szCs w:val="19"/>
                <w:color w:val="auto"/>
              </w:rPr>
              <w:t>Less current installments</w:t>
            </w:r>
          </w:p>
        </w:tc>
        <w:tc>
          <w:tcPr>
            <w:tcW w:w="128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rPr>
              <w:t>1,408,141</w:t>
            </w:r>
          </w:p>
        </w:tc>
        <w:tc>
          <w:tcPr>
            <w:tcW w:w="2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rPr>
              <w:t>1,334,798</w:t>
            </w:r>
          </w:p>
        </w:tc>
        <w:tc>
          <w:tcPr>
            <w:tcW w:w="0" w:type="dxa"/>
            <w:vAlign w:val="bottom"/>
          </w:tcPr>
          <w:p>
            <w:pPr>
              <w:spacing w:after="0"/>
              <w:rPr>
                <w:sz w:val="1"/>
                <w:szCs w:val="1"/>
                <w:color w:val="auto"/>
              </w:rPr>
            </w:pPr>
          </w:p>
        </w:tc>
      </w:tr>
      <w:tr>
        <w:trPr>
          <w:trHeight w:val="246"/>
        </w:trPr>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9"/>
                <w:szCs w:val="19"/>
                <w:color w:val="auto"/>
              </w:rPr>
              <w:t>Bank and other loans, excluding current installments</w:t>
            </w:r>
          </w:p>
        </w:tc>
        <w:tc>
          <w:tcPr>
            <w:tcW w:w="12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9"/>
                <w:szCs w:val="19"/>
                <w:color w:val="auto"/>
                <w:w w:val="95"/>
              </w:rPr>
              <w:t>$ 2,482,862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95"/>
              </w:rPr>
              <w:t>$ 3,903,821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79"/>
        <w:spacing w:after="0" w:line="250" w:lineRule="auto"/>
        <w:rPr>
          <w:sz w:val="20"/>
          <w:szCs w:val="20"/>
          <w:color w:val="auto"/>
        </w:rPr>
      </w:pPr>
      <w:r>
        <w:rPr>
          <w:rFonts w:ascii="Arial" w:cs="Arial" w:eastAsia="Arial" w:hAnsi="Arial"/>
          <w:sz w:val="19"/>
          <w:szCs w:val="19"/>
          <w:color w:val="auto"/>
        </w:rPr>
        <w:t>The Company has a $2,000,000 revolving line-of-credit with a bank with interest payable at the prime rate minus .75%, secured by the capital stock of Security National Life and maturing September 30, 2021, renewable annually. At December 31, 2020, the Company was contingently liable under a standby letter of credit aggregating $348,183, to be used as collateral to cover any contingency related to additional risk assessments pertaining to the Company's captive insurance program and was contingently liable under standby letters of credit aggregating $1,585,063, to be used as collateral for residential subdivision land developments. The standby letters of credit will draw on the line of credit if necessary. The Company does not expect any material losses to result from the issuance of the standby letters of credit. As of December 31, 2020, there were no amounts outstanding under the revolving line-of-credit.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tabulation shows the combined maturities of bank and other loans payable: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800" w:type="dxa"/>
            <w:vAlign w:val="bottom"/>
          </w:tcPr>
          <w:p>
            <w:pPr>
              <w:spacing w:after="0"/>
              <w:rPr>
                <w:sz w:val="21"/>
                <w:szCs w:val="21"/>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$ 1,408,141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9"/>
                <w:szCs w:val="19"/>
                <w:color w:val="auto"/>
              </w:rPr>
              <w:t>2022</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799,648</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800" w:type="dxa"/>
            <w:vAlign w:val="bottom"/>
          </w:tcPr>
          <w:p>
            <w:pPr>
              <w:spacing w:after="0"/>
              <w:rPr>
                <w:sz w:val="21"/>
                <w:szCs w:val="21"/>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2023</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825,877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9"/>
                <w:szCs w:val="19"/>
                <w:color w:val="auto"/>
              </w:rPr>
              <w:t>2024</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857,337</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800" w:type="dxa"/>
            <w:vAlign w:val="bottom"/>
          </w:tcPr>
          <w:p>
            <w:pPr>
              <w:spacing w:after="0"/>
              <w:rPr>
                <w:sz w:val="21"/>
                <w:szCs w:val="21"/>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2025</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9"/>
                <w:szCs w:val="19"/>
                <w:color w:val="auto"/>
              </w:rPr>
              <w:t>Thereafter</w:t>
            </w:r>
          </w:p>
        </w:tc>
        <w:tc>
          <w:tcPr>
            <w:tcW w:w="21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800" w:type="dxa"/>
            <w:vAlign w:val="bottom"/>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9"/>
                <w:szCs w:val="19"/>
                <w:color w:val="auto"/>
              </w:rPr>
              <w:t>Total</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$ 3,891,003</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8"/>
                <w:szCs w:val="18"/>
                <w:color w:val="auto"/>
              </w:rPr>
              <w:t>141</w:t>
            </w:r>
          </w:p>
        </w:tc>
        <w:tc>
          <w:tcPr>
            <w:tcW w:w="138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800" w:type="dxa"/>
            <w:vAlign w:val="bottom"/>
            <w:tcBorders>
              <w:bottom w:val="single" w:sz="8" w:color="909090"/>
            </w:tcBorders>
          </w:tcPr>
          <w:p>
            <w:pPr>
              <w:spacing w:after="0"/>
              <w:rPr>
                <w:sz w:val="14"/>
                <w:szCs w:val="14"/>
                <w:color w:val="auto"/>
              </w:rPr>
            </w:pPr>
          </w:p>
        </w:tc>
        <w:tc>
          <w:tcPr>
            <w:tcW w:w="1160" w:type="dxa"/>
            <w:vAlign w:val="bottom"/>
            <w:tcBorders>
              <w:bottom w:val="single" w:sz="8" w:color="909090"/>
            </w:tcBorders>
          </w:tcPr>
          <w:p>
            <w:pPr>
              <w:spacing w:after="0"/>
              <w:rPr>
                <w:sz w:val="14"/>
                <w:szCs w:val="14"/>
                <w:color w:val="auto"/>
              </w:rPr>
            </w:pPr>
          </w:p>
        </w:tc>
        <w:tc>
          <w:tcPr>
            <w:tcW w:w="720" w:type="dxa"/>
            <w:vAlign w:val="bottom"/>
            <w:tcBorders>
              <w:bottom w:val="single" w:sz="8" w:color="909090"/>
            </w:tcBorders>
          </w:tcPr>
          <w:p>
            <w:pPr>
              <w:spacing w:after="0"/>
              <w:rPr>
                <w:sz w:val="14"/>
                <w:szCs w:val="14"/>
                <w:color w:val="auto"/>
              </w:rPr>
            </w:pPr>
          </w:p>
        </w:tc>
        <w:tc>
          <w:tcPr>
            <w:tcW w:w="1380" w:type="dxa"/>
            <w:vAlign w:val="bottom"/>
            <w:tcBorders>
              <w:bottom w:val="single" w:sz="8" w:color="909090"/>
            </w:tcBorders>
          </w:tcPr>
          <w:p>
            <w:pPr>
              <w:spacing w:after="0"/>
              <w:rPr>
                <w:sz w:val="14"/>
                <w:szCs w:val="14"/>
                <w:color w:val="auto"/>
              </w:rPr>
            </w:pPr>
          </w:p>
        </w:tc>
        <w:tc>
          <w:tcPr>
            <w:tcW w:w="2840" w:type="dxa"/>
            <w:vAlign w:val="bottom"/>
            <w:tcBorders>
              <w:bottom w:val="single" w:sz="8" w:color="909090"/>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179"/>
          </w:cols>
          <w:pgMar w:left="1280" w:top="121" w:right="1440" w:bottom="1440" w:gutter="0" w:footer="0" w:header="0"/>
        </w:sectPr>
      </w:pPr>
    </w:p>
    <w:bookmarkStart w:id="141" w:name="page142"/>
    <w:bookmarkEnd w:id="141"/>
    <w:p>
      <w:pPr>
        <w:ind w:left="3525"/>
        <w:spacing w:after="0"/>
        <w:rPr>
          <w:sz w:val="20"/>
          <w:szCs w:val="20"/>
          <w:color w:val="auto"/>
        </w:rPr>
      </w:pPr>
      <w:r>
        <w:rPr>
          <w:rFonts w:ascii="Arial" w:cs="Arial" w:eastAsia="Arial" w:hAnsi="Arial"/>
          <w:sz w:val="19"/>
          <w:szCs w:val="19"/>
          <w:color w:val="auto"/>
        </w:rPr>
        <w:t>Schedule II (Continued)</w:t>
      </w:r>
    </w:p>
    <w:p>
      <w:pPr>
        <w:spacing w:after="0" w:line="152" w:lineRule="exact"/>
        <w:rPr>
          <w:sz w:val="20"/>
          <w:szCs w:val="20"/>
          <w:color w:val="auto"/>
        </w:rPr>
      </w:pPr>
    </w:p>
    <w:p>
      <w:pPr>
        <w:ind w:left="2225"/>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254"/>
        <w:spacing w:after="0"/>
        <w:rPr>
          <w:sz w:val="20"/>
          <w:szCs w:val="20"/>
          <w:color w:val="auto"/>
        </w:rPr>
      </w:pPr>
      <w:r>
        <w:rPr>
          <w:rFonts w:ascii="Arial" w:cs="Arial" w:eastAsia="Arial" w:hAnsi="Arial"/>
          <w:sz w:val="19"/>
          <w:szCs w:val="19"/>
          <w:color w:val="auto"/>
        </w:rPr>
        <w:t>(Parent Company Only)</w:t>
      </w:r>
    </w:p>
    <w:p>
      <w:pPr>
        <w:spacing w:after="0" w:line="6" w:lineRule="exact"/>
        <w:rPr>
          <w:sz w:val="20"/>
          <w:szCs w:val="20"/>
          <w:color w:val="auto"/>
        </w:rPr>
      </w:pPr>
    </w:p>
    <w:p>
      <w:pPr>
        <w:jc w:val="center"/>
        <w:ind w:right="254"/>
        <w:spacing w:after="0"/>
        <w:rPr>
          <w:sz w:val="20"/>
          <w:szCs w:val="20"/>
          <w:color w:val="auto"/>
        </w:rPr>
      </w:pPr>
      <w:r>
        <w:rPr>
          <w:rFonts w:ascii="Arial" w:cs="Arial" w:eastAsia="Arial" w:hAnsi="Arial"/>
          <w:sz w:val="19"/>
          <w:szCs w:val="19"/>
          <w:color w:val="auto"/>
        </w:rPr>
        <w:t>Condensed Financial Information</w:t>
      </w:r>
    </w:p>
    <w:p>
      <w:pPr>
        <w:spacing w:after="0" w:line="214" w:lineRule="exact"/>
        <w:rPr>
          <w:sz w:val="20"/>
          <w:szCs w:val="20"/>
          <w:color w:val="auto"/>
        </w:rPr>
      </w:pPr>
    </w:p>
    <w:p>
      <w:pPr>
        <w:jc w:val="center"/>
        <w:ind w:right="254"/>
        <w:spacing w:after="0"/>
        <w:rPr>
          <w:sz w:val="20"/>
          <w:szCs w:val="20"/>
          <w:color w:val="auto"/>
        </w:rPr>
      </w:pPr>
      <w:r>
        <w:rPr>
          <w:rFonts w:ascii="Arial" w:cs="Arial" w:eastAsia="Arial" w:hAnsi="Arial"/>
          <w:sz w:val="19"/>
          <w:szCs w:val="19"/>
          <w:color w:val="auto"/>
        </w:rPr>
        <w:t>Notes to Condensed Financial Statements</w:t>
      </w:r>
    </w:p>
    <w:p>
      <w:pPr>
        <w:spacing w:after="0" w:line="230" w:lineRule="exact"/>
        <w:rPr>
          <w:sz w:val="20"/>
          <w:szCs w:val="20"/>
          <w:color w:val="auto"/>
        </w:rPr>
      </w:pPr>
    </w:p>
    <w:p>
      <w:pPr>
        <w:ind w:left="405" w:hanging="405"/>
        <w:spacing w:after="0"/>
        <w:tabs>
          <w:tab w:leader="none" w:pos="40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Advances from Affiliated Companies</w:t>
      </w:r>
    </w:p>
    <w:p>
      <w:pPr>
        <w:spacing w:after="0" w:line="243" w:lineRule="exact"/>
        <w:rPr>
          <w:sz w:val="20"/>
          <w:szCs w:val="20"/>
          <w:color w:val="auto"/>
        </w:rPr>
      </w:pPr>
    </w:p>
    <w:tbl>
      <w:tblPr>
        <w:tblLayout w:type="fixed"/>
        <w:tblInd w:w="5" w:type="dxa"/>
        <w:tblCellMar>
          <w:top w:w="0" w:type="dxa"/>
          <w:left w:w="0" w:type="dxa"/>
          <w:bottom w:w="0" w:type="dxa"/>
          <w:right w:w="0" w:type="dxa"/>
        </w:tblCellMar>
      </w:tblPr>
      <w:tr>
        <w:trPr>
          <w:trHeight w:val="246"/>
        </w:trPr>
        <w:tc>
          <w:tcPr>
            <w:tcW w:w="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9"/>
                <w:szCs w:val="19"/>
                <w:color w:val="auto"/>
              </w:rPr>
              <w:t>December 31</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9"/>
                <w:szCs w:val="19"/>
                <w:color w:val="auto"/>
              </w:rPr>
              <w:t>2020</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color w:val="auto"/>
                <w:w w:val="89"/>
              </w:rPr>
              <w:t>2019</w:t>
            </w:r>
          </w:p>
        </w:tc>
        <w:tc>
          <w:tcPr>
            <w:tcW w:w="0" w:type="dxa"/>
            <w:vAlign w:val="bottom"/>
          </w:tcPr>
          <w:p>
            <w:pPr>
              <w:spacing w:after="0"/>
              <w:rPr>
                <w:sz w:val="1"/>
                <w:szCs w:val="1"/>
                <w:color w:val="auto"/>
              </w:rPr>
            </w:pPr>
          </w:p>
        </w:tc>
      </w:tr>
      <w:tr>
        <w:trPr>
          <w:trHeight w:val="247"/>
        </w:trPr>
        <w:tc>
          <w:tcPr>
            <w:tcW w:w="3920" w:type="dxa"/>
            <w:vAlign w:val="bottom"/>
            <w:gridSpan w:val="3"/>
          </w:tcPr>
          <w:p>
            <w:pPr>
              <w:spacing w:after="0"/>
              <w:rPr>
                <w:sz w:val="20"/>
                <w:szCs w:val="20"/>
                <w:color w:val="auto"/>
              </w:rPr>
            </w:pPr>
            <w:r>
              <w:rPr>
                <w:rFonts w:ascii="Arial" w:cs="Arial" w:eastAsia="Arial" w:hAnsi="Arial"/>
                <w:sz w:val="19"/>
                <w:szCs w:val="19"/>
                <w:color w:val="auto"/>
              </w:rPr>
              <w:t>Non-interest bearing advances from affiliates:</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2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Cemetery and Mortuary subsidiary</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9"/>
                <w:szCs w:val="19"/>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638,418</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3"/>
          </w:tcPr>
          <w:p>
            <w:pPr>
              <w:spacing w:after="0"/>
              <w:rPr>
                <w:sz w:val="20"/>
                <w:szCs w:val="20"/>
                <w:color w:val="auto"/>
              </w:rPr>
            </w:pPr>
            <w:r>
              <w:rPr>
                <w:rFonts w:ascii="Arial" w:cs="Arial" w:eastAsia="Arial" w:hAnsi="Arial"/>
                <w:sz w:val="19"/>
                <w:szCs w:val="19"/>
                <w:color w:val="auto"/>
              </w:rPr>
              <w:t>Life insurance subsidiaries</w:t>
            </w:r>
          </w:p>
        </w:tc>
        <w:tc>
          <w:tcPr>
            <w:tcW w:w="6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39,513</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2,356</w:t>
            </w:r>
          </w:p>
        </w:tc>
        <w:tc>
          <w:tcPr>
            <w:tcW w:w="0" w:type="dxa"/>
            <w:vAlign w:val="bottom"/>
          </w:tcPr>
          <w:p>
            <w:pPr>
              <w:spacing w:after="0"/>
              <w:rPr>
                <w:sz w:val="1"/>
                <w:szCs w:val="1"/>
                <w:color w:val="auto"/>
              </w:rPr>
            </w:pPr>
          </w:p>
        </w:tc>
      </w:tr>
      <w:tr>
        <w:trPr>
          <w:trHeight w:val="244"/>
        </w:trPr>
        <w:tc>
          <w:tcPr>
            <w:tcW w:w="4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9"/>
                <w:szCs w:val="19"/>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39,513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640,774</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9"/>
                <w:szCs w:val="19"/>
                <w:color w:val="auto"/>
              </w:rPr>
              <w:t>3)</w:t>
            </w:r>
          </w:p>
        </w:tc>
        <w:tc>
          <w:tcPr>
            <w:tcW w:w="2860" w:type="dxa"/>
            <w:vAlign w:val="bottom"/>
            <w:vMerge w:val="restart"/>
          </w:tcPr>
          <w:p>
            <w:pPr>
              <w:ind w:left="20"/>
              <w:spacing w:after="0"/>
              <w:rPr>
                <w:sz w:val="20"/>
                <w:szCs w:val="20"/>
                <w:color w:val="auto"/>
              </w:rPr>
            </w:pPr>
            <w:r>
              <w:rPr>
                <w:rFonts w:ascii="Arial" w:cs="Arial" w:eastAsia="Arial" w:hAnsi="Arial"/>
                <w:sz w:val="19"/>
                <w:szCs w:val="19"/>
                <w:color w:val="auto"/>
                <w:w w:val="93"/>
              </w:rPr>
              <w:t>Dividends and Capital Contributions</w:t>
            </w:r>
          </w:p>
        </w:tc>
        <w:tc>
          <w:tcPr>
            <w:tcW w:w="6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60" w:type="dxa"/>
            <w:vAlign w:val="bottom"/>
            <w:vMerge w:val="continue"/>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5" w:right="279"/>
        <w:spacing w:after="0" w:line="276" w:lineRule="auto"/>
        <w:rPr>
          <w:sz w:val="20"/>
          <w:szCs w:val="20"/>
          <w:color w:val="auto"/>
        </w:rPr>
      </w:pPr>
      <w:r>
        <w:rPr>
          <w:rFonts w:ascii="Arial" w:cs="Arial" w:eastAsia="Arial" w:hAnsi="Arial"/>
          <w:sz w:val="19"/>
          <w:szCs w:val="19"/>
          <w:color w:val="auto"/>
        </w:rPr>
        <w:t>In 2020 and 2019, SecurityNational Mortgage Company paid the Company cash dividends of $5,894,018 and $1,199,865, respectively.</w:t>
      </w:r>
    </w:p>
    <w:p>
      <w:pPr>
        <w:spacing w:after="0" w:line="170" w:lineRule="exact"/>
        <w:rPr>
          <w:sz w:val="20"/>
          <w:szCs w:val="20"/>
          <w:color w:val="auto"/>
        </w:rPr>
      </w:pPr>
    </w:p>
    <w:p>
      <w:pPr>
        <w:jc w:val="both"/>
        <w:ind w:left="5" w:right="279"/>
        <w:spacing w:after="0" w:line="253" w:lineRule="auto"/>
        <w:rPr>
          <w:sz w:val="20"/>
          <w:szCs w:val="20"/>
          <w:color w:val="auto"/>
        </w:rPr>
      </w:pPr>
      <w:r>
        <w:rPr>
          <w:rFonts w:ascii="Arial" w:cs="Arial" w:eastAsia="Arial" w:hAnsi="Arial"/>
          <w:sz w:val="19"/>
          <w:szCs w:val="19"/>
          <w:color w:val="auto"/>
        </w:rPr>
        <w:t>In 2020, the Company made capital contributions to its subsidiaries in the amounts of $1,371,958 to Memorial Estates, Inc. and $500,000 to C&amp;J Financial, LLC. In 2019, the Company made capital contributions to its subsidiaries in the amounts of $2,983,493 to Memorial Estates, Inc., $37,430 to Memorial Mortuary, Inc., $160,799 to Greer Wilson Funeral Home, Inc., $150,000 to Beta Capital Corp., $550,000 to C&amp;J Financial, LLC and $4,000,000 to Security National Life.</w:t>
      </w:r>
    </w:p>
    <w:p>
      <w:pPr>
        <w:spacing w:after="0" w:line="224"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5653405" cy="33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84"/>
          </w:cols>
          <w:pgMar w:left="1275" w:top="121" w:right="1440" w:bottom="1440" w:gutter="0" w:footer="0" w:header="0"/>
        </w:sectPr>
      </w:pPr>
    </w:p>
    <w:bookmarkStart w:id="142" w:name="page143"/>
    <w:bookmarkEnd w:id="142"/>
    <w:p>
      <w:pPr>
        <w:jc w:val="center"/>
        <w:ind w:right="279"/>
        <w:spacing w:after="0"/>
        <w:rPr>
          <w:sz w:val="20"/>
          <w:szCs w:val="20"/>
          <w:color w:val="auto"/>
        </w:rPr>
      </w:pPr>
      <w:r>
        <w:rPr>
          <w:rFonts w:ascii="Arial" w:cs="Arial" w:eastAsia="Arial" w:hAnsi="Arial"/>
          <w:sz w:val="19"/>
          <w:szCs w:val="19"/>
          <w:color w:val="auto"/>
        </w:rPr>
        <w:t>Schedule IV</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AND SUBSIDIARIES</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Reinsurance</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85"/>
              </w:rPr>
              <w:t>Percentage</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ind w:left="200"/>
              <w:spacing w:after="0"/>
              <w:rPr>
                <w:sz w:val="20"/>
                <w:szCs w:val="20"/>
                <w:color w:val="auto"/>
              </w:rPr>
            </w:pPr>
            <w:r>
              <w:rPr>
                <w:rFonts w:ascii="Arial" w:cs="Arial" w:eastAsia="Arial" w:hAnsi="Arial"/>
                <w:sz w:val="16"/>
                <w:szCs w:val="16"/>
                <w:color w:val="auto"/>
              </w:rPr>
              <w:t>Ceded to</w:t>
            </w: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color w:val="auto"/>
                <w:w w:val="86"/>
              </w:rPr>
              <w:t>Assumed</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of Amount</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5"/>
              </w:rPr>
              <w:t>Direct</w:t>
            </w:r>
          </w:p>
        </w:tc>
        <w:tc>
          <w:tcPr>
            <w:tcW w:w="1160" w:type="dxa"/>
            <w:vAlign w:val="bottom"/>
            <w:gridSpan w:val="3"/>
          </w:tcPr>
          <w:p>
            <w:pPr>
              <w:jc w:val="center"/>
              <w:ind w:right="160"/>
              <w:spacing w:after="0"/>
              <w:rPr>
                <w:sz w:val="20"/>
                <w:szCs w:val="20"/>
                <w:color w:val="auto"/>
              </w:rPr>
            </w:pPr>
            <w:r>
              <w:rPr>
                <w:rFonts w:ascii="Arial" w:cs="Arial" w:eastAsia="Arial" w:hAnsi="Arial"/>
                <w:sz w:val="16"/>
                <w:szCs w:val="16"/>
                <w:color w:val="auto"/>
                <w:w w:val="89"/>
              </w:rPr>
              <w:t>Other</w:t>
            </w: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from Other</w:t>
            </w:r>
          </w:p>
        </w:tc>
        <w:tc>
          <w:tcPr>
            <w:tcW w:w="320" w:type="dxa"/>
            <w:vAlign w:val="bottom"/>
          </w:tcPr>
          <w:p>
            <w:pPr>
              <w:spacing w:after="0"/>
              <w:rPr>
                <w:sz w:val="19"/>
                <w:szCs w:val="19"/>
                <w:color w:val="auto"/>
              </w:rPr>
            </w:pPr>
          </w:p>
        </w:tc>
        <w:tc>
          <w:tcPr>
            <w:tcW w:w="1080" w:type="dxa"/>
            <w:vAlign w:val="bottom"/>
            <w:gridSpan w:val="3"/>
          </w:tcPr>
          <w:p>
            <w:pPr>
              <w:jc w:val="center"/>
              <w:ind w:right="680"/>
              <w:spacing w:after="0"/>
              <w:rPr>
                <w:sz w:val="20"/>
                <w:szCs w:val="20"/>
                <w:color w:val="auto"/>
              </w:rPr>
            </w:pPr>
            <w:r>
              <w:rPr>
                <w:rFonts w:ascii="Arial" w:cs="Arial" w:eastAsia="Arial" w:hAnsi="Arial"/>
                <w:sz w:val="16"/>
                <w:szCs w:val="16"/>
                <w:color w:val="auto"/>
                <w:w w:val="96"/>
              </w:rPr>
              <w:t>Net</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86"/>
              </w:rPr>
              <w:t>Assumed</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Amount</w:t>
            </w: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color w:val="auto"/>
                <w:w w:val="86"/>
              </w:rPr>
              <w:t>Companies</w:t>
            </w:r>
          </w:p>
        </w:tc>
        <w:tc>
          <w:tcPr>
            <w:tcW w:w="1160" w:type="dxa"/>
            <w:vAlign w:val="bottom"/>
            <w:gridSpan w:val="3"/>
          </w:tcPr>
          <w:p>
            <w:pPr>
              <w:jc w:val="center"/>
              <w:ind w:right="180"/>
              <w:spacing w:after="0"/>
              <w:rPr>
                <w:sz w:val="20"/>
                <w:szCs w:val="20"/>
                <w:color w:val="auto"/>
              </w:rPr>
            </w:pPr>
            <w:r>
              <w:rPr>
                <w:rFonts w:ascii="Arial" w:cs="Arial" w:eastAsia="Arial" w:hAnsi="Arial"/>
                <w:sz w:val="16"/>
                <w:szCs w:val="16"/>
                <w:color w:val="auto"/>
                <w:w w:val="86"/>
              </w:rPr>
              <w:t>Companies</w:t>
            </w: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color w:val="auto"/>
                <w:w w:val="94"/>
              </w:rPr>
              <w:t>Amount</w:t>
            </w: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to Net</w:t>
            </w:r>
          </w:p>
        </w:tc>
        <w:tc>
          <w:tcPr>
            <w:tcW w:w="0" w:type="dxa"/>
            <w:vAlign w:val="bottom"/>
          </w:tcPr>
          <w:p>
            <w:pPr>
              <w:spacing w:after="0"/>
              <w:rPr>
                <w:sz w:val="1"/>
                <w:szCs w:val="1"/>
                <w:color w:val="auto"/>
              </w:rPr>
            </w:pPr>
          </w:p>
        </w:tc>
      </w:tr>
      <w:tr>
        <w:trPr>
          <w:trHeight w:val="194"/>
        </w:trPr>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4"/>
              </w:rPr>
              <w:t>2020</w:t>
            </w:r>
          </w:p>
        </w:tc>
        <w:tc>
          <w:tcPr>
            <w:tcW w:w="25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Life Insurance in force ($000)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2,795,019</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377,138</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95,772</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2,513,653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Premiums: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gridSpan w:val="2"/>
          </w:tcPr>
          <w:p>
            <w:pPr>
              <w:ind w:left="160"/>
              <w:spacing w:after="0"/>
              <w:rPr>
                <w:sz w:val="20"/>
                <w:szCs w:val="20"/>
                <w:color w:val="auto"/>
              </w:rPr>
            </w:pPr>
            <w:r>
              <w:rPr>
                <w:rFonts w:ascii="Arial" w:cs="Arial" w:eastAsia="Arial" w:hAnsi="Arial"/>
                <w:sz w:val="16"/>
                <w:szCs w:val="16"/>
                <w:color w:val="auto"/>
              </w:rPr>
              <w:t>Life Insurance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7"/>
              </w:rPr>
              <w:t>94,558,587</w:t>
            </w:r>
          </w:p>
        </w:tc>
        <w:tc>
          <w:tcPr>
            <w:tcW w:w="16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4"/>
              </w:rPr>
              <w:t>2,275,654</w:t>
            </w:r>
          </w:p>
        </w:tc>
        <w:tc>
          <w:tcPr>
            <w:tcW w:w="180" w:type="dxa"/>
            <w:vAlign w:val="bottom"/>
          </w:tcPr>
          <w:p>
            <w:pPr>
              <w:spacing w:after="0"/>
              <w:rPr>
                <w:sz w:val="18"/>
                <w:szCs w:val="18"/>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441,997</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92,724,930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Accident and Health Insurance</w:t>
            </w: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295,675</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295,687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ind w:left="320"/>
              <w:spacing w:after="0"/>
              <w:rPr>
                <w:sz w:val="20"/>
                <w:szCs w:val="20"/>
                <w:color w:val="auto"/>
              </w:rPr>
            </w:pPr>
            <w:r>
              <w:rPr>
                <w:rFonts w:ascii="Arial" w:cs="Arial" w:eastAsia="Arial" w:hAnsi="Arial"/>
                <w:sz w:val="16"/>
                <w:szCs w:val="16"/>
                <w:color w:val="auto"/>
              </w:rPr>
              <w:t>Total premiums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94,854,262</w:t>
            </w:r>
          </w:p>
        </w:tc>
        <w:tc>
          <w:tcPr>
            <w:tcW w:w="160" w:type="dxa"/>
            <w:vAlign w:val="bottom"/>
          </w:tcPr>
          <w:p>
            <w:pPr>
              <w:spacing w:after="0"/>
              <w:rPr>
                <w:sz w:val="18"/>
                <w:szCs w:val="18"/>
                <w:color w:val="auto"/>
              </w:rPr>
            </w:pP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2,275,654</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442,009</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93,020,617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6"/>
                <w:szCs w:val="16"/>
                <w:color w:val="auto"/>
                <w:w w:val="84"/>
              </w:rPr>
              <w:t>2019</w:t>
            </w: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20" w:type="dxa"/>
            <w:vAlign w:val="bottom"/>
            <w:tcBorders>
              <w:bottom w:val="single" w:sz="8" w:color="auto"/>
            </w:tcBorders>
            <w:vMerge w:val="continue"/>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Life Insurance in force ($000)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2,778,103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465,460</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99,299</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$ 2,411,942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Premiums: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20" w:type="dxa"/>
            <w:vAlign w:val="bottom"/>
            <w:gridSpan w:val="2"/>
          </w:tcPr>
          <w:p>
            <w:pPr>
              <w:ind w:left="160"/>
              <w:spacing w:after="0"/>
              <w:rPr>
                <w:sz w:val="20"/>
                <w:szCs w:val="20"/>
                <w:color w:val="auto"/>
              </w:rPr>
            </w:pPr>
            <w:r>
              <w:rPr>
                <w:rFonts w:ascii="Arial" w:cs="Arial" w:eastAsia="Arial" w:hAnsi="Arial"/>
                <w:sz w:val="16"/>
                <w:szCs w:val="16"/>
                <w:color w:val="auto"/>
              </w:rPr>
              <w:t>Life Insurance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7"/>
              </w:rPr>
              <w:t>81,825,194</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547,762</w:t>
            </w:r>
          </w:p>
        </w:tc>
        <w:tc>
          <w:tcPr>
            <w:tcW w:w="180" w:type="dxa"/>
            <w:vAlign w:val="bottom"/>
          </w:tcPr>
          <w:p>
            <w:pPr>
              <w:spacing w:after="0"/>
              <w:rPr>
                <w:sz w:val="18"/>
                <w:szCs w:val="18"/>
                <w:color w:val="auto"/>
              </w:rPr>
            </w:pPr>
          </w:p>
        </w:tc>
        <w:tc>
          <w:tcPr>
            <w:tcW w:w="4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472,886</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81,750,318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3"/>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Accident and Health Insurance</w:t>
            </w:r>
          </w:p>
        </w:tc>
        <w:tc>
          <w:tcPr>
            <w:tcW w:w="3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110,282</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110,292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ind w:left="320"/>
              <w:spacing w:after="0"/>
              <w:rPr>
                <w:sz w:val="20"/>
                <w:szCs w:val="20"/>
                <w:color w:val="auto"/>
              </w:rPr>
            </w:pPr>
            <w:r>
              <w:rPr>
                <w:rFonts w:ascii="Arial" w:cs="Arial" w:eastAsia="Arial" w:hAnsi="Arial"/>
                <w:sz w:val="16"/>
                <w:szCs w:val="16"/>
                <w:color w:val="auto"/>
              </w:rPr>
              <w:t>Total premiums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81,935,476</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547,762</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472,896</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81,860,610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143" w:name="page144"/>
    <w:bookmarkEnd w:id="143"/>
    <w:p>
      <w:pPr>
        <w:jc w:val="center"/>
        <w:ind w:right="800"/>
        <w:spacing w:after="0"/>
        <w:rPr>
          <w:sz w:val="20"/>
          <w:szCs w:val="20"/>
          <w:color w:val="auto"/>
        </w:rPr>
      </w:pPr>
      <w:r>
        <w:rPr>
          <w:rFonts w:ascii="Arial" w:cs="Arial" w:eastAsia="Arial" w:hAnsi="Arial"/>
          <w:sz w:val="19"/>
          <w:szCs w:val="19"/>
          <w:color w:val="auto"/>
        </w:rPr>
        <w:t>Schedule V</w:t>
      </w:r>
    </w:p>
    <w:p>
      <w:pPr>
        <w:spacing w:after="0" w:line="231" w:lineRule="exact"/>
        <w:rPr>
          <w:sz w:val="20"/>
          <w:szCs w:val="20"/>
          <w:color w:val="auto"/>
        </w:rPr>
      </w:pPr>
    </w:p>
    <w:p>
      <w:pPr>
        <w:jc w:val="center"/>
        <w:ind w:right="800"/>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800"/>
        <w:spacing w:after="0"/>
        <w:rPr>
          <w:sz w:val="20"/>
          <w:szCs w:val="20"/>
          <w:color w:val="auto"/>
        </w:rPr>
      </w:pPr>
      <w:r>
        <w:rPr>
          <w:rFonts w:ascii="Arial" w:cs="Arial" w:eastAsia="Arial" w:hAnsi="Arial"/>
          <w:sz w:val="19"/>
          <w:szCs w:val="19"/>
          <w:color w:val="auto"/>
        </w:rPr>
        <w:t>AND SUBSIDIARIES</w:t>
      </w:r>
    </w:p>
    <w:p>
      <w:pPr>
        <w:spacing w:after="0" w:line="214"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Valuation and Qualifying Accounts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Additions</w:t>
            </w:r>
          </w:p>
        </w:tc>
        <w:tc>
          <w:tcPr>
            <w:tcW w:w="1260" w:type="dxa"/>
            <w:vAlign w:val="bottom"/>
            <w:gridSpan w:val="2"/>
          </w:tcPr>
          <w:p>
            <w:pPr>
              <w:jc w:val="center"/>
              <w:ind w:right="30"/>
              <w:spacing w:after="0"/>
              <w:rPr>
                <w:sz w:val="20"/>
                <w:szCs w:val="20"/>
                <w:color w:val="auto"/>
              </w:rPr>
            </w:pPr>
            <w:r>
              <w:rPr>
                <w:rFonts w:ascii="Arial" w:cs="Arial" w:eastAsia="Arial" w:hAnsi="Arial"/>
                <w:sz w:val="14"/>
                <w:szCs w:val="14"/>
                <w:color w:val="auto"/>
                <w:w w:val="91"/>
              </w:rPr>
              <w:t>Deductions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color w:val="auto"/>
              </w:rPr>
              <w:t>Balance at</w:t>
            </w:r>
          </w:p>
        </w:tc>
        <w:tc>
          <w:tcPr>
            <w:tcW w:w="1200" w:type="dxa"/>
            <w:vAlign w:val="bottom"/>
            <w:gridSpan w:val="3"/>
          </w:tcPr>
          <w:p>
            <w:pPr>
              <w:ind w:left="200"/>
              <w:spacing w:after="0"/>
              <w:rPr>
                <w:sz w:val="20"/>
                <w:szCs w:val="20"/>
                <w:color w:val="auto"/>
              </w:rPr>
            </w:pPr>
            <w:r>
              <w:rPr>
                <w:rFonts w:ascii="Arial" w:cs="Arial" w:eastAsia="Arial" w:hAnsi="Arial"/>
                <w:sz w:val="14"/>
                <w:szCs w:val="14"/>
                <w:color w:val="auto"/>
              </w:rPr>
              <w:t>Charged to</w:t>
            </w:r>
          </w:p>
        </w:tc>
        <w:tc>
          <w:tcPr>
            <w:tcW w:w="1260" w:type="dxa"/>
            <w:vAlign w:val="bottom"/>
            <w:gridSpan w:val="2"/>
          </w:tcPr>
          <w:p>
            <w:pPr>
              <w:jc w:val="center"/>
              <w:ind w:right="30"/>
              <w:spacing w:after="0"/>
              <w:rPr>
                <w:sz w:val="20"/>
                <w:szCs w:val="20"/>
                <w:color w:val="auto"/>
              </w:rPr>
            </w:pPr>
            <w:r>
              <w:rPr>
                <w:rFonts w:ascii="Arial" w:cs="Arial" w:eastAsia="Arial" w:hAnsi="Arial"/>
                <w:sz w:val="14"/>
                <w:szCs w:val="14"/>
                <w:color w:val="auto"/>
                <w:w w:val="92"/>
              </w:rPr>
              <w:t>Disposals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ind w:right="290"/>
              <w:spacing w:after="0"/>
              <w:rPr>
                <w:sz w:val="20"/>
                <w:szCs w:val="20"/>
                <w:color w:val="auto"/>
              </w:rPr>
            </w:pPr>
            <w:r>
              <w:rPr>
                <w:rFonts w:ascii="Arial" w:cs="Arial" w:eastAsia="Arial" w:hAnsi="Arial"/>
                <w:sz w:val="14"/>
                <w:szCs w:val="14"/>
                <w:color w:val="auto"/>
                <w:w w:val="90"/>
              </w:rPr>
              <w:t>Balance</w:t>
            </w: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gridSpan w:val="3"/>
          </w:tcPr>
          <w:p>
            <w:pPr>
              <w:ind w:left="300"/>
              <w:spacing w:after="0"/>
              <w:rPr>
                <w:sz w:val="20"/>
                <w:szCs w:val="20"/>
                <w:color w:val="auto"/>
              </w:rPr>
            </w:pPr>
            <w:r>
              <w:rPr>
                <w:rFonts w:ascii="Arial" w:cs="Arial" w:eastAsia="Arial" w:hAnsi="Arial"/>
                <w:sz w:val="14"/>
                <w:szCs w:val="14"/>
                <w:color w:val="auto"/>
              </w:rPr>
              <w:t>Beginning</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Costs and</w:t>
            </w:r>
          </w:p>
        </w:tc>
        <w:tc>
          <w:tcPr>
            <w:tcW w:w="400" w:type="dxa"/>
            <w:vAlign w:val="bottom"/>
          </w:tcPr>
          <w:p>
            <w:pPr>
              <w:spacing w:after="0"/>
              <w:rPr>
                <w:sz w:val="14"/>
                <w:szCs w:val="14"/>
                <w:color w:val="auto"/>
              </w:rPr>
            </w:pPr>
          </w:p>
        </w:tc>
        <w:tc>
          <w:tcPr>
            <w:tcW w:w="860" w:type="dxa"/>
            <w:vAlign w:val="bottom"/>
          </w:tcPr>
          <w:p>
            <w:pPr>
              <w:jc w:val="center"/>
              <w:ind w:right="430"/>
              <w:spacing w:after="0"/>
              <w:rPr>
                <w:sz w:val="20"/>
                <w:szCs w:val="20"/>
                <w:color w:val="auto"/>
              </w:rPr>
            </w:pPr>
            <w:r>
              <w:rPr>
                <w:rFonts w:ascii="Arial" w:cs="Arial" w:eastAsia="Arial" w:hAnsi="Arial"/>
                <w:sz w:val="14"/>
                <w:szCs w:val="14"/>
                <w:color w:val="auto"/>
                <w:w w:val="85"/>
              </w:rPr>
              <w:t>and</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2"/>
              </w:rPr>
              <w:t>at End of</w:t>
            </w:r>
          </w:p>
        </w:tc>
      </w:tr>
      <w:tr>
        <w:trPr>
          <w:trHeight w:val="177"/>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of Year</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Expenses</w:t>
            </w:r>
          </w:p>
        </w:tc>
        <w:tc>
          <w:tcPr>
            <w:tcW w:w="1260" w:type="dxa"/>
            <w:vAlign w:val="bottom"/>
            <w:gridSpan w:val="2"/>
          </w:tcPr>
          <w:p>
            <w:pPr>
              <w:jc w:val="center"/>
              <w:ind w:right="50"/>
              <w:spacing w:after="0"/>
              <w:rPr>
                <w:sz w:val="20"/>
                <w:szCs w:val="20"/>
                <w:color w:val="auto"/>
              </w:rPr>
            </w:pPr>
            <w:r>
              <w:rPr>
                <w:rFonts w:ascii="Arial" w:cs="Arial" w:eastAsia="Arial" w:hAnsi="Arial"/>
                <w:sz w:val="14"/>
                <w:szCs w:val="14"/>
                <w:color w:val="auto"/>
                <w:w w:val="96"/>
              </w:rPr>
              <w:t>Write-offs</w:t>
            </w:r>
          </w:p>
        </w:tc>
        <w:tc>
          <w:tcPr>
            <w:tcW w:w="1440" w:type="dxa"/>
            <w:vAlign w:val="bottom"/>
            <w:gridSpan w:val="3"/>
          </w:tcPr>
          <w:p>
            <w:pPr>
              <w:ind w:left="100"/>
              <w:spacing w:after="0"/>
              <w:rPr>
                <w:sz w:val="20"/>
                <w:szCs w:val="20"/>
                <w:color w:val="auto"/>
              </w:rPr>
            </w:pPr>
            <w:r>
              <w:rPr>
                <w:rFonts w:ascii="Arial" w:cs="Arial" w:eastAsia="Arial" w:hAnsi="Arial"/>
                <w:sz w:val="14"/>
                <w:szCs w:val="14"/>
                <w:color w:val="auto"/>
              </w:rPr>
              <w:t>Reclassifications</w:t>
            </w:r>
          </w:p>
        </w:tc>
        <w:tc>
          <w:tcPr>
            <w:tcW w:w="360" w:type="dxa"/>
            <w:vAlign w:val="bottom"/>
          </w:tcPr>
          <w:p>
            <w:pPr>
              <w:spacing w:after="0"/>
              <w:rPr>
                <w:sz w:val="15"/>
                <w:szCs w:val="15"/>
                <w:color w:val="auto"/>
              </w:rPr>
            </w:pPr>
          </w:p>
        </w:tc>
        <w:tc>
          <w:tcPr>
            <w:tcW w:w="820" w:type="dxa"/>
            <w:vAlign w:val="bottom"/>
          </w:tcPr>
          <w:p>
            <w:pPr>
              <w:jc w:val="center"/>
              <w:ind w:right="290"/>
              <w:spacing w:after="0"/>
              <w:rPr>
                <w:sz w:val="20"/>
                <w:szCs w:val="20"/>
                <w:color w:val="auto"/>
              </w:rPr>
            </w:pPr>
            <w:r>
              <w:rPr>
                <w:rFonts w:ascii="Arial" w:cs="Arial" w:eastAsia="Arial" w:hAnsi="Arial"/>
                <w:sz w:val="14"/>
                <w:szCs w:val="14"/>
                <w:color w:val="auto"/>
                <w:w w:val="87"/>
              </w:rPr>
              <w:t>Year</w:t>
            </w:r>
          </w:p>
        </w:tc>
      </w:tr>
      <w:tr>
        <w:trPr>
          <w:trHeight w:val="145"/>
        </w:trPr>
        <w:tc>
          <w:tcPr>
            <w:tcW w:w="2240" w:type="dxa"/>
            <w:vAlign w:val="bottom"/>
            <w:tcBorders>
              <w:top w:val="single" w:sz="8" w:color="CCEEFF"/>
              <w:bottom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w w:val="89"/>
              </w:rPr>
              <w:t>For the Year Ended December 31, 2020</w:t>
            </w: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Accumulated depreciation on real estate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held for investment</w:t>
            </w:r>
          </w:p>
        </w:tc>
        <w:tc>
          <w:tcPr>
            <w:tcW w:w="3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12,788,739</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3,160,428</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(1,237,500)</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(910,694)</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13,800,973</w:t>
            </w: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Allowance for losses on mortgage loans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280"/>
              <w:spacing w:after="0"/>
              <w:rPr>
                <w:sz w:val="20"/>
                <w:szCs w:val="20"/>
                <w:color w:val="auto"/>
              </w:rPr>
            </w:pPr>
            <w:r>
              <w:rPr>
                <w:rFonts w:ascii="Arial" w:cs="Arial" w:eastAsia="Arial" w:hAnsi="Arial"/>
                <w:sz w:val="14"/>
                <w:szCs w:val="14"/>
                <w:color w:val="auto"/>
              </w:rPr>
              <w:t>held for investment</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1,453,037</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552,090</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2,005,127</w:t>
            </w:r>
          </w:p>
        </w:tc>
      </w:tr>
      <w:tr>
        <w:trPr>
          <w:trHeight w:val="171"/>
        </w:trPr>
        <w:tc>
          <w:tcPr>
            <w:tcW w:w="2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Accumulated depreciation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on property and equipment</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19,518,891</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2,078,738</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(2,418,490)</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19,179,139</w:t>
            </w: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Allowance for doubtful accounts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280"/>
              <w:spacing w:after="0"/>
              <w:rPr>
                <w:sz w:val="20"/>
                <w:szCs w:val="20"/>
                <w:color w:val="auto"/>
              </w:rPr>
            </w:pPr>
            <w:r>
              <w:rPr>
                <w:rFonts w:ascii="Arial" w:cs="Arial" w:eastAsia="Arial" w:hAnsi="Arial"/>
                <w:sz w:val="14"/>
                <w:szCs w:val="14"/>
                <w:color w:val="auto"/>
              </w:rPr>
              <w:t>on receivables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1,724,156</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142,946</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(181,720)</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1,685,382</w:t>
            </w:r>
          </w:p>
        </w:tc>
      </w:tr>
      <w:tr>
        <w:trPr>
          <w:trHeight w:val="171"/>
        </w:trPr>
        <w:tc>
          <w:tcPr>
            <w:tcW w:w="2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Allowance for doubtful accounts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on other investments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1,448,026</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882,334</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(684,885)</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1,645,475</w:t>
            </w: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8"/>
        </w:trPr>
        <w:tc>
          <w:tcPr>
            <w:tcW w:w="224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w w:val="89"/>
              </w:rPr>
              <w:t>For the Year Ended December 31, 2019</w:t>
            </w:r>
          </w:p>
        </w:tc>
        <w:tc>
          <w:tcPr>
            <w:tcW w:w="10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65"/>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Accumulated depreciation on real estate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held for investment</w:t>
            </w:r>
          </w:p>
        </w:tc>
        <w:tc>
          <w:tcPr>
            <w:tcW w:w="3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16,739,578</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3,472,289</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(2,093,633)</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(5,329,495)</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12,788,739</w:t>
            </w: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Allowance for losses on mortgage loans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280"/>
              <w:spacing w:after="0"/>
              <w:rPr>
                <w:sz w:val="20"/>
                <w:szCs w:val="20"/>
                <w:color w:val="auto"/>
              </w:rPr>
            </w:pPr>
            <w:r>
              <w:rPr>
                <w:rFonts w:ascii="Arial" w:cs="Arial" w:eastAsia="Arial" w:hAnsi="Arial"/>
                <w:sz w:val="14"/>
                <w:szCs w:val="14"/>
                <w:color w:val="auto"/>
              </w:rPr>
              <w:t>held for investment</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1,347,972</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137,757</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(32,692)</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1,453,037</w:t>
            </w:r>
          </w:p>
        </w:tc>
      </w:tr>
      <w:tr>
        <w:trPr>
          <w:trHeight w:val="171"/>
        </w:trPr>
        <w:tc>
          <w:tcPr>
            <w:tcW w:w="2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Accumulated depreciation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on property and equipment</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17,496,601</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1,711,369</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(69,878)</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380,799</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19,518,891</w:t>
            </w:r>
          </w:p>
        </w:tc>
      </w:tr>
      <w:tr>
        <w:trPr>
          <w:trHeight w:val="171"/>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Allowance for doubtful accounts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280"/>
              <w:spacing w:after="0"/>
              <w:rPr>
                <w:sz w:val="20"/>
                <w:szCs w:val="20"/>
                <w:color w:val="auto"/>
              </w:rPr>
            </w:pPr>
            <w:r>
              <w:rPr>
                <w:rFonts w:ascii="Arial" w:cs="Arial" w:eastAsia="Arial" w:hAnsi="Arial"/>
                <w:sz w:val="14"/>
                <w:szCs w:val="14"/>
                <w:color w:val="auto"/>
              </w:rPr>
              <w:t>on receivables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1,519,842</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267,374</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(63,060)</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1,724,156</w:t>
            </w:r>
          </w:p>
        </w:tc>
      </w:tr>
      <w:tr>
        <w:trPr>
          <w:trHeight w:val="171"/>
        </w:trPr>
        <w:tc>
          <w:tcPr>
            <w:tcW w:w="2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Allowance for doubtful accounts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on other investments</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1,092,528</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797,557</w:t>
            </w: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(442,059)</w:t>
            </w: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1,448,026</w:t>
            </w:r>
          </w:p>
        </w:tc>
      </w:tr>
    </w:tbl>
    <w:p>
      <w:pPr>
        <w:spacing w:after="0" w:line="23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5653405" cy="33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5653405" cy="33655"/>
                    </a:xfrm>
                    <a:prstGeom prst="rect">
                      <a:avLst/>
                    </a:prstGeom>
                    <a:noFill/>
                  </pic:spPr>
                </pic:pic>
              </a:graphicData>
            </a:graphic>
          </wp:anchor>
        </w:drawing>
      </w:r>
    </w:p>
    <w:p>
      <w:pPr>
        <w:sectPr>
          <w:pgSz w:w="11900" w:h="16838" w:orient="portrait"/>
          <w:cols w:equalWidth="0" w:num="1">
            <w:col w:w="9700"/>
          </w:cols>
          <w:pgMar w:left="1280" w:top="121" w:right="919" w:bottom="1440" w:gutter="0" w:footer="0" w:header="0"/>
        </w:sectPr>
      </w:pPr>
    </w:p>
    <w:bookmarkStart w:id="144" w:name="page145"/>
    <w:bookmarkEnd w:id="144"/>
    <w:p>
      <w:pPr>
        <w:jc w:val="center"/>
        <w:ind w:right="279"/>
        <w:spacing w:after="0"/>
        <w:rPr>
          <w:sz w:val="20"/>
          <w:szCs w:val="20"/>
          <w:color w:val="auto"/>
        </w:rPr>
      </w:pPr>
      <w:r>
        <w:rPr>
          <w:rFonts w:ascii="Arial" w:cs="Arial" w:eastAsia="Arial" w:hAnsi="Arial"/>
          <w:sz w:val="19"/>
          <w:szCs w:val="19"/>
          <w:color w:val="auto"/>
        </w:rPr>
        <w:t>SECURITIES AND EXCHANGE COMMISSION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Washington, D.C. 20549</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FORM 10-K</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Year Ended December 31, 2020</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Commission File No. 0-9341</w:t>
      </w: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E X H I B I T S</w:t>
      </w: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21"/>
          <w:szCs w:val="21"/>
          <w:color w:val="auto"/>
        </w:rPr>
        <w:t>Exhibit Index</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Exhibit No.  Document Name</w:t>
      </w:r>
    </w:p>
    <w:p>
      <w:pPr>
        <w:spacing w:after="0" w:line="283" w:lineRule="exact"/>
        <w:rPr>
          <w:sz w:val="20"/>
          <w:szCs w:val="20"/>
          <w:color w:val="auto"/>
        </w:rPr>
      </w:pPr>
    </w:p>
    <w:p>
      <w:pPr>
        <w:ind w:left="1040" w:hanging="1032"/>
        <w:spacing w:after="0"/>
        <w:tabs>
          <w:tab w:leader="none" w:pos="1040" w:val="left"/>
        </w:tabs>
        <w:numPr>
          <w:ilvl w:val="0"/>
          <w:numId w:val="133"/>
        </w:numPr>
        <w:rPr>
          <w:rFonts w:ascii="Arial" w:cs="Arial" w:eastAsia="Arial" w:hAnsi="Arial"/>
          <w:sz w:val="19"/>
          <w:szCs w:val="19"/>
          <w:color w:val="0000EE"/>
        </w:rPr>
      </w:pPr>
      <w:hyperlink r:id="rId215">
        <w:r>
          <w:rPr>
            <w:rFonts w:ascii="Arial" w:cs="Arial" w:eastAsia="Arial" w:hAnsi="Arial"/>
            <w:sz w:val="19"/>
            <w:szCs w:val="19"/>
            <w:color w:val="0000E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5644515" cy="159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5644515" cy="15938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31.1</w:t>
            </w:r>
          </w:p>
        </w:tc>
        <w:tc>
          <w:tcPr>
            <w:tcW w:w="8040" w:type="dxa"/>
            <w:vAlign w:val="bottom"/>
            <w:gridSpan w:val="3"/>
            <w:shd w:val="clear" w:color="auto" w:fill="CCEEFF"/>
          </w:tcPr>
          <w:p>
            <w:pPr>
              <w:ind w:left="200"/>
              <w:spacing w:after="0"/>
              <w:rPr>
                <w:rFonts w:ascii="Arial" w:cs="Arial" w:eastAsia="Arial" w:hAnsi="Arial"/>
                <w:sz w:val="19"/>
                <w:szCs w:val="19"/>
                <w:color w:val="0000EE"/>
                <w:w w:val="93"/>
              </w:rPr>
            </w:pPr>
            <w:hyperlink r:id="rId219">
              <w:r>
                <w:rPr>
                  <w:rFonts w:ascii="Arial" w:cs="Arial" w:eastAsia="Arial" w:hAnsi="Arial"/>
                  <w:sz w:val="19"/>
                  <w:szCs w:val="19"/>
                  <w:color w:val="0000EE"/>
                  <w:w w:val="93"/>
                </w:rPr>
                <w:t>Certification pursuant to 18 U.S.C. Section 1350, as enacted by Section 302 of the Sarbanes-Oxley</w:t>
              </w:r>
            </w:hyperlink>
          </w:p>
        </w:tc>
      </w:tr>
      <w:tr>
        <w:trPr>
          <w:trHeight w:val="254"/>
        </w:trPr>
        <w:tc>
          <w:tcPr>
            <w:tcW w:w="840" w:type="dxa"/>
            <w:vAlign w:val="bottom"/>
            <w:shd w:val="clear" w:color="auto" w:fill="CCEEFF"/>
          </w:tcPr>
          <w:p>
            <w:pPr>
              <w:spacing w:after="0"/>
              <w:rPr>
                <w:sz w:val="22"/>
                <w:szCs w:val="22"/>
                <w:color w:val="auto"/>
              </w:rPr>
            </w:pPr>
          </w:p>
        </w:tc>
        <w:tc>
          <w:tcPr>
            <w:tcW w:w="8040" w:type="dxa"/>
            <w:vAlign w:val="bottom"/>
            <w:gridSpan w:val="3"/>
            <w:shd w:val="clear" w:color="auto" w:fill="CCEEFF"/>
          </w:tcPr>
          <w:p>
            <w:pPr>
              <w:ind w:left="200"/>
              <w:spacing w:after="0"/>
              <w:rPr>
                <w:rFonts w:ascii="Arial" w:cs="Arial" w:eastAsia="Arial" w:hAnsi="Arial"/>
                <w:sz w:val="19"/>
                <w:szCs w:val="19"/>
                <w:color w:val="0000EE"/>
              </w:rPr>
            </w:pPr>
            <w:hyperlink r:id="rId219">
              <w:r>
                <w:rPr>
                  <w:rFonts w:ascii="Arial" w:cs="Arial" w:eastAsia="Arial" w:hAnsi="Arial"/>
                  <w:sz w:val="19"/>
                  <w:szCs w:val="19"/>
                  <w:color w:val="0000EE"/>
                </w:rPr>
                <w:t>Act of 2002</w:t>
              </w:r>
            </w:hyperlink>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2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31.2</w:t>
            </w:r>
          </w:p>
        </w:tc>
        <w:tc>
          <w:tcPr>
            <w:tcW w:w="8040" w:type="dxa"/>
            <w:vAlign w:val="bottom"/>
            <w:gridSpan w:val="3"/>
            <w:shd w:val="clear" w:color="auto" w:fill="CCEEFF"/>
          </w:tcPr>
          <w:p>
            <w:pPr>
              <w:ind w:left="200"/>
              <w:spacing w:after="0"/>
              <w:rPr>
                <w:rFonts w:ascii="Arial" w:cs="Arial" w:eastAsia="Arial" w:hAnsi="Arial"/>
                <w:sz w:val="19"/>
                <w:szCs w:val="19"/>
                <w:color w:val="0000EE"/>
                <w:w w:val="93"/>
              </w:rPr>
            </w:pPr>
            <w:hyperlink r:id="rId220">
              <w:r>
                <w:rPr>
                  <w:rFonts w:ascii="Arial" w:cs="Arial" w:eastAsia="Arial" w:hAnsi="Arial"/>
                  <w:sz w:val="19"/>
                  <w:szCs w:val="19"/>
                  <w:color w:val="0000EE"/>
                  <w:w w:val="93"/>
                </w:rPr>
                <w:t>Certification pursuant to 18 U.S.C. Section 1350, as enacted by Section 302 of the Sarbanes-Oxley</w:t>
              </w:r>
            </w:hyperlink>
          </w:p>
        </w:tc>
      </w:tr>
      <w:tr>
        <w:trPr>
          <w:trHeight w:val="254"/>
        </w:trPr>
        <w:tc>
          <w:tcPr>
            <w:tcW w:w="840" w:type="dxa"/>
            <w:vAlign w:val="bottom"/>
            <w:shd w:val="clear" w:color="auto" w:fill="CCEEFF"/>
          </w:tcPr>
          <w:p>
            <w:pPr>
              <w:spacing w:after="0"/>
              <w:rPr>
                <w:sz w:val="22"/>
                <w:szCs w:val="22"/>
                <w:color w:val="auto"/>
              </w:rPr>
            </w:pPr>
          </w:p>
        </w:tc>
        <w:tc>
          <w:tcPr>
            <w:tcW w:w="8040" w:type="dxa"/>
            <w:vAlign w:val="bottom"/>
            <w:gridSpan w:val="3"/>
            <w:shd w:val="clear" w:color="auto" w:fill="CCEEFF"/>
          </w:tcPr>
          <w:p>
            <w:pPr>
              <w:ind w:left="200"/>
              <w:spacing w:after="0"/>
              <w:rPr>
                <w:rFonts w:ascii="Arial" w:cs="Arial" w:eastAsia="Arial" w:hAnsi="Arial"/>
                <w:sz w:val="19"/>
                <w:szCs w:val="19"/>
                <w:color w:val="0000EE"/>
              </w:rPr>
            </w:pPr>
            <w:hyperlink r:id="rId220">
              <w:r>
                <w:rPr>
                  <w:rFonts w:ascii="Arial" w:cs="Arial" w:eastAsia="Arial" w:hAnsi="Arial"/>
                  <w:sz w:val="19"/>
                  <w:szCs w:val="19"/>
                  <w:color w:val="0000EE"/>
                </w:rPr>
                <w:t>Act of 2002</w:t>
              </w:r>
            </w:hyperlink>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2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32.1</w:t>
            </w:r>
          </w:p>
        </w:tc>
        <w:tc>
          <w:tcPr>
            <w:tcW w:w="8040" w:type="dxa"/>
            <w:vAlign w:val="bottom"/>
            <w:gridSpan w:val="3"/>
            <w:shd w:val="clear" w:color="auto" w:fill="CCEEFF"/>
          </w:tcPr>
          <w:p>
            <w:pPr>
              <w:ind w:left="200"/>
              <w:spacing w:after="0"/>
              <w:rPr>
                <w:rFonts w:ascii="Arial" w:cs="Arial" w:eastAsia="Arial" w:hAnsi="Arial"/>
                <w:sz w:val="19"/>
                <w:szCs w:val="19"/>
                <w:color w:val="0000EE"/>
              </w:rPr>
            </w:pPr>
            <w:hyperlink r:id="rId221">
              <w:r>
                <w:rPr>
                  <w:rFonts w:ascii="Arial" w:cs="Arial" w:eastAsia="Arial" w:hAnsi="Arial"/>
                  <w:sz w:val="19"/>
                  <w:szCs w:val="19"/>
                  <w:color w:val="0000EE"/>
                </w:rPr>
                <w:t>Certification pursuant to 18 U.S.C. Section 1350, as adopted pursuant to Section 906 of the</w:t>
              </w:r>
            </w:hyperlink>
          </w:p>
        </w:tc>
      </w:tr>
      <w:tr>
        <w:trPr>
          <w:trHeight w:val="254"/>
        </w:trPr>
        <w:tc>
          <w:tcPr>
            <w:tcW w:w="840" w:type="dxa"/>
            <w:vAlign w:val="bottom"/>
            <w:shd w:val="clear" w:color="auto" w:fill="CCEEFF"/>
          </w:tcPr>
          <w:p>
            <w:pPr>
              <w:spacing w:after="0"/>
              <w:rPr>
                <w:sz w:val="22"/>
                <w:szCs w:val="22"/>
                <w:color w:val="auto"/>
              </w:rPr>
            </w:pPr>
          </w:p>
        </w:tc>
        <w:tc>
          <w:tcPr>
            <w:tcW w:w="8040" w:type="dxa"/>
            <w:vAlign w:val="bottom"/>
            <w:gridSpan w:val="3"/>
            <w:shd w:val="clear" w:color="auto" w:fill="CCEEFF"/>
          </w:tcPr>
          <w:p>
            <w:pPr>
              <w:ind w:left="200"/>
              <w:spacing w:after="0"/>
              <w:rPr>
                <w:rFonts w:ascii="Arial" w:cs="Arial" w:eastAsia="Arial" w:hAnsi="Arial"/>
                <w:sz w:val="19"/>
                <w:szCs w:val="19"/>
                <w:color w:val="0000EE"/>
              </w:rPr>
            </w:pPr>
            <w:hyperlink r:id="rId221">
              <w:r>
                <w:rPr>
                  <w:rFonts w:ascii="Arial" w:cs="Arial" w:eastAsia="Arial" w:hAnsi="Arial"/>
                  <w:sz w:val="19"/>
                  <w:szCs w:val="19"/>
                  <w:color w:val="0000EE"/>
                </w:rPr>
                <w:t>Sarbanes-Oxley Act of 2002</w:t>
              </w:r>
            </w:hyperlink>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2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32.2</w:t>
            </w:r>
          </w:p>
        </w:tc>
        <w:tc>
          <w:tcPr>
            <w:tcW w:w="8040" w:type="dxa"/>
            <w:vAlign w:val="bottom"/>
            <w:gridSpan w:val="3"/>
            <w:shd w:val="clear" w:color="auto" w:fill="CCEEFF"/>
          </w:tcPr>
          <w:p>
            <w:pPr>
              <w:ind w:left="200"/>
              <w:spacing w:after="0"/>
              <w:rPr>
                <w:rFonts w:ascii="Arial" w:cs="Arial" w:eastAsia="Arial" w:hAnsi="Arial"/>
                <w:sz w:val="19"/>
                <w:szCs w:val="19"/>
                <w:color w:val="0000EE"/>
              </w:rPr>
            </w:pPr>
            <w:hyperlink r:id="rId222">
              <w:r>
                <w:rPr>
                  <w:rFonts w:ascii="Arial" w:cs="Arial" w:eastAsia="Arial" w:hAnsi="Arial"/>
                  <w:sz w:val="19"/>
                  <w:szCs w:val="19"/>
                  <w:color w:val="0000EE"/>
                </w:rPr>
                <w:t>Certification pursuant to 18 U.S.C. Section 1350, as adopted pursuant to Section 906 of the</w:t>
              </w:r>
            </w:hyperlink>
          </w:p>
        </w:tc>
      </w:tr>
      <w:tr>
        <w:trPr>
          <w:trHeight w:val="254"/>
        </w:trPr>
        <w:tc>
          <w:tcPr>
            <w:tcW w:w="840" w:type="dxa"/>
            <w:vAlign w:val="bottom"/>
            <w:shd w:val="clear" w:color="auto" w:fill="CCEEFF"/>
          </w:tcPr>
          <w:p>
            <w:pPr>
              <w:spacing w:after="0"/>
              <w:rPr>
                <w:sz w:val="22"/>
                <w:szCs w:val="22"/>
                <w:color w:val="auto"/>
              </w:rPr>
            </w:pPr>
          </w:p>
        </w:tc>
        <w:tc>
          <w:tcPr>
            <w:tcW w:w="8040" w:type="dxa"/>
            <w:vAlign w:val="bottom"/>
            <w:gridSpan w:val="3"/>
            <w:shd w:val="clear" w:color="auto" w:fill="CCEEFF"/>
          </w:tcPr>
          <w:p>
            <w:pPr>
              <w:ind w:left="200"/>
              <w:spacing w:after="0"/>
              <w:rPr>
                <w:rFonts w:ascii="Arial" w:cs="Arial" w:eastAsia="Arial" w:hAnsi="Arial"/>
                <w:sz w:val="19"/>
                <w:szCs w:val="19"/>
                <w:color w:val="0000EE"/>
              </w:rPr>
            </w:pPr>
            <w:hyperlink r:id="rId222">
              <w:r>
                <w:rPr>
                  <w:rFonts w:ascii="Arial" w:cs="Arial" w:eastAsia="Arial" w:hAnsi="Arial"/>
                  <w:sz w:val="19"/>
                  <w:szCs w:val="19"/>
                  <w:color w:val="0000EE"/>
                </w:rPr>
                <w:t>Sarbanes-Oxley Act of 2002</w:t>
              </w:r>
            </w:hyperlink>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101.xml</w:t>
            </w:r>
          </w:p>
        </w:tc>
        <w:tc>
          <w:tcPr>
            <w:tcW w:w="80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Instance Document</w:t>
            </w:r>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101.xsd</w:t>
            </w:r>
          </w:p>
        </w:tc>
        <w:tc>
          <w:tcPr>
            <w:tcW w:w="80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Taxonomy Extension Schema Document</w:t>
            </w:r>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101.cal</w:t>
            </w:r>
          </w:p>
        </w:tc>
        <w:tc>
          <w:tcPr>
            <w:tcW w:w="80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Taxonomy Extension Calculation Linkbase Document</w:t>
            </w:r>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101.def</w:t>
            </w:r>
          </w:p>
        </w:tc>
        <w:tc>
          <w:tcPr>
            <w:tcW w:w="80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Taxonomy Extension Definition Linkbase Document</w:t>
            </w:r>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101.lab</w:t>
            </w:r>
          </w:p>
        </w:tc>
        <w:tc>
          <w:tcPr>
            <w:tcW w:w="80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Taxonomy Extension Label Linkbase Document</w:t>
            </w:r>
          </w:p>
        </w:tc>
      </w:tr>
      <w:tr>
        <w:trPr>
          <w:trHeight w:val="251"/>
        </w:trPr>
        <w:tc>
          <w:tcPr>
            <w:tcW w:w="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840" w:type="dxa"/>
            <w:vAlign w:val="bottom"/>
            <w:shd w:val="clear" w:color="auto" w:fill="CCEEFF"/>
          </w:tcPr>
          <w:p>
            <w:pPr>
              <w:spacing w:after="0"/>
              <w:rPr>
                <w:sz w:val="20"/>
                <w:szCs w:val="20"/>
                <w:color w:val="auto"/>
              </w:rPr>
            </w:pPr>
            <w:r>
              <w:rPr>
                <w:rFonts w:ascii="Arial" w:cs="Arial" w:eastAsia="Arial" w:hAnsi="Arial"/>
                <w:sz w:val="19"/>
                <w:szCs w:val="19"/>
                <w:color w:val="auto"/>
              </w:rPr>
              <w:t>101.pre</w:t>
            </w:r>
          </w:p>
        </w:tc>
        <w:tc>
          <w:tcPr>
            <w:tcW w:w="8040" w:type="dxa"/>
            <w:vAlign w:val="bottom"/>
            <w:gridSpan w:val="3"/>
            <w:shd w:val="clear" w:color="auto" w:fill="CCEEFF"/>
          </w:tcPr>
          <w:p>
            <w:pPr>
              <w:ind w:left="200"/>
              <w:spacing w:after="0"/>
              <w:rPr>
                <w:sz w:val="20"/>
                <w:szCs w:val="20"/>
                <w:color w:val="auto"/>
              </w:rPr>
            </w:pPr>
            <w:r>
              <w:rPr>
                <w:rFonts w:ascii="Arial" w:cs="Arial" w:eastAsia="Arial" w:hAnsi="Arial"/>
                <w:sz w:val="19"/>
                <w:szCs w:val="19"/>
                <w:color w:val="auto"/>
              </w:rPr>
              <w:t>Taxonomy Extension Presentation Linkbase Document</w:t>
            </w:r>
          </w:p>
        </w:tc>
      </w:tr>
      <w:tr>
        <w:trPr>
          <w:trHeight w:val="336"/>
        </w:trPr>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-28575</wp:posOffset>
            </wp:positionV>
            <wp:extent cx="33655"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9179"/>
          </w:cols>
          <w:pgMar w:left="1280" w:top="121" w:right="1440" w:bottom="1440" w:gutter="0" w:footer="0" w:header="0"/>
        </w:sectPr>
      </w:pPr>
    </w:p>
    <w:bookmarkStart w:id="145" w:name="page146"/>
    <w:bookmarkEnd w:id="145"/>
    <w:p>
      <w:pPr>
        <w:ind w:left="3920"/>
        <w:spacing w:after="0"/>
        <w:rPr>
          <w:sz w:val="20"/>
          <w:szCs w:val="20"/>
          <w:color w:val="auto"/>
        </w:rPr>
      </w:pPr>
      <w:r>
        <w:rPr>
          <w:rFonts w:ascii="Arial" w:cs="Arial" w:eastAsia="Arial" w:hAnsi="Arial"/>
          <w:sz w:val="19"/>
          <w:szCs w:val="19"/>
          <w:color w:val="auto"/>
        </w:rPr>
        <w:t>EXHIBIT 21</w:t>
      </w:r>
    </w:p>
    <w:p>
      <w:pPr>
        <w:spacing w:after="0" w:line="126" w:lineRule="exact"/>
        <w:rPr>
          <w:sz w:val="20"/>
          <w:szCs w:val="20"/>
          <w:color w:val="auto"/>
        </w:rPr>
      </w:pPr>
    </w:p>
    <w:p>
      <w:pPr>
        <w:jc w:val="right"/>
        <w:ind w:right="3459"/>
        <w:spacing w:after="0"/>
        <w:rPr>
          <w:sz w:val="20"/>
          <w:szCs w:val="20"/>
          <w:color w:val="auto"/>
        </w:rPr>
      </w:pPr>
      <w:r>
        <w:rPr>
          <w:rFonts w:ascii="Arial" w:cs="Arial" w:eastAsia="Arial" w:hAnsi="Arial"/>
          <w:sz w:val="19"/>
          <w:szCs w:val="19"/>
          <w:color w:val="auto"/>
        </w:rPr>
        <w:t>Subsidiaries of Security National</w:t>
      </w:r>
    </w:p>
    <w:p>
      <w:pPr>
        <w:spacing w:after="0" w:line="22"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Financial Corporation</w:t>
      </w:r>
    </w:p>
    <w:p>
      <w:pPr>
        <w:spacing w:after="0" w:line="6" w:lineRule="exact"/>
        <w:rPr>
          <w:sz w:val="20"/>
          <w:szCs w:val="20"/>
          <w:color w:val="auto"/>
        </w:rPr>
      </w:pPr>
    </w:p>
    <w:p>
      <w:pPr>
        <w:ind w:left="3620"/>
        <w:spacing w:after="0"/>
        <w:rPr>
          <w:sz w:val="20"/>
          <w:szCs w:val="20"/>
          <w:color w:val="auto"/>
        </w:rPr>
      </w:pPr>
      <w:r>
        <w:rPr>
          <w:rFonts w:ascii="Arial" w:cs="Arial" w:eastAsia="Arial" w:hAnsi="Arial"/>
          <w:sz w:val="19"/>
          <w:szCs w:val="19"/>
          <w:color w:val="auto"/>
        </w:rPr>
        <w:t>as of March 31, 2021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Life Insurance Segment</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Security National Life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Reppond Holding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First Guaranty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Kilpatrick Life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Bluebonnet Properties,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Kilpatrick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Memorial Insurance Company of America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Southern Security Life Insurance Company,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Trans-Western Life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 Farmington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5300 Development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Ascension 433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 Diamond LLC</w:t>
      </w:r>
    </w:p>
    <w:p>
      <w:pPr>
        <w:spacing w:after="0" w:line="10" w:lineRule="exact"/>
        <w:rPr>
          <w:sz w:val="20"/>
          <w:szCs w:val="20"/>
          <w:color w:val="auto"/>
        </w:rPr>
      </w:pPr>
    </w:p>
    <w:p>
      <w:pPr>
        <w:ind w:right="4019"/>
        <w:spacing w:after="0" w:line="255" w:lineRule="auto"/>
        <w:rPr>
          <w:sz w:val="20"/>
          <w:szCs w:val="20"/>
          <w:color w:val="auto"/>
        </w:rPr>
      </w:pPr>
      <w:r>
        <w:rPr>
          <w:rFonts w:ascii="Arial" w:cs="Arial" w:eastAsia="Arial" w:hAnsi="Arial"/>
          <w:sz w:val="14"/>
          <w:szCs w:val="14"/>
          <w:color w:val="auto"/>
        </w:rPr>
        <w:t>Security National Real Estate Services, Inc. also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American Funeral Financial,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FFC Acquisition Co., LLC dba Funeral Funding Center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Canadian Funeral Financial,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Mortician's Choice,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 &amp; J Financial,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Beta Capital Corp.</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Beneficiary Advance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SNA-Venture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SNA-VR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SNA-AM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SNA-GV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SNA-MM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SNA-RP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SNA-SP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SNA-SR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SNA-WC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SNA-MB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SNA-AS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SNA-SE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SNA-TC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SNA-ST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SNA-SW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SNA-MP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SNA-TR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SNA-CV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SNA-MV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SNA-DM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SNA-WF LLC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Mortgage Segment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SecurityNational Mortgage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EverLEND Mortgage Company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 Sunset LLC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Cemetery/Mortuary Segment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California Memorial Estates,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Paradise Chapel Funeral Home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Holladay Memorial Park,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Cottonwood Mortuary,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Deseret Memorial,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Holladay Cottonwood Memorial Foundation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Memorial Estates,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Memorial Mortuary,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Affordable Funerals and Cremations of America,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 Probst LLC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SN Silver Creek LLC</w:t>
      </w:r>
    </w:p>
    <w:p>
      <w:pPr>
        <w:sectPr>
          <w:pgSz w:w="11900" w:h="16838" w:orient="portrait"/>
          <w:cols w:equalWidth="0" w:num="1">
            <w:col w:w="9179"/>
          </w:cols>
          <w:pgMar w:left="1280" w:top="121" w:right="1440" w:bottom="1440" w:gutter="0" w:footer="0" w:header="0"/>
        </w:sectPr>
      </w:pPr>
    </w:p>
    <w:bookmarkStart w:id="146" w:name="page147"/>
    <w:bookmarkEnd w:id="146"/>
    <w:p>
      <w:pPr>
        <w:jc w:val="center"/>
        <w:ind w:right="274"/>
        <w:spacing w:after="0"/>
        <w:rPr>
          <w:sz w:val="20"/>
          <w:szCs w:val="20"/>
          <w:color w:val="auto"/>
        </w:rPr>
      </w:pPr>
      <w:r>
        <w:rPr>
          <w:rFonts w:ascii="Arial" w:cs="Arial" w:eastAsia="Arial" w:hAnsi="Arial"/>
          <w:sz w:val="19"/>
          <w:szCs w:val="19"/>
          <w:color w:val="auto"/>
        </w:rPr>
        <w:t>Exhibit 31.1</w:t>
      </w:r>
    </w:p>
    <w:p>
      <w:pPr>
        <w:spacing w:after="0" w:line="231" w:lineRule="exact"/>
        <w:rPr>
          <w:sz w:val="20"/>
          <w:szCs w:val="20"/>
          <w:color w:val="auto"/>
        </w:rPr>
      </w:pPr>
    </w:p>
    <w:p>
      <w:pPr>
        <w:jc w:val="center"/>
        <w:ind w:right="274"/>
        <w:spacing w:after="0"/>
        <w:rPr>
          <w:sz w:val="20"/>
          <w:szCs w:val="20"/>
          <w:color w:val="auto"/>
        </w:rPr>
      </w:pPr>
      <w:r>
        <w:rPr>
          <w:rFonts w:ascii="Arial" w:cs="Arial" w:eastAsia="Arial" w:hAnsi="Arial"/>
          <w:sz w:val="19"/>
          <w:szCs w:val="19"/>
          <w:color w:val="auto"/>
        </w:rPr>
        <w:t>CERTIFICATION OF CHIEF EXECUTIVE OFFICER</w:t>
      </w:r>
    </w:p>
    <w:p>
      <w:pPr>
        <w:spacing w:after="0" w:line="22" w:lineRule="exact"/>
        <w:rPr>
          <w:sz w:val="20"/>
          <w:szCs w:val="20"/>
          <w:color w:val="auto"/>
        </w:rPr>
      </w:pPr>
    </w:p>
    <w:p>
      <w:pPr>
        <w:jc w:val="center"/>
        <w:ind w:right="274"/>
        <w:spacing w:after="0"/>
        <w:rPr>
          <w:sz w:val="20"/>
          <w:szCs w:val="20"/>
          <w:color w:val="auto"/>
        </w:rPr>
      </w:pPr>
      <w:r>
        <w:rPr>
          <w:rFonts w:ascii="Arial" w:cs="Arial" w:eastAsia="Arial" w:hAnsi="Arial"/>
          <w:sz w:val="19"/>
          <w:szCs w:val="19"/>
          <w:color w:val="auto"/>
        </w:rPr>
        <w:t>PURSUANT TO 18 U.S.C. § 1350,</w:t>
      </w:r>
    </w:p>
    <w:p>
      <w:pPr>
        <w:spacing w:after="0" w:line="6" w:lineRule="exact"/>
        <w:rPr>
          <w:sz w:val="20"/>
          <w:szCs w:val="20"/>
          <w:color w:val="auto"/>
        </w:rPr>
      </w:pPr>
    </w:p>
    <w:p>
      <w:pPr>
        <w:jc w:val="center"/>
        <w:ind w:right="274"/>
        <w:spacing w:after="0"/>
        <w:rPr>
          <w:sz w:val="20"/>
          <w:szCs w:val="20"/>
          <w:color w:val="auto"/>
        </w:rPr>
      </w:pPr>
      <w:r>
        <w:rPr>
          <w:rFonts w:ascii="Arial" w:cs="Arial" w:eastAsia="Arial" w:hAnsi="Arial"/>
          <w:sz w:val="19"/>
          <w:szCs w:val="19"/>
          <w:color w:val="auto"/>
        </w:rPr>
        <w:t>AS REQUIRED BY</w:t>
      </w:r>
    </w:p>
    <w:p>
      <w:pPr>
        <w:spacing w:after="0" w:line="6" w:lineRule="exact"/>
        <w:rPr>
          <w:sz w:val="20"/>
          <w:szCs w:val="20"/>
          <w:color w:val="auto"/>
        </w:rPr>
      </w:pPr>
    </w:p>
    <w:p>
      <w:pPr>
        <w:ind w:left="2045"/>
        <w:spacing w:after="0"/>
        <w:rPr>
          <w:sz w:val="20"/>
          <w:szCs w:val="20"/>
          <w:color w:val="auto"/>
        </w:rPr>
      </w:pPr>
      <w:r>
        <w:rPr>
          <w:rFonts w:ascii="Arial" w:cs="Arial" w:eastAsia="Arial" w:hAnsi="Arial"/>
          <w:sz w:val="19"/>
          <w:szCs w:val="19"/>
          <w:color w:val="auto"/>
        </w:rPr>
        <w:t>SECTION 302 OF THE SARBANES-OXLEY ACT OF 2002</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9"/>
          <w:szCs w:val="19"/>
          <w:color w:val="auto"/>
        </w:rPr>
        <w:t>I, Scott M. Quist, certify that:</w:t>
      </w:r>
    </w:p>
    <w:p>
      <w:pPr>
        <w:spacing w:after="0" w:line="124" w:lineRule="exact"/>
        <w:rPr>
          <w:sz w:val="20"/>
          <w:szCs w:val="20"/>
          <w:color w:val="auto"/>
        </w:rPr>
      </w:pPr>
    </w:p>
    <w:p>
      <w:pPr>
        <w:ind w:left="185" w:hanging="185"/>
        <w:spacing w:after="0"/>
        <w:tabs>
          <w:tab w:leader="none" w:pos="18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Security National Financial Corporation.</w:t>
      </w:r>
    </w:p>
    <w:p>
      <w:pPr>
        <w:spacing w:after="0" w:line="124" w:lineRule="exact"/>
        <w:rPr>
          <w:rFonts w:ascii="Arial" w:cs="Arial" w:eastAsia="Arial" w:hAnsi="Arial"/>
          <w:sz w:val="19"/>
          <w:szCs w:val="19"/>
          <w:color w:val="auto"/>
        </w:rPr>
      </w:pPr>
    </w:p>
    <w:p>
      <w:pPr>
        <w:jc w:val="both"/>
        <w:ind w:left="5" w:right="299" w:hanging="5"/>
        <w:spacing w:after="0" w:line="282" w:lineRule="auto"/>
        <w:tabs>
          <w:tab w:leader="none" w:pos="2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1" w:lineRule="exact"/>
        <w:rPr>
          <w:rFonts w:ascii="Arial" w:cs="Arial" w:eastAsia="Arial" w:hAnsi="Arial"/>
          <w:sz w:val="18"/>
          <w:szCs w:val="18"/>
          <w:color w:val="auto"/>
        </w:rPr>
      </w:pPr>
    </w:p>
    <w:p>
      <w:pPr>
        <w:jc w:val="both"/>
        <w:ind w:left="5" w:right="279" w:hanging="5"/>
        <w:spacing w:after="0" w:line="261" w:lineRule="auto"/>
        <w:tabs>
          <w:tab w:leader="none" w:pos="19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8" w:lineRule="exact"/>
        <w:rPr>
          <w:rFonts w:ascii="Arial" w:cs="Arial" w:eastAsia="Arial" w:hAnsi="Arial"/>
          <w:sz w:val="19"/>
          <w:szCs w:val="19"/>
          <w:color w:val="auto"/>
        </w:rPr>
      </w:pPr>
    </w:p>
    <w:p>
      <w:pPr>
        <w:jc w:val="both"/>
        <w:ind w:left="5" w:right="279" w:hanging="5"/>
        <w:spacing w:after="0" w:line="282" w:lineRule="auto"/>
        <w:tabs>
          <w:tab w:leader="none" w:pos="23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785" w:right="279" w:hanging="389"/>
        <w:spacing w:after="0" w:line="256" w:lineRule="auto"/>
        <w:tabs>
          <w:tab w:leader="none" w:pos="78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83" w:lineRule="exact"/>
        <w:rPr>
          <w:rFonts w:ascii="Arial" w:cs="Arial" w:eastAsia="Arial" w:hAnsi="Arial"/>
          <w:sz w:val="19"/>
          <w:szCs w:val="19"/>
          <w:color w:val="auto"/>
        </w:rPr>
      </w:pPr>
    </w:p>
    <w:p>
      <w:pPr>
        <w:jc w:val="both"/>
        <w:ind w:left="785" w:right="279" w:hanging="389"/>
        <w:spacing w:after="0" w:line="256" w:lineRule="auto"/>
        <w:tabs>
          <w:tab w:leader="none" w:pos="78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9"/>
          <w:szCs w:val="19"/>
          <w:color w:val="auto"/>
        </w:rPr>
      </w:pPr>
    </w:p>
    <w:p>
      <w:pPr>
        <w:jc w:val="both"/>
        <w:ind w:left="785" w:right="279" w:hanging="389"/>
        <w:spacing w:after="0" w:line="261" w:lineRule="auto"/>
        <w:tabs>
          <w:tab w:leader="none" w:pos="78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9"/>
          <w:szCs w:val="19"/>
          <w:color w:val="auto"/>
        </w:rPr>
      </w:pPr>
    </w:p>
    <w:p>
      <w:pPr>
        <w:jc w:val="both"/>
        <w:ind w:left="785" w:right="279" w:hanging="389"/>
        <w:spacing w:after="0" w:line="256" w:lineRule="auto"/>
        <w:tabs>
          <w:tab w:leader="none" w:pos="785" w:val="left"/>
        </w:tabs>
        <w:numPr>
          <w:ilvl w:val="1"/>
          <w:numId w:val="13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9"/>
          <w:szCs w:val="19"/>
          <w:color w:val="auto"/>
        </w:rPr>
      </w:pPr>
    </w:p>
    <w:p>
      <w:pPr>
        <w:jc w:val="both"/>
        <w:ind w:left="5" w:right="299" w:hanging="5"/>
        <w:spacing w:after="0" w:line="261" w:lineRule="auto"/>
        <w:tabs>
          <w:tab w:leader="none" w:pos="206"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8" w:lineRule="exact"/>
        <w:rPr>
          <w:rFonts w:ascii="Arial" w:cs="Arial" w:eastAsia="Arial" w:hAnsi="Arial"/>
          <w:sz w:val="19"/>
          <w:szCs w:val="19"/>
          <w:color w:val="auto"/>
        </w:rPr>
      </w:pPr>
    </w:p>
    <w:p>
      <w:pPr>
        <w:jc w:val="both"/>
        <w:ind w:left="5" w:right="279" w:firstLine="423"/>
        <w:spacing w:after="0" w:line="261" w:lineRule="auto"/>
        <w:tabs>
          <w:tab w:leader="none" w:pos="716" w:val="left"/>
        </w:tabs>
        <w:numPr>
          <w:ilvl w:val="2"/>
          <w:numId w:val="13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9"/>
          <w:szCs w:val="19"/>
          <w:color w:val="auto"/>
        </w:rPr>
      </w:pPr>
    </w:p>
    <w:p>
      <w:pPr>
        <w:ind w:left="5" w:right="279" w:firstLine="423"/>
        <w:spacing w:after="0" w:line="276" w:lineRule="auto"/>
        <w:tabs>
          <w:tab w:leader="none" w:pos="710" w:val="left"/>
        </w:tabs>
        <w:numPr>
          <w:ilvl w:val="2"/>
          <w:numId w:val="13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Date: March 31, 2021</w:t>
      </w:r>
    </w:p>
    <w:p>
      <w:pPr>
        <w:spacing w:after="0" w:line="138" w:lineRule="exact"/>
        <w:rPr>
          <w:sz w:val="20"/>
          <w:szCs w:val="20"/>
          <w:color w:val="auto"/>
        </w:rPr>
      </w:pPr>
    </w:p>
    <w:p>
      <w:pPr>
        <w:ind w:left="3625"/>
        <w:spacing w:after="0"/>
        <w:tabs>
          <w:tab w:leader="none" w:pos="4184"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Scott M. Quist</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Scott M. Quist</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Chairman of the Board, President, and</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Chief Executive Officer</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9184"/>
          </w:cols>
          <w:pgMar w:left="1275" w:top="121" w:right="1440" w:bottom="1440" w:gutter="0" w:footer="0" w:header="0"/>
        </w:sectPr>
      </w:pPr>
    </w:p>
    <w:bookmarkStart w:id="147" w:name="page148"/>
    <w:bookmarkEnd w:id="147"/>
    <w:p>
      <w:pPr>
        <w:jc w:val="center"/>
        <w:ind w:right="274"/>
        <w:spacing w:after="0"/>
        <w:rPr>
          <w:sz w:val="20"/>
          <w:szCs w:val="20"/>
          <w:color w:val="auto"/>
        </w:rPr>
      </w:pPr>
      <w:r>
        <w:rPr>
          <w:rFonts w:ascii="Arial" w:cs="Arial" w:eastAsia="Arial" w:hAnsi="Arial"/>
          <w:sz w:val="19"/>
          <w:szCs w:val="19"/>
          <w:color w:val="auto"/>
        </w:rPr>
        <w:t>Exhibit 31.2</w:t>
      </w:r>
    </w:p>
    <w:p>
      <w:pPr>
        <w:spacing w:after="0" w:line="231" w:lineRule="exact"/>
        <w:rPr>
          <w:sz w:val="20"/>
          <w:szCs w:val="20"/>
          <w:color w:val="auto"/>
        </w:rPr>
      </w:pPr>
    </w:p>
    <w:p>
      <w:pPr>
        <w:jc w:val="center"/>
        <w:ind w:right="274"/>
        <w:spacing w:after="0"/>
        <w:rPr>
          <w:sz w:val="20"/>
          <w:szCs w:val="20"/>
          <w:color w:val="auto"/>
        </w:rPr>
      </w:pPr>
      <w:r>
        <w:rPr>
          <w:rFonts w:ascii="Arial" w:cs="Arial" w:eastAsia="Arial" w:hAnsi="Arial"/>
          <w:sz w:val="19"/>
          <w:szCs w:val="19"/>
          <w:color w:val="auto"/>
        </w:rPr>
        <w:t>CERTIFICATION OF CHIEF FINANCIAL OFFICER</w:t>
      </w:r>
    </w:p>
    <w:p>
      <w:pPr>
        <w:spacing w:after="0" w:line="22" w:lineRule="exact"/>
        <w:rPr>
          <w:sz w:val="20"/>
          <w:szCs w:val="20"/>
          <w:color w:val="auto"/>
        </w:rPr>
      </w:pPr>
    </w:p>
    <w:p>
      <w:pPr>
        <w:jc w:val="center"/>
        <w:ind w:right="274"/>
        <w:spacing w:after="0"/>
        <w:rPr>
          <w:sz w:val="20"/>
          <w:szCs w:val="20"/>
          <w:color w:val="auto"/>
        </w:rPr>
      </w:pPr>
      <w:r>
        <w:rPr>
          <w:rFonts w:ascii="Arial" w:cs="Arial" w:eastAsia="Arial" w:hAnsi="Arial"/>
          <w:sz w:val="19"/>
          <w:szCs w:val="19"/>
          <w:color w:val="auto"/>
        </w:rPr>
        <w:t>PURSUANT TO 18 U.S.C. § 1350,</w:t>
      </w:r>
    </w:p>
    <w:p>
      <w:pPr>
        <w:spacing w:after="0" w:line="6" w:lineRule="exact"/>
        <w:rPr>
          <w:sz w:val="20"/>
          <w:szCs w:val="20"/>
          <w:color w:val="auto"/>
        </w:rPr>
      </w:pPr>
    </w:p>
    <w:p>
      <w:pPr>
        <w:jc w:val="center"/>
        <w:ind w:right="274"/>
        <w:spacing w:after="0"/>
        <w:rPr>
          <w:sz w:val="20"/>
          <w:szCs w:val="20"/>
          <w:color w:val="auto"/>
        </w:rPr>
      </w:pPr>
      <w:r>
        <w:rPr>
          <w:rFonts w:ascii="Arial" w:cs="Arial" w:eastAsia="Arial" w:hAnsi="Arial"/>
          <w:sz w:val="19"/>
          <w:szCs w:val="19"/>
          <w:color w:val="auto"/>
        </w:rPr>
        <w:t>AS REQUIRED BY</w:t>
      </w:r>
    </w:p>
    <w:p>
      <w:pPr>
        <w:spacing w:after="0" w:line="6" w:lineRule="exact"/>
        <w:rPr>
          <w:sz w:val="20"/>
          <w:szCs w:val="20"/>
          <w:color w:val="auto"/>
        </w:rPr>
      </w:pPr>
    </w:p>
    <w:p>
      <w:pPr>
        <w:ind w:left="2045"/>
        <w:spacing w:after="0"/>
        <w:rPr>
          <w:sz w:val="20"/>
          <w:szCs w:val="20"/>
          <w:color w:val="auto"/>
        </w:rPr>
      </w:pPr>
      <w:r>
        <w:rPr>
          <w:rFonts w:ascii="Arial" w:cs="Arial" w:eastAsia="Arial" w:hAnsi="Arial"/>
          <w:sz w:val="19"/>
          <w:szCs w:val="19"/>
          <w:color w:val="auto"/>
        </w:rPr>
        <w:t>SECTION 302 OF THE SARBANES-OXLEY ACT OF 2002</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9"/>
          <w:szCs w:val="19"/>
          <w:color w:val="auto"/>
        </w:rPr>
        <w:t>I, Garrett S. Sill, certify that:</w:t>
      </w:r>
    </w:p>
    <w:p>
      <w:pPr>
        <w:spacing w:after="0" w:line="124" w:lineRule="exact"/>
        <w:rPr>
          <w:sz w:val="20"/>
          <w:szCs w:val="20"/>
          <w:color w:val="auto"/>
        </w:rPr>
      </w:pPr>
    </w:p>
    <w:p>
      <w:pPr>
        <w:ind w:left="185" w:hanging="185"/>
        <w:spacing w:after="0"/>
        <w:tabs>
          <w:tab w:leader="none" w:pos="18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Security National Financial Corporation.</w:t>
      </w:r>
    </w:p>
    <w:p>
      <w:pPr>
        <w:spacing w:after="0" w:line="124" w:lineRule="exact"/>
        <w:rPr>
          <w:rFonts w:ascii="Arial" w:cs="Arial" w:eastAsia="Arial" w:hAnsi="Arial"/>
          <w:sz w:val="19"/>
          <w:szCs w:val="19"/>
          <w:color w:val="auto"/>
        </w:rPr>
      </w:pPr>
    </w:p>
    <w:p>
      <w:pPr>
        <w:jc w:val="both"/>
        <w:ind w:left="5" w:right="299" w:hanging="5"/>
        <w:spacing w:after="0" w:line="282" w:lineRule="auto"/>
        <w:tabs>
          <w:tab w:leader="none" w:pos="20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61" w:lineRule="exact"/>
        <w:rPr>
          <w:rFonts w:ascii="Arial" w:cs="Arial" w:eastAsia="Arial" w:hAnsi="Arial"/>
          <w:sz w:val="18"/>
          <w:szCs w:val="18"/>
          <w:color w:val="auto"/>
        </w:rPr>
      </w:pPr>
    </w:p>
    <w:p>
      <w:pPr>
        <w:jc w:val="both"/>
        <w:ind w:left="5" w:right="279" w:hanging="5"/>
        <w:spacing w:after="0" w:line="261" w:lineRule="auto"/>
        <w:tabs>
          <w:tab w:leader="none" w:pos="19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8" w:lineRule="exact"/>
        <w:rPr>
          <w:rFonts w:ascii="Arial" w:cs="Arial" w:eastAsia="Arial" w:hAnsi="Arial"/>
          <w:sz w:val="19"/>
          <w:szCs w:val="19"/>
          <w:color w:val="auto"/>
        </w:rPr>
      </w:pPr>
    </w:p>
    <w:p>
      <w:pPr>
        <w:jc w:val="both"/>
        <w:ind w:left="5" w:right="279" w:hanging="5"/>
        <w:spacing w:after="0" w:line="282" w:lineRule="auto"/>
        <w:tabs>
          <w:tab w:leader="none" w:pos="23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745" w:right="279" w:hanging="428"/>
        <w:spacing w:after="0" w:line="256" w:lineRule="auto"/>
        <w:tabs>
          <w:tab w:leader="none" w:pos="745" w:val="left"/>
        </w:tabs>
        <w:numPr>
          <w:ilvl w:val="2"/>
          <w:numId w:val="13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83" w:lineRule="exact"/>
        <w:rPr>
          <w:rFonts w:ascii="Arial" w:cs="Arial" w:eastAsia="Arial" w:hAnsi="Arial"/>
          <w:sz w:val="19"/>
          <w:szCs w:val="19"/>
          <w:color w:val="auto"/>
        </w:rPr>
      </w:pPr>
    </w:p>
    <w:p>
      <w:pPr>
        <w:jc w:val="both"/>
        <w:ind w:left="745" w:right="279" w:hanging="428"/>
        <w:spacing w:after="0" w:line="256" w:lineRule="auto"/>
        <w:tabs>
          <w:tab w:leader="none" w:pos="745" w:val="left"/>
        </w:tabs>
        <w:numPr>
          <w:ilvl w:val="2"/>
          <w:numId w:val="13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9"/>
          <w:szCs w:val="19"/>
          <w:color w:val="auto"/>
        </w:rPr>
      </w:pPr>
    </w:p>
    <w:p>
      <w:pPr>
        <w:jc w:val="both"/>
        <w:ind w:left="745" w:right="279" w:hanging="428"/>
        <w:spacing w:after="0" w:line="261" w:lineRule="auto"/>
        <w:tabs>
          <w:tab w:leader="none" w:pos="745" w:val="left"/>
        </w:tabs>
        <w:numPr>
          <w:ilvl w:val="2"/>
          <w:numId w:val="13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9"/>
          <w:szCs w:val="19"/>
          <w:color w:val="auto"/>
        </w:rPr>
      </w:pPr>
    </w:p>
    <w:p>
      <w:pPr>
        <w:jc w:val="both"/>
        <w:ind w:left="705" w:right="279" w:hanging="415"/>
        <w:spacing w:after="0" w:line="256" w:lineRule="auto"/>
        <w:tabs>
          <w:tab w:leader="none" w:pos="705" w:val="left"/>
        </w:tabs>
        <w:numPr>
          <w:ilvl w:val="1"/>
          <w:numId w:val="13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9"/>
          <w:szCs w:val="19"/>
          <w:color w:val="auto"/>
        </w:rPr>
      </w:pPr>
    </w:p>
    <w:p>
      <w:pPr>
        <w:jc w:val="both"/>
        <w:ind w:left="5" w:right="279" w:hanging="5"/>
        <w:spacing w:after="0" w:line="261" w:lineRule="auto"/>
        <w:tabs>
          <w:tab w:leader="none" w:pos="20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financial reporting, to the registrant’s auditors and the audit committee of registrant’s board of directors (or persons performing the equivalent functions):</w:t>
      </w:r>
    </w:p>
    <w:p>
      <w:pPr>
        <w:spacing w:after="0" w:line="78" w:lineRule="exact"/>
        <w:rPr>
          <w:rFonts w:ascii="Arial" w:cs="Arial" w:eastAsia="Arial" w:hAnsi="Arial"/>
          <w:sz w:val="19"/>
          <w:szCs w:val="19"/>
          <w:color w:val="auto"/>
        </w:rPr>
      </w:pPr>
    </w:p>
    <w:p>
      <w:pPr>
        <w:jc w:val="both"/>
        <w:ind w:left="5" w:right="279" w:firstLine="423"/>
        <w:spacing w:after="0" w:line="261" w:lineRule="auto"/>
        <w:tabs>
          <w:tab w:leader="none" w:pos="716" w:val="left"/>
        </w:tabs>
        <w:numPr>
          <w:ilvl w:val="3"/>
          <w:numId w:val="13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9"/>
          <w:szCs w:val="19"/>
          <w:color w:val="auto"/>
        </w:rPr>
      </w:pPr>
    </w:p>
    <w:p>
      <w:pPr>
        <w:ind w:left="5" w:right="279" w:firstLine="423"/>
        <w:spacing w:after="0" w:line="276" w:lineRule="auto"/>
        <w:tabs>
          <w:tab w:leader="none" w:pos="710" w:val="left"/>
        </w:tabs>
        <w:numPr>
          <w:ilvl w:val="3"/>
          <w:numId w:val="13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color w:val="auto"/>
        </w:rPr>
        <w:t>Date: March 31, 2021</w:t>
      </w:r>
    </w:p>
    <w:p>
      <w:pPr>
        <w:spacing w:after="0" w:line="243" w:lineRule="exact"/>
        <w:rPr>
          <w:sz w:val="20"/>
          <w:szCs w:val="20"/>
          <w:color w:val="auto"/>
        </w:rPr>
      </w:pPr>
    </w:p>
    <w:p>
      <w:pPr>
        <w:ind w:left="3625"/>
        <w:spacing w:after="0"/>
        <w:tabs>
          <w:tab w:leader="none" w:pos="4184"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Garrett S. Sill</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Garrett S. Sill</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Chief Financial Officer and Treasurer</w:t>
      </w:r>
    </w:p>
    <w:p>
      <w:pPr>
        <w:spacing w:after="0" w:line="32" w:lineRule="exact"/>
        <w:rPr>
          <w:sz w:val="20"/>
          <w:szCs w:val="20"/>
          <w:color w:val="auto"/>
        </w:rPr>
      </w:pPr>
    </w:p>
    <w:p>
      <w:pPr>
        <w:ind w:left="4205"/>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1">
            <w:col w:w="9184"/>
          </w:cols>
          <w:pgMar w:left="1275" w:top="121" w:right="1440" w:bottom="1440" w:gutter="0" w:footer="0" w:header="0"/>
        </w:sectPr>
      </w:pPr>
    </w:p>
    <w:bookmarkStart w:id="148" w:name="page149"/>
    <w:bookmarkEnd w:id="148"/>
    <w:p>
      <w:pPr>
        <w:jc w:val="center"/>
        <w:ind w:right="479"/>
        <w:spacing w:after="0"/>
        <w:rPr>
          <w:sz w:val="20"/>
          <w:szCs w:val="20"/>
          <w:color w:val="auto"/>
        </w:rPr>
      </w:pPr>
      <w:r>
        <w:rPr>
          <w:rFonts w:ascii="Arial" w:cs="Arial" w:eastAsia="Arial" w:hAnsi="Arial"/>
          <w:sz w:val="19"/>
          <w:szCs w:val="19"/>
          <w:color w:val="auto"/>
        </w:rPr>
        <w:t>Exhibit 32.1</w:t>
      </w:r>
    </w:p>
    <w:p>
      <w:pPr>
        <w:spacing w:after="0" w:line="231"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CERTIFICATION OF CHIEF EXECUTIVE OFFICER</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PURSUANT TO 18 U.S.C. § 1350,</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AS REQUIRED BY</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SECTION 906 OF THE SARBANES-OXLEY ACT OF 2002</w:t>
      </w:r>
    </w:p>
    <w:p>
      <w:pPr>
        <w:spacing w:after="0" w:line="214" w:lineRule="exact"/>
        <w:rPr>
          <w:sz w:val="20"/>
          <w:szCs w:val="20"/>
          <w:color w:val="auto"/>
        </w:rPr>
      </w:pPr>
    </w:p>
    <w:p>
      <w:pPr>
        <w:jc w:val="both"/>
        <w:ind w:left="160" w:right="639"/>
        <w:spacing w:after="0" w:line="271" w:lineRule="auto"/>
        <w:rPr>
          <w:sz w:val="20"/>
          <w:szCs w:val="20"/>
          <w:color w:val="auto"/>
        </w:rPr>
      </w:pPr>
      <w:r>
        <w:rPr>
          <w:rFonts w:ascii="Arial" w:cs="Arial" w:eastAsia="Arial" w:hAnsi="Arial"/>
          <w:sz w:val="18"/>
          <w:szCs w:val="18"/>
          <w:color w:val="auto"/>
        </w:rPr>
        <w:t>In connection with the Annual Report of Security National Financial Corporation (the “Company”) on Form 10-K for the period ending December 31, 2020, as filed with the Securities and Exchange Commission on the date hereof (the “Report”), I, Scott M. Quist, Chairman of the Board, President, and Chief Executive Officer of the Company, certify, pursuant to 18 U.S.C. §1350, as adopted pursuant to Section 906 of the Sarbanes-Oxley Act of 2002, that, to the best of my knowledge and belief:</w:t>
      </w:r>
    </w:p>
    <w:p>
      <w:pPr>
        <w:spacing w:after="0" w:line="177" w:lineRule="exact"/>
        <w:rPr>
          <w:sz w:val="20"/>
          <w:szCs w:val="20"/>
          <w:color w:val="auto"/>
        </w:rPr>
      </w:pPr>
    </w:p>
    <w:p>
      <w:pPr>
        <w:ind w:left="1480" w:right="639" w:hanging="684"/>
        <w:spacing w:after="0" w:line="276" w:lineRule="auto"/>
        <w:tabs>
          <w:tab w:leader="none" w:pos="14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70" w:lineRule="exact"/>
        <w:rPr>
          <w:rFonts w:ascii="Arial" w:cs="Arial" w:eastAsia="Arial" w:hAnsi="Arial"/>
          <w:sz w:val="19"/>
          <w:szCs w:val="19"/>
          <w:color w:val="auto"/>
        </w:rPr>
      </w:pPr>
    </w:p>
    <w:p>
      <w:pPr>
        <w:ind w:left="1480" w:right="639" w:hanging="684"/>
        <w:spacing w:after="0" w:line="276" w:lineRule="auto"/>
        <w:tabs>
          <w:tab w:leader="none" w:pos="14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 of operations of the Company.</w:t>
      </w:r>
    </w:p>
    <w:p>
      <w:pPr>
        <w:spacing w:after="0" w:line="183"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Scott M. Quist</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Scott M. Quist</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Chairman of the Board, President,</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and Chief Executive Officer</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(Principal Executive Officer)</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March 31, 2021</w:t>
      </w:r>
    </w:p>
    <w:p>
      <w:pPr>
        <w:sectPr>
          <w:pgSz w:w="11900" w:h="16838" w:orient="portrait"/>
          <w:cols w:equalWidth="0" w:num="1">
            <w:col w:w="9019"/>
          </w:cols>
          <w:pgMar w:left="1440" w:top="122" w:right="1440" w:bottom="1440" w:gutter="0" w:footer="0" w:header="0"/>
        </w:sectPr>
      </w:pPr>
    </w:p>
    <w:bookmarkStart w:id="149" w:name="page150"/>
    <w:bookmarkEnd w:id="149"/>
    <w:p>
      <w:pPr>
        <w:jc w:val="center"/>
        <w:ind w:right="279"/>
        <w:spacing w:after="0"/>
        <w:rPr>
          <w:sz w:val="20"/>
          <w:szCs w:val="20"/>
          <w:color w:val="auto"/>
        </w:rPr>
      </w:pPr>
      <w:r>
        <w:rPr>
          <w:rFonts w:ascii="Arial" w:cs="Arial" w:eastAsia="Arial" w:hAnsi="Arial"/>
          <w:sz w:val="19"/>
          <w:szCs w:val="19"/>
          <w:color w:val="auto"/>
        </w:rPr>
        <w:t>Exhibit 32.2</w:t>
      </w: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CERTIFICATION OF CHIEF FINANCIAL OFFICER</w:t>
      </w:r>
    </w:p>
    <w:p>
      <w:pPr>
        <w:spacing w:after="0" w:line="22"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PURSUANT TO 18 U.S.C. § 1350,</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AS REQUIRED BY</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SECTION 906 OF THE SARBANES-OXLEY ACT OF 2002</w:t>
      </w:r>
    </w:p>
    <w:p>
      <w:pPr>
        <w:spacing w:after="0" w:line="214" w:lineRule="exact"/>
        <w:rPr>
          <w:sz w:val="20"/>
          <w:szCs w:val="20"/>
          <w:color w:val="auto"/>
        </w:rPr>
      </w:pPr>
    </w:p>
    <w:p>
      <w:pPr>
        <w:jc w:val="both"/>
        <w:ind w:right="279"/>
        <w:spacing w:after="0" w:line="253" w:lineRule="auto"/>
        <w:rPr>
          <w:sz w:val="20"/>
          <w:szCs w:val="20"/>
          <w:color w:val="auto"/>
        </w:rPr>
      </w:pPr>
      <w:r>
        <w:rPr>
          <w:rFonts w:ascii="Arial" w:cs="Arial" w:eastAsia="Arial" w:hAnsi="Arial"/>
          <w:sz w:val="19"/>
          <w:szCs w:val="19"/>
          <w:color w:val="auto"/>
        </w:rPr>
        <w:t>In connection with the Annual Report of Security National Financial Corporation (the “Company”) on Form 10-K for the period ending December 31, 2020, as filed with the Securities and Exchange Commission on the date hereof (the “Report”), I, Garrett S. Sill, Vice President, Treasurer and Chief Financial Officer of the Company, certify, pursuant to 18 U.S.C. §1350, as adopted pursuant to Section 906 of the Sarbanes-Oxley Act of 2002, that, to the best of my knowledge and belief:</w:t>
      </w:r>
    </w:p>
    <w:p>
      <w:pPr>
        <w:spacing w:after="0" w:line="194" w:lineRule="exact"/>
        <w:rPr>
          <w:sz w:val="20"/>
          <w:szCs w:val="20"/>
          <w:color w:val="auto"/>
        </w:rPr>
      </w:pPr>
    </w:p>
    <w:p>
      <w:pPr>
        <w:ind w:left="1320" w:right="299" w:hanging="680"/>
        <w:spacing w:after="0" w:line="276" w:lineRule="auto"/>
        <w:tabs>
          <w:tab w:leader="none" w:pos="13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70" w:lineRule="exact"/>
        <w:rPr>
          <w:rFonts w:ascii="Arial" w:cs="Arial" w:eastAsia="Arial" w:hAnsi="Arial"/>
          <w:sz w:val="19"/>
          <w:szCs w:val="19"/>
          <w:color w:val="auto"/>
        </w:rPr>
      </w:pPr>
    </w:p>
    <w:p>
      <w:pPr>
        <w:ind w:left="1320" w:right="279" w:hanging="680"/>
        <w:spacing w:after="0" w:line="276" w:lineRule="auto"/>
        <w:tabs>
          <w:tab w:leader="none" w:pos="132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 of operations of the Company.</w:t>
      </w:r>
    </w:p>
    <w:p>
      <w:pPr>
        <w:spacing w:after="0" w:line="18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Garrett S. Sill</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Garrett S. Sill</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Chief Financial Officer and Treasurer</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(Principal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March 31, 2021</w:t>
      </w:r>
    </w:p>
    <w:sectPr>
      <w:pgSz w:w="11900" w:h="16838" w:orient="portrait"/>
      <w:cols w:equalWidth="0" w:num="1">
        <w:col w:w="9179"/>
      </w:cols>
      <w:pgMar w:left="128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1)"/>
      <w:numFmt w:val="decimal"/>
      <w:start w:val="1"/>
    </w:lvl>
  </w:abstractNum>
  <w:abstractNum w:abstractNumId="3">
    <w:nsid w:val="98A3148"/>
    <w:multiLevelType w:val="hybridMultilevel"/>
    <w:lvl w:ilvl="0">
      <w:lvlJc w:val="left"/>
      <w:lvlText w:val="(%1)"/>
      <w:numFmt w:val="decimal"/>
      <w:start w:val="1"/>
    </w:lvl>
  </w:abstractNum>
  <w:abstractNum w:abstractNumId="4">
    <w:nsid w:val="799D0247"/>
    <w:multiLevelType w:val="hybridMultilevel"/>
    <w:lvl w:ilvl="0">
      <w:lvlJc w:val="left"/>
      <w:lvlText w:val="(%1)"/>
      <w:numFmt w:val="decimal"/>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1)"/>
      <w:numFmt w:val="decimal"/>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decimal"/>
      <w:start w:val="1"/>
    </w:lvl>
  </w:abstractNum>
  <w:abstractNum w:abstractNumId="13">
    <w:nsid w:val="51D9C564"/>
    <w:multiLevelType w:val="hybridMultilevel"/>
    <w:lvl w:ilvl="0">
      <w:lvlJc w:val="left"/>
      <w:lvlText w:val="%1)"/>
      <w:numFmt w:val="decimal"/>
      <w:start w:val="1"/>
    </w:lvl>
  </w:abstractNum>
  <w:abstractNum w:abstractNumId="14">
    <w:nsid w:val="613EFDC5"/>
    <w:multiLevelType w:val="hybridMultilevel"/>
    <w:lvl w:ilvl="0">
      <w:lvlJc w:val="left"/>
      <w:lvlText w:val="%1)"/>
      <w:numFmt w:val="decimal"/>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1)"/>
      <w:numFmt w:val="decimal"/>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1)"/>
      <w:numFmt w:val="decimal"/>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1)"/>
      <w:numFmt w:val="decimal"/>
      <w:start w:val="1"/>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1)"/>
      <w:numFmt w:val="decimal"/>
      <w:start w:val="1"/>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1"/>
    </w:lvl>
  </w:abstractNum>
  <w:abstractNum w:abstractNumId="29">
    <w:nsid w:val="71EA1109"/>
    <w:multiLevelType w:val="hybridMultilevel"/>
    <w:lvl w:ilvl="0">
      <w:lvlJc w:val="left"/>
      <w:lvlText w:val="%1)"/>
      <w:numFmt w:val="decimal"/>
      <w:start w:val="2"/>
    </w:lvl>
  </w:abstractNum>
  <w:abstractNum w:abstractNumId="30">
    <w:nsid w:val="100F59DC"/>
    <w:multiLevelType w:val="hybridMultilevel"/>
    <w:lvl w:ilvl="0">
      <w:lvlJc w:val="left"/>
      <w:lvlText w:val="%1)"/>
      <w:numFmt w:val="decimal"/>
      <w:start w:val="2"/>
    </w:lvl>
  </w:abstractNum>
  <w:abstractNum w:abstractNumId="31">
    <w:nsid w:val="7FB7E0AA"/>
    <w:multiLevelType w:val="hybridMultilevel"/>
    <w:lvl w:ilvl="0">
      <w:lvlJc w:val="left"/>
      <w:lvlText w:val="%1)"/>
      <w:numFmt w:val="decimal"/>
      <w:start w:val="2"/>
    </w:lvl>
  </w:abstractNum>
  <w:abstractNum w:abstractNumId="32">
    <w:nsid w:val="6EB5BD4"/>
    <w:multiLevelType w:val="hybridMultilevel"/>
    <w:lvl w:ilvl="0">
      <w:lvlJc w:val="left"/>
      <w:lvlText w:val="%1)"/>
      <w:numFmt w:val="decimal"/>
      <w:start w:val="2"/>
    </w:lvl>
  </w:abstractNum>
  <w:abstractNum w:abstractNumId="33">
    <w:nsid w:val="6F6DD9AC"/>
    <w:multiLevelType w:val="hybridMultilevel"/>
    <w:lvl w:ilvl="0">
      <w:lvlJc w:val="left"/>
      <w:lvlText w:val="%1)"/>
      <w:numFmt w:val="decimal"/>
      <w:start w:val="2"/>
    </w:lvl>
  </w:abstractNum>
  <w:abstractNum w:abstractNumId="34">
    <w:nsid w:val="94211F2"/>
    <w:multiLevelType w:val="hybridMultilevel"/>
    <w:lvl w:ilvl="0">
      <w:lvlJc w:val="left"/>
      <w:lvlText w:val="%1)"/>
      <w:numFmt w:val="decimal"/>
      <w:start w:val="2"/>
    </w:lvl>
  </w:abstractNum>
  <w:abstractNum w:abstractNumId="35">
    <w:nsid w:val="885E1B"/>
    <w:multiLevelType w:val="hybridMultilevel"/>
    <w:lvl w:ilvl="0">
      <w:lvlJc w:val="left"/>
      <w:lvlText w:val="%1)"/>
      <w:numFmt w:val="decimal"/>
      <w:start w:val="2"/>
    </w:lvl>
  </w:abstractNum>
  <w:abstractNum w:abstractNumId="36">
    <w:nsid w:val="76272110"/>
    <w:multiLevelType w:val="hybridMultilevel"/>
    <w:lvl w:ilvl="0">
      <w:lvlJc w:val="left"/>
      <w:lvlText w:val="(%1)"/>
      <w:numFmt w:val="decimal"/>
      <w:start w:val="1"/>
    </w:lvl>
  </w:abstractNum>
  <w:abstractNum w:abstractNumId="37">
    <w:nsid w:val="4C04A8AF"/>
    <w:multiLevelType w:val="hybridMultilevel"/>
    <w:lvl w:ilvl="0">
      <w:lvlJc w:val="left"/>
      <w:lvlText w:val="%1)"/>
      <w:numFmt w:val="decimal"/>
      <w:start w:val="2"/>
    </w:lvl>
  </w:abstractNum>
  <w:abstractNum w:abstractNumId="38">
    <w:nsid w:val="1716703B"/>
    <w:multiLevelType w:val="hybridMultilevel"/>
    <w:lvl w:ilvl="0">
      <w:lvlJc w:val="left"/>
      <w:lvlText w:val="%1)"/>
      <w:numFmt w:val="decimal"/>
      <w:start w:val="2"/>
    </w:lvl>
  </w:abstractNum>
  <w:abstractNum w:abstractNumId="39">
    <w:nsid w:val="14E17E33"/>
    <w:multiLevelType w:val="hybridMultilevel"/>
    <w:lvl w:ilvl="0">
      <w:lvlJc w:val="left"/>
      <w:lvlText w:val="(%1)"/>
      <w:numFmt w:val="decimal"/>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1)"/>
      <w:numFmt w:val="decimal"/>
      <w:start w:val="2"/>
    </w:lvl>
  </w:abstractNum>
  <w:abstractNum w:abstractNumId="42">
    <w:nsid w:val="68EBC550"/>
    <w:multiLevelType w:val="hybridMultilevel"/>
    <w:lvl w:ilvl="0">
      <w:lvlJc w:val="left"/>
      <w:lvlText w:val="%1)"/>
      <w:numFmt w:val="decimal"/>
      <w:start w:val="2"/>
    </w:lvl>
  </w:abstractNum>
  <w:abstractNum w:abstractNumId="43">
    <w:nsid w:val="2DF6D648"/>
    <w:multiLevelType w:val="hybridMultilevel"/>
    <w:lvl w:ilvl="0">
      <w:lvlJc w:val="left"/>
      <w:lvlText w:val="%1)"/>
      <w:numFmt w:val="decimal"/>
      <w:start w:val="2"/>
    </w:lvl>
  </w:abstractNum>
  <w:abstractNum w:abstractNumId="44">
    <w:nsid w:val="46B7D447"/>
    <w:multiLevelType w:val="hybridMultilevel"/>
    <w:lvl w:ilvl="0">
      <w:lvlJc w:val="left"/>
      <w:lvlText w:val="%1)"/>
      <w:numFmt w:val="decimal"/>
      <w:start w:val="2"/>
    </w:lvl>
  </w:abstractNum>
  <w:abstractNum w:abstractNumId="45">
    <w:nsid w:val="4A2AC315"/>
    <w:multiLevelType w:val="hybridMultilevel"/>
    <w:lvl w:ilvl="0">
      <w:lvlJc w:val="left"/>
      <w:lvlText w:val="%1)"/>
      <w:numFmt w:val="decimal"/>
      <w:start w:val="3"/>
    </w:lvl>
  </w:abstractNum>
  <w:abstractNum w:abstractNumId="46">
    <w:nsid w:val="39EE015C"/>
    <w:multiLevelType w:val="hybridMultilevel"/>
    <w:lvl w:ilvl="0">
      <w:lvlJc w:val="left"/>
      <w:lvlText w:val="%1)"/>
      <w:numFmt w:val="decimal"/>
      <w:start w:val="3"/>
    </w:lvl>
  </w:abstractNum>
  <w:abstractNum w:abstractNumId="47">
    <w:nsid w:val="57FC4FBB"/>
    <w:multiLevelType w:val="hybridMultilevel"/>
    <w:lvl w:ilvl="0">
      <w:lvlJc w:val="left"/>
      <w:lvlText w:val="%1)"/>
      <w:numFmt w:val="decimal"/>
      <w:start w:val="4"/>
    </w:lvl>
  </w:abstractNum>
  <w:abstractNum w:abstractNumId="48">
    <w:nsid w:val="CC1016F"/>
    <w:multiLevelType w:val="hybridMultilevel"/>
    <w:lvl w:ilvl="0">
      <w:lvlJc w:val="left"/>
      <w:lvlText w:val="%1)"/>
      <w:numFmt w:val="decimal"/>
      <w:start w:val="5"/>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1)"/>
      <w:numFmt w:val="decimal"/>
      <w:start w:val="5"/>
    </w:lvl>
  </w:abstractNum>
  <w:abstractNum w:abstractNumId="51">
    <w:nsid w:val="26F324BA"/>
    <w:multiLevelType w:val="hybridMultilevel"/>
    <w:lvl w:ilvl="0">
      <w:lvlJc w:val="left"/>
      <w:lvlText w:val="(%1)"/>
      <w:numFmt w:val="decimal"/>
      <w:start w:val="1"/>
    </w:lvl>
  </w:abstractNum>
  <w:abstractNum w:abstractNumId="52">
    <w:nsid w:val="7F01579B"/>
    <w:multiLevelType w:val="hybridMultilevel"/>
    <w:lvl w:ilvl="0">
      <w:lvlJc w:val="left"/>
      <w:lvlText w:val="%1)"/>
      <w:numFmt w:val="decimal"/>
      <w:start w:val="6"/>
    </w:lvl>
  </w:abstractNum>
  <w:abstractNum w:abstractNumId="53">
    <w:nsid w:val="49DA307D"/>
    <w:multiLevelType w:val="hybridMultilevel"/>
    <w:lvl w:ilvl="0">
      <w:lvlJc w:val="left"/>
      <w:lvlText w:val="%1)"/>
      <w:numFmt w:val="decimal"/>
      <w:start w:val="7"/>
    </w:lvl>
  </w:abstractNum>
  <w:abstractNum w:abstractNumId="54">
    <w:nsid w:val="7055A5F5"/>
    <w:multiLevelType w:val="hybridMultilevel"/>
    <w:lvl w:ilvl="0">
      <w:lvlJc w:val="left"/>
      <w:lvlText w:val="%1)"/>
      <w:numFmt w:val="decimal"/>
      <w:start w:val="7"/>
    </w:lvl>
  </w:abstractNum>
  <w:abstractNum w:abstractNumId="55">
    <w:nsid w:val="5FB8370B"/>
    <w:multiLevelType w:val="hybridMultilevel"/>
    <w:lvl w:ilvl="0">
      <w:lvlJc w:val="left"/>
      <w:lvlText w:val="%1)"/>
      <w:numFmt w:val="decimal"/>
      <w:start w:val="8"/>
    </w:lvl>
  </w:abstractNum>
  <w:abstractNum w:abstractNumId="56">
    <w:nsid w:val="50801EE1"/>
    <w:multiLevelType w:val="hybridMultilevel"/>
    <w:lvl w:ilvl="0">
      <w:lvlJc w:val="left"/>
      <w:lvlText w:val="%1)"/>
      <w:numFmt w:val="decimal"/>
      <w:start w:val="8"/>
    </w:lvl>
  </w:abstractNum>
  <w:abstractNum w:abstractNumId="57">
    <w:nsid w:val="488AC1A"/>
    <w:multiLevelType w:val="hybridMultilevel"/>
    <w:lvl w:ilvl="0">
      <w:lvlJc w:val="left"/>
      <w:lvlText w:val="(%1)"/>
      <w:numFmt w:val="decimal"/>
      <w:start w:val="1"/>
    </w:lvl>
  </w:abstractNum>
  <w:abstractNum w:abstractNumId="58">
    <w:nsid w:val="5FB8011C"/>
    <w:multiLevelType w:val="hybridMultilevel"/>
    <w:lvl w:ilvl="0">
      <w:lvlJc w:val="left"/>
      <w:lvlText w:val="%1)"/>
      <w:numFmt w:val="decimal"/>
      <w:start w:val="9"/>
    </w:lvl>
  </w:abstractNum>
  <w:abstractNum w:abstractNumId="59">
    <w:nsid w:val="6AA78F7F"/>
    <w:multiLevelType w:val="hybridMultilevel"/>
    <w:lvl w:ilvl="0">
      <w:lvlJc w:val="left"/>
      <w:lvlText w:val="%1)"/>
      <w:numFmt w:val="decimal"/>
      <w:start w:val="9"/>
    </w:lvl>
  </w:abstractNum>
  <w:abstractNum w:abstractNumId="60">
    <w:nsid w:val="7672BD23"/>
    <w:multiLevelType w:val="hybridMultilevel"/>
    <w:lvl w:ilvl="0">
      <w:lvlJc w:val="left"/>
      <w:lvlText w:val="%1)"/>
      <w:numFmt w:val="decimal"/>
      <w:start w:val="10"/>
    </w:lvl>
  </w:abstractNum>
  <w:abstractNum w:abstractNumId="61">
    <w:nsid w:val="6FC75AF8"/>
    <w:multiLevelType w:val="hybridMultilevel"/>
    <w:lvl w:ilvl="0">
      <w:lvlJc w:val="left"/>
      <w:lvlText w:val="%1)"/>
      <w:numFmt w:val="decimal"/>
      <w:start w:val="10"/>
    </w:lvl>
  </w:abstractNum>
  <w:abstractNum w:abstractNumId="62">
    <w:nsid w:val="6A5F7029"/>
    <w:multiLevelType w:val="hybridMultilevel"/>
    <w:lvl w:ilvl="0">
      <w:lvlJc w:val="left"/>
      <w:lvlText w:val="%1)"/>
      <w:numFmt w:val="decimal"/>
      <w:start w:val="11"/>
    </w:lvl>
  </w:abstractNum>
  <w:abstractNum w:abstractNumId="63">
    <w:nsid w:val="7D5E18F8"/>
    <w:multiLevelType w:val="hybridMultilevel"/>
    <w:lvl w:ilvl="0">
      <w:lvlJc w:val="left"/>
      <w:lvlText w:val="%1)"/>
      <w:numFmt w:val="decimal"/>
      <w:start w:val="11"/>
    </w:lvl>
  </w:abstractNum>
  <w:abstractNum w:abstractNumId="64">
    <w:nsid w:val="5F3534A4"/>
    <w:multiLevelType w:val="hybridMultilevel"/>
    <w:lvl w:ilvl="0">
      <w:lvlJc w:val="left"/>
      <w:lvlText w:val="%1)"/>
      <w:numFmt w:val="decimal"/>
      <w:start w:val="12"/>
    </w:lvl>
  </w:abstractNum>
  <w:abstractNum w:abstractNumId="65">
    <w:nsid w:val="73A1821B"/>
    <w:multiLevelType w:val="hybridMultilevel"/>
    <w:lvl w:ilvl="0">
      <w:lvlJc w:val="left"/>
      <w:lvlText w:val="%1)"/>
      <w:numFmt w:val="decimal"/>
      <w:start w:val="12"/>
    </w:lvl>
  </w:abstractNum>
  <w:abstractNum w:abstractNumId="66">
    <w:nsid w:val="7DE67713"/>
    <w:multiLevelType w:val="hybridMultilevel"/>
    <w:lvl w:ilvl="0">
      <w:lvlJc w:val="left"/>
      <w:lvlText w:val="%1)"/>
      <w:numFmt w:val="decimal"/>
      <w:start w:val="13"/>
    </w:lvl>
  </w:abstractNum>
  <w:abstractNum w:abstractNumId="67">
    <w:nsid w:val="555C55B5"/>
    <w:multiLevelType w:val="hybridMultilevel"/>
    <w:lvl w:ilvl="0">
      <w:lvlJc w:val="left"/>
      <w:lvlText w:val="%1)"/>
      <w:numFmt w:val="decimal"/>
      <w:start w:val="13"/>
    </w:lvl>
  </w:abstractNum>
  <w:abstractNum w:abstractNumId="68">
    <w:nsid w:val="3FA62ACA"/>
    <w:multiLevelType w:val="hybridMultilevel"/>
    <w:lvl w:ilvl="0">
      <w:lvlJc w:val="left"/>
      <w:lvlText w:val="%1)"/>
      <w:numFmt w:val="decimal"/>
      <w:start w:val="14"/>
    </w:lvl>
  </w:abstractNum>
  <w:abstractNum w:abstractNumId="69">
    <w:nsid w:val="14FCE74E"/>
    <w:multiLevelType w:val="hybridMultilevel"/>
    <w:lvl w:ilvl="0">
      <w:lvlJc w:val="left"/>
      <w:lvlText w:val="%1)"/>
      <w:numFmt w:val="decimal"/>
      <w:start w:val="14"/>
    </w:lvl>
  </w:abstractNum>
  <w:abstractNum w:abstractNumId="70">
    <w:nsid w:val="6A3DD3E8"/>
    <w:multiLevelType w:val="hybridMultilevel"/>
    <w:lvl w:ilvl="0">
      <w:lvlJc w:val="left"/>
      <w:lvlText w:val="%1)"/>
      <w:numFmt w:val="decimal"/>
      <w:start w:val="15"/>
    </w:lvl>
  </w:abstractNum>
  <w:abstractNum w:abstractNumId="71">
    <w:nsid w:val="71C91298"/>
    <w:multiLevelType w:val="hybridMultilevel"/>
    <w:lvl w:ilvl="0">
      <w:lvlJc w:val="left"/>
      <w:lvlText w:val="%1)"/>
      <w:numFmt w:val="decimal"/>
      <w:start w:val="15"/>
    </w:lvl>
  </w:abstractNum>
  <w:abstractNum w:abstractNumId="72">
    <w:nsid w:val="9DAF632"/>
    <w:multiLevelType w:val="hybridMultilevel"/>
    <w:lvl w:ilvl="0">
      <w:lvlJc w:val="left"/>
      <w:lvlText w:val="%1)"/>
      <w:numFmt w:val="decimal"/>
      <w:start w:val="15"/>
    </w:lvl>
  </w:abstractNum>
  <w:abstractNum w:abstractNumId="73">
    <w:nsid w:val="53299938"/>
    <w:multiLevelType w:val="hybridMultilevel"/>
    <w:lvl w:ilvl="0">
      <w:lvlJc w:val="left"/>
      <w:lvlText w:val="%1)"/>
      <w:numFmt w:val="decimal"/>
      <w:start w:val="16"/>
    </w:lvl>
  </w:abstractNum>
  <w:abstractNum w:abstractNumId="74">
    <w:nsid w:val="1FBFE8E0"/>
    <w:multiLevelType w:val="hybridMultilevel"/>
    <w:lvl w:ilvl="0">
      <w:lvlJc w:val="left"/>
      <w:lvlText w:val="%1)"/>
      <w:numFmt w:val="decimal"/>
      <w:start w:val="17"/>
    </w:lvl>
  </w:abstractNum>
  <w:abstractNum w:abstractNumId="75">
    <w:nsid w:val="5092CA79"/>
    <w:multiLevelType w:val="hybridMultilevel"/>
    <w:lvl w:ilvl="0">
      <w:lvlJc w:val="left"/>
      <w:lvlText w:val="%1)"/>
      <w:numFmt w:val="lowerLetter"/>
      <w:start w:val="1"/>
    </w:lvl>
  </w:abstractNum>
  <w:abstractNum w:abstractNumId="76">
    <w:nsid w:val="1D545C4D"/>
    <w:multiLevelType w:val="hybridMultilevel"/>
    <w:lvl w:ilvl="0">
      <w:lvlJc w:val="left"/>
      <w:lvlText w:val="%1)"/>
      <w:numFmt w:val="decimal"/>
      <w:start w:val="17"/>
    </w:lvl>
  </w:abstractNum>
  <w:abstractNum w:abstractNumId="77">
    <w:nsid w:val="59ADEA3D"/>
    <w:multiLevelType w:val="hybridMultilevel"/>
    <w:lvl w:ilvl="0">
      <w:lvlJc w:val="left"/>
      <w:lvlText w:val="%1)"/>
      <w:numFmt w:val="decimal"/>
      <w:start w:val="17"/>
    </w:lvl>
  </w:abstractNum>
  <w:abstractNum w:abstractNumId="78">
    <w:nsid w:val="288F1A34"/>
    <w:multiLevelType w:val="hybridMultilevel"/>
    <w:lvl w:ilvl="0">
      <w:lvlJc w:val="left"/>
      <w:lvlText w:val="(%1)"/>
      <w:numFmt w:val="decimal"/>
      <w:start w:val="1"/>
    </w:lvl>
  </w:abstractNum>
  <w:abstractNum w:abstractNumId="79">
    <w:nsid w:val="2A155DBC"/>
    <w:multiLevelType w:val="hybridMultilevel"/>
    <w:lvl w:ilvl="0">
      <w:lvlJc w:val="left"/>
      <w:lvlText w:val="%1)"/>
      <w:numFmt w:val="decimal"/>
      <w:start w:val="17"/>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1)"/>
      <w:numFmt w:val="decimal"/>
      <w:start w:val="17"/>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1)"/>
      <w:numFmt w:val="decimal"/>
      <w:start w:val="17"/>
    </w:lvl>
  </w:abstractNum>
  <w:abstractNum w:abstractNumId="85">
    <w:nsid w:val="415E286C"/>
    <w:multiLevelType w:val="hybridMultilevel"/>
    <w:lvl w:ilvl="0">
      <w:lvlJc w:val="left"/>
      <w:lvlText w:val="%1)"/>
      <w:numFmt w:val="decimal"/>
      <w:start w:val="17"/>
    </w:lvl>
  </w:abstractNum>
  <w:abstractNum w:abstractNumId="86">
    <w:nsid w:val="7C58FD05"/>
    <w:multiLevelType w:val="hybridMultilevel"/>
    <w:lvl w:ilvl="0">
      <w:lvlJc w:val="left"/>
      <w:lvlText w:val="(%1)"/>
      <w:numFmt w:val="decimal"/>
      <w:start w:val="1"/>
    </w:lvl>
  </w:abstractNum>
  <w:abstractNum w:abstractNumId="87">
    <w:nsid w:val="23D86AAC"/>
    <w:multiLevelType w:val="hybridMultilevel"/>
    <w:lvl w:ilvl="0">
      <w:lvlJc w:val="left"/>
      <w:lvlText w:val="%1)"/>
      <w:numFmt w:val="decimal"/>
      <w:start w:val="17"/>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1)"/>
      <w:numFmt w:val="decimal"/>
      <w:start w:val="17"/>
    </w:lvl>
  </w:abstractNum>
  <w:abstractNum w:abstractNumId="90">
    <w:nsid w:val="E7FFA2B"/>
    <w:multiLevelType w:val="hybridMultilevel"/>
    <w:lvl w:ilvl="0">
      <w:lvlJc w:val="left"/>
      <w:lvlText w:val="%1)"/>
      <w:numFmt w:val="decimal"/>
      <w:start w:val="18"/>
    </w:lvl>
  </w:abstractNum>
  <w:abstractNum w:abstractNumId="91">
    <w:nsid w:val="3C5991AA"/>
    <w:multiLevelType w:val="hybridMultilevel"/>
    <w:lvl w:ilvl="0">
      <w:lvlJc w:val="left"/>
      <w:lvlText w:val="%1)"/>
      <w:numFmt w:val="decimal"/>
      <w:start w:val="18"/>
    </w:lvl>
  </w:abstractNum>
  <w:abstractNum w:abstractNumId="92">
    <w:nsid w:val="4BD8591A"/>
    <w:multiLevelType w:val="hybridMultilevel"/>
    <w:lvl w:ilvl="0">
      <w:lvlJc w:val="left"/>
      <w:lvlText w:val="%1)"/>
      <w:numFmt w:val="decimal"/>
      <w:start w:val="19"/>
    </w:lvl>
  </w:abstractNum>
  <w:abstractNum w:abstractNumId="93">
    <w:nsid w:val="78DF6A55"/>
    <w:multiLevelType w:val="hybridMultilevel"/>
    <w:lvl w:ilvl="0">
      <w:lvlJc w:val="left"/>
      <w:lvlText w:val="%1)"/>
      <w:numFmt w:val="decimal"/>
      <w:start w:val="20"/>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1)"/>
      <w:numFmt w:val="decimal"/>
      <w:start w:val="20"/>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1)"/>
      <w:numFmt w:val="decimal"/>
      <w:start w:val="20"/>
    </w:lvl>
  </w:abstractNum>
  <w:abstractNum w:abstractNumId="98">
    <w:nsid w:val="69E373"/>
    <w:multiLevelType w:val="hybridMultilevel"/>
    <w:lvl w:ilvl="0">
      <w:lvlJc w:val="left"/>
      <w:lvlText w:val="%1)"/>
      <w:numFmt w:val="decimal"/>
      <w:start w:val="21"/>
    </w:lvl>
  </w:abstractNum>
  <w:abstractNum w:abstractNumId="99">
    <w:nsid w:val="2C27173B"/>
    <w:multiLevelType w:val="hybridMultilevel"/>
    <w:lvl w:ilvl="0">
      <w:lvlJc w:val="left"/>
      <w:lvlText w:val="%1)"/>
      <w:numFmt w:val="decimal"/>
      <w:start w:val="21"/>
    </w:lvl>
  </w:abstractNum>
  <w:abstractNum w:abstractNumId="100">
    <w:nsid w:val="4C9B0904"/>
    <w:multiLevelType w:val="hybridMultilevel"/>
    <w:lvl w:ilvl="0">
      <w:lvlJc w:val="left"/>
      <w:lvlText w:val="%1)"/>
      <w:numFmt w:val="decimal"/>
      <w:start w:val="22"/>
    </w:lvl>
  </w:abstractNum>
  <w:abstractNum w:abstractNumId="101">
    <w:nsid w:val="6AA7B75C"/>
    <w:multiLevelType w:val="hybridMultilevel"/>
    <w:lvl w:ilvl="0">
      <w:lvlJc w:val="left"/>
      <w:lvlText w:val="%1)"/>
      <w:numFmt w:val="decimal"/>
      <w:start w:val="23"/>
    </w:lvl>
  </w:abstractNum>
  <w:abstractNum w:abstractNumId="102">
    <w:nsid w:val="1DF029D3"/>
    <w:multiLevelType w:val="hybridMultilevel"/>
    <w:lvl w:ilvl="0">
      <w:lvlJc w:val="left"/>
      <w:lvlText w:val="%1)"/>
      <w:numFmt w:val="decimal"/>
      <w:start w:val="23"/>
    </w:lvl>
  </w:abstractNum>
  <w:abstractNum w:abstractNumId="103">
    <w:nsid w:val="5675FF36"/>
    <w:multiLevelType w:val="hybridMultilevel"/>
    <w:lvl w:ilvl="0">
      <w:lvlJc w:val="left"/>
      <w:lvlText w:val="%1)"/>
      <w:numFmt w:val="decimal"/>
      <w:start w:val="23"/>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1)"/>
      <w:numFmt w:val="decimal"/>
      <w:start w:val="23"/>
    </w:lvl>
  </w:abstractNum>
  <w:abstractNum w:abstractNumId="106">
    <w:nsid w:val="2708C9AF"/>
    <w:multiLevelType w:val="hybridMultilevel"/>
    <w:lvl w:ilvl="0">
      <w:lvlJc w:val="left"/>
      <w:lvlText w:val="%1)"/>
      <w:numFmt w:val="decimal"/>
      <w:start w:val="24"/>
    </w:lvl>
  </w:abstractNum>
  <w:abstractNum w:abstractNumId="107">
    <w:nsid w:val="5B25ACE2"/>
    <w:multiLevelType w:val="hybridMultilevel"/>
    <w:lvl w:ilvl="0">
      <w:lvlJc w:val="left"/>
      <w:lvlText w:val="%1)"/>
      <w:numFmt w:val="decimal"/>
      <w:start w:val="24"/>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1)"/>
      <w:numFmt w:val="decimal"/>
      <w:start w:val="24"/>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1)"/>
      <w:numFmt w:val="decimal"/>
      <w:start w:val="1"/>
    </w:lvl>
  </w:abstractNum>
  <w:abstractNum w:abstractNumId="114">
    <w:nsid w:val="519E3149"/>
    <w:multiLevelType w:val="hybridMultilevel"/>
    <w:lvl w:ilvl="0">
      <w:lvlJc w:val="left"/>
      <w:lvlText w:val="(%1)"/>
      <w:numFmt w:val="decimal"/>
      <w:start w:val="2"/>
    </w:lvl>
    <w:lvl w:ilvl="1">
      <w:lvlJc w:val="left"/>
      <w:lvlText w:val="%2)"/>
      <w:numFmt w:val="lowerLetter"/>
      <w:start w:val="1"/>
    </w:lvl>
  </w:abstractNum>
  <w:abstractNum w:abstractNumId="115">
    <w:nsid w:val="2C6E4AFD"/>
    <w:multiLevelType w:val="hybridMultilevel"/>
    <w:lvl w:ilvl="0">
      <w:lvlJc w:val="left"/>
      <w:lvlText w:val="(%1)"/>
      <w:numFmt w:val="decimal"/>
      <w:start w:val="1"/>
    </w:lvl>
  </w:abstractNum>
  <w:abstractNum w:abstractNumId="116">
    <w:nsid w:val="17A1B582"/>
    <w:multiLevelType w:val="hybridMultilevel"/>
    <w:lvl w:ilvl="0">
      <w:lvlJc w:val="left"/>
      <w:lvlText w:val="(%1)"/>
      <w:numFmt w:val="decimal"/>
      <w:start w:val="1"/>
    </w:lvl>
  </w:abstractNum>
  <w:abstractNum w:abstractNumId="117">
    <w:nsid w:val="4DF72E4E"/>
    <w:multiLevelType w:val="hybridMultilevel"/>
    <w:lvl w:ilvl="0">
      <w:lvlJc w:val="left"/>
      <w:lvlText w:val="(%1)"/>
      <w:numFmt w:val="decimal"/>
      <w:start w:val="5"/>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decimal"/>
      <w:start w:val="2"/>
    </w:lvl>
  </w:abstractNum>
  <w:abstractNum w:abstractNumId="121">
    <w:nsid w:val="5EC6AFD4"/>
    <w:multiLevelType w:val="hybridMultilevel"/>
    <w:lvl w:ilvl="0">
      <w:lvlJc w:val="left"/>
      <w:lvlText w:val="(%1)"/>
      <w:numFmt w:val="decimal"/>
      <w:start w:val="1"/>
    </w:lvl>
  </w:abstractNum>
  <w:abstractNum w:abstractNumId="122">
    <w:nsid w:val="19E21BB2"/>
    <w:multiLevelType w:val="hybridMultilevel"/>
    <w:lvl w:ilvl="0">
      <w:lvlJc w:val="left"/>
      <w:lvlText w:val="(%1)"/>
      <w:numFmt w:val="decimal"/>
      <w:start w:val="1"/>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7"/>
    </w:lvl>
  </w:abstractNum>
  <w:abstractNum w:abstractNumId="125">
    <w:nsid w:val="5399C654"/>
    <w:multiLevelType w:val="hybridMultilevel"/>
    <w:lvl w:ilvl="0">
      <w:lvlJc w:val="left"/>
      <w:lvlText w:val="(%1)"/>
      <w:numFmt w:val="decimal"/>
      <w:start w:val="19"/>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upperLetter"/>
      <w:start w:val="35"/>
    </w:lvl>
  </w:abstractNum>
  <w:abstractNum w:abstractNumId="128">
    <w:nsid w:val="B37E80A"/>
    <w:multiLevelType w:val="hybridMultilevel"/>
    <w:lvl w:ilvl="0">
      <w:lvlJc w:val="left"/>
      <w:lvlText w:val="%1"/>
      <w:numFmt w:val="decimal"/>
      <w:start w:val="14"/>
    </w:lvl>
  </w:abstractNum>
  <w:abstractNum w:abstractNumId="129">
    <w:nsid w:val="2157F6BC"/>
    <w:multiLevelType w:val="hybridMultilevel"/>
    <w:lvl w:ilvl="0">
      <w:lvlJc w:val="left"/>
      <w:lvlText w:val="%1"/>
      <w:numFmt w:val="decimal"/>
      <w:start w:val="21"/>
    </w:lvl>
  </w:abstractNum>
  <w:abstractNum w:abstractNumId="130">
    <w:nsid w:val="704E1DD5"/>
    <w:multiLevelType w:val="hybridMultilevel"/>
    <w:lvl w:ilvl="0">
      <w:lvlJc w:val="left"/>
      <w:lvlText w:val="(%1)"/>
      <w:numFmt w:val="decimal"/>
      <w:start w:val="1"/>
    </w:lvl>
  </w:abstractNum>
  <w:abstractNum w:abstractNumId="131">
    <w:nsid w:val="57D2F10E"/>
    <w:multiLevelType w:val="hybridMultilevel"/>
    <w:lvl w:ilvl="0">
      <w:lvlJc w:val="left"/>
      <w:lvlText w:val="%1)"/>
      <w:numFmt w:val="decimal"/>
      <w:start w:val="2"/>
    </w:lvl>
  </w:abstractNum>
  <w:abstractNum w:abstractNumId="132">
    <w:nsid w:val="BFFAE18"/>
    <w:multiLevelType w:val="hybridMultilevel"/>
    <w:lvl w:ilvl="0">
      <w:lvlJc w:val="left"/>
      <w:lvlText w:val="%1"/>
      <w:numFmt w:val="decimal"/>
      <w:start w:val="21"/>
    </w:lvl>
  </w:abstractNum>
  <w:abstractNum w:abstractNumId="133">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4">
    <w:nsid w:val="2E48F04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6"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03" Type="http://schemas.openxmlformats.org/officeDocument/2006/relationships/hyperlink" Target="http://www.sec.gov/Archives/edgar/data/318673/000109690617000214/exh3_1.pdf" TargetMode="External"/><Relationship Id="rId204" Type="http://schemas.openxmlformats.org/officeDocument/2006/relationships/hyperlink" Target="http://www.sec.gov/Archives/edgar/data/318673/000109690619000199/exh3_2.pdf" TargetMode="External"/><Relationship Id="rId205" Type="http://schemas.openxmlformats.org/officeDocument/2006/relationships/hyperlink" Target="http://www.sec.gov/Archives/edgar/data/318673/000109690616001835/exh10_4.htm" TargetMode="External"/><Relationship Id="rId206" Type="http://schemas.openxmlformats.org/officeDocument/2006/relationships/hyperlink" Target="http://www.sec.gov/Archives/edgar/data/318673/000109690614000752/snfcadef14a.htm" TargetMode="External"/><Relationship Id="rId207" Type="http://schemas.openxmlformats.org/officeDocument/2006/relationships/hyperlink" Target="http://www.sec.gov/Archives/edgar/data/318673/000109690615001153/exh108.htm" TargetMode="External"/><Relationship Id="rId208" Type="http://schemas.openxmlformats.org/officeDocument/2006/relationships/hyperlink" Target="http://www.sec.gov/Archives/edgar/data/318673/000109690618000639/exh10_9.htm" TargetMode="External"/><Relationship Id="rId209" Type="http://schemas.openxmlformats.org/officeDocument/2006/relationships/hyperlink" Target="http://www.sec.gov/Archives/edgar/data/318673/000109690619000084/exh10_1.htm" TargetMode="External"/><Relationship Id="rId210" Type="http://schemas.openxmlformats.org/officeDocument/2006/relationships/hyperlink" Target="http://www.sec.gov/Archives/edgar/data/318673/000109690619000367/exh10_2.htm" TargetMode="External"/><Relationship Id="rId211" Type="http://schemas.openxmlformats.org/officeDocument/2006/relationships/hyperlink" Target="http://www.sec.gov/Archives/edgar/data/318673/000109690619000199/exh14.htm" TargetMode="External"/><Relationship Id="rId212" Type="http://schemas.openxmlformats.org/officeDocument/2006/relationships/hyperlink" Target="http://www.sec.gov/Archives/edgar/data/318673/000109690620000092/exh99_1.htm" TargetMode="External"/><Relationship Id="rId215" Type="http://schemas.openxmlformats.org/officeDocument/2006/relationships/hyperlink" Target="file:///data/convert/snfca_ex21.htm" TargetMode="External"/><Relationship Id="rId217" Type="http://schemas.openxmlformats.org/officeDocument/2006/relationships/hyperlink" Target="http://www.sec.gov/Archives/edgar/data/318673/000109690616001895/exh23_1.htm" TargetMode="External"/><Relationship Id="rId218" Type="http://schemas.openxmlformats.org/officeDocument/2006/relationships/hyperlink" Target="http://www.sec.gov/Archives/edgar/data/318673/000109690616001895/exh5_1.htm" TargetMode="External"/><Relationship Id="rId219" Type="http://schemas.openxmlformats.org/officeDocument/2006/relationships/hyperlink" Target="file:///data/convert/snfca_ex31z1.htm" TargetMode="External"/><Relationship Id="rId220" Type="http://schemas.openxmlformats.org/officeDocument/2006/relationships/hyperlink" Target="file:///data/convert/snfca_ex31z2.htm" TargetMode="External"/><Relationship Id="rId221" Type="http://schemas.openxmlformats.org/officeDocument/2006/relationships/hyperlink" Target="file:///data/convert/snfca_ex32z1.htm" TargetMode="External"/><Relationship Id="rId222" Type="http://schemas.openxmlformats.org/officeDocument/2006/relationships/hyperlink" Target="file:///data/convert/snfca_ex32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2021-03-31T10:37:24Z</dcterms:created>
  <dcterms:modified xsi:type="dcterms:W3CDTF">2021-03-31T10:37:24Z</dcterms:modified>
</cp:coreProperties>
</file>