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263"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286"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760" w:type="dxa"/>
            <w:vAlign w:val="bottom"/>
          </w:tcPr>
          <w:p>
            <w:pPr>
              <w:spacing w:after="0"/>
              <w:rPr>
                <w:sz w:val="18"/>
                <w:szCs w:val="18"/>
                <w:color w:val="auto"/>
              </w:rPr>
            </w:pPr>
          </w:p>
        </w:tc>
        <w:tc>
          <w:tcPr>
            <w:tcW w:w="376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472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652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72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52"/>
        </w:trPr>
        <w:tc>
          <w:tcPr>
            <w:tcW w:w="652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472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652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72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760" w:type="dxa"/>
            <w:vAlign w:val="bottom"/>
          </w:tcPr>
          <w:p>
            <w:pPr>
              <w:spacing w:after="0"/>
              <w:rPr>
                <w:sz w:val="24"/>
                <w:szCs w:val="24"/>
                <w:color w:val="auto"/>
              </w:rPr>
            </w:pPr>
          </w:p>
        </w:tc>
        <w:tc>
          <w:tcPr>
            <w:tcW w:w="3560" w:type="dxa"/>
            <w:vAlign w:val="bottom"/>
            <w:gridSpan w:val="3"/>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6"/>
        </w:trPr>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32"/>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45"/>
        </w:trPr>
        <w:tc>
          <w:tcPr>
            <w:tcW w:w="27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76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7" w:lineRule="exact"/>
        <w:rPr>
          <w:sz w:val="24"/>
          <w:szCs w:val="24"/>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May 1, 2026, the registrant had 22,450,787 shares of Class A Common Stock, $2.00 par value, outstanding and 3,587,099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0" w:type="dxa"/>
            <w:vAlign w:val="bottom"/>
            <w:gridSpan w:val="28"/>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SECURITY NATIONAL FINANCIAL CORPORATION AND SUBSIDIARIES</w:t>
            </w:r>
          </w:p>
        </w:tc>
        <w:tc>
          <w:tcPr>
            <w:tcW w:w="980" w:type="dxa"/>
            <w:vAlign w:val="bottom"/>
          </w:tcPr>
          <w:p>
            <w:pPr>
              <w:spacing w:after="0"/>
              <w:rPr>
                <w:sz w:val="18"/>
                <w:szCs w:val="18"/>
                <w:color w:val="auto"/>
              </w:rPr>
            </w:pPr>
          </w:p>
        </w:tc>
      </w:tr>
      <w:tr>
        <w:trPr>
          <w:trHeight w:val="238"/>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80" w:type="dxa"/>
            <w:vAlign w:val="bottom"/>
            <w:gridSpan w:val="10"/>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gridSpan w:val="14"/>
          </w:tcPr>
          <w:p>
            <w:pPr>
              <w:jc w:val="center"/>
              <w:ind w:right="3140"/>
              <w:spacing w:after="0"/>
              <w:rPr>
                <w:sz w:val="20"/>
                <w:szCs w:val="20"/>
                <w:color w:val="auto"/>
              </w:rPr>
            </w:pPr>
            <w:r>
              <w:rPr>
                <w:rFonts w:ascii="Times New Roman" w:cs="Times New Roman" w:eastAsia="Times New Roman" w:hAnsi="Times New Roman"/>
                <w:sz w:val="18"/>
                <w:szCs w:val="18"/>
                <w:color w:val="auto"/>
                <w:w w:val="99"/>
              </w:rPr>
              <w:t>QUARTER ENDED MARCH 31, 2026</w:t>
            </w:r>
          </w:p>
        </w:tc>
        <w:tc>
          <w:tcPr>
            <w:tcW w:w="9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10"/>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4"/>
                <w:szCs w:val="24"/>
                <w:color w:val="auto"/>
              </w:rPr>
            </w:pPr>
          </w:p>
        </w:tc>
      </w:tr>
      <w:tr>
        <w:trPr>
          <w:trHeight w:val="445"/>
        </w:trPr>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84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7100" w:type="dxa"/>
            <w:vAlign w:val="bottom"/>
            <w:tcBorders>
              <w:bottom w:val="single" w:sz="8" w:color="CCEEFF"/>
            </w:tcBorders>
            <w:gridSpan w:val="20"/>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 (at March 31, 2026 and December 31, 2025 and for the Three Months Ended March 31, 2026</w:t>
            </w:r>
          </w:p>
        </w:tc>
        <w:tc>
          <w:tcPr>
            <w:tcW w:w="98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918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6480" w:type="dxa"/>
            <w:vAlign w:val="bottom"/>
            <w:tcBorders>
              <w:bottom w:val="single" w:sz="8" w:color="CCEEFF"/>
            </w:tcBorders>
            <w:gridSpan w:val="1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840" w:type="dxa"/>
            <w:vAlign w:val="bottom"/>
            <w:tcBorders>
              <w:top w:val="single" w:sz="8" w:color="CCEEFF"/>
            </w:tcBorders>
          </w:tcPr>
          <w:p>
            <w:pPr>
              <w:spacing w:after="0"/>
              <w:rPr>
                <w:sz w:val="15"/>
                <w:szCs w:val="15"/>
                <w:color w:val="auto"/>
              </w:rPr>
            </w:pPr>
          </w:p>
        </w:tc>
        <w:tc>
          <w:tcPr>
            <w:tcW w:w="458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4840" w:type="dxa"/>
            <w:vAlign w:val="bottom"/>
            <w:tcBorders>
              <w:top w:val="single" w:sz="8" w:color="CCEEFF"/>
            </w:tcBorders>
            <w:gridSpan w:val="6"/>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700" w:type="dxa"/>
            <w:vAlign w:val="bottom"/>
            <w:tcBorders>
              <w:bottom w:val="single" w:sz="8" w:color="CCEEFF"/>
            </w:tcBorders>
            <w:gridSpan w:val="1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1 - Basis of Presentation and Recent Accounting Pronouncements</w:t>
            </w:r>
          </w:p>
        </w:tc>
        <w:tc>
          <w:tcPr>
            <w:tcW w:w="428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2 - Investments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3 - Loans Held for Sale</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840" w:type="dxa"/>
            <w:vAlign w:val="bottom"/>
            <w:tcBorders>
              <w:top w:val="single" w:sz="8" w:color="CCEEFF"/>
            </w:tcBorders>
          </w:tcPr>
          <w:p>
            <w:pPr>
              <w:spacing w:after="0"/>
              <w:rPr>
                <w:sz w:val="15"/>
                <w:szCs w:val="15"/>
                <w:color w:val="auto"/>
              </w:rPr>
            </w:pPr>
          </w:p>
        </w:tc>
        <w:tc>
          <w:tcPr>
            <w:tcW w:w="20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Note 4 - Receivables</w:t>
            </w:r>
          </w:p>
        </w:tc>
        <w:tc>
          <w:tcPr>
            <w:tcW w:w="7340" w:type="dxa"/>
            <w:vAlign w:val="bottom"/>
            <w:tcBorders>
              <w:top w:val="single" w:sz="8" w:color="CCEEFF"/>
            </w:tcBorders>
            <w:gridSpan w:val="24"/>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5 - Restricted Assets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6 - Cemetery Perpetual Care Trust Investments and Obligation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7 - Mortgage Servicing Rights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8 - Deferred Policy and Pre-need Contract Acquisition Costs, Value of Business Acquired and Unearned Premium Reserve</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9 - Derivative Instruments</w:t>
            </w:r>
          </w:p>
        </w:tc>
        <w:tc>
          <w:tcPr>
            <w:tcW w:w="7120" w:type="dxa"/>
            <w:vAlign w:val="bottom"/>
            <w:tcBorders>
              <w:bottom w:val="single" w:sz="8" w:color="CCEEFF"/>
            </w:tcBorders>
            <w:gridSpan w:val="21"/>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10 - Future Policy Benefits and Unpaid Claims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11 - Policyholder Account Balances</w:t>
            </w:r>
          </w:p>
        </w:tc>
        <w:tc>
          <w:tcPr>
            <w:tcW w:w="6420" w:type="dxa"/>
            <w:vAlign w:val="bottom"/>
            <w:tcBorders>
              <w:bottom w:val="single" w:sz="8" w:color="CCEEFF"/>
            </w:tcBorders>
            <w:gridSpan w:val="1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12 - Reinsurance</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Note 13 - Income Taxes</w:t>
            </w:r>
          </w:p>
        </w:tc>
        <w:tc>
          <w:tcPr>
            <w:tcW w:w="7680" w:type="dxa"/>
            <w:vAlign w:val="bottom"/>
            <w:tcBorders>
              <w:bottom w:val="single" w:sz="8" w:color="CCEEFF"/>
            </w:tcBorders>
            <w:gridSpan w:val="2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14 - Equity</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15 - Earnings Per Share</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16 - Business Segment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Note 17 - Fair Value of Financial Instruments</w:t>
            </w:r>
          </w:p>
        </w:tc>
        <w:tc>
          <w:tcPr>
            <w:tcW w:w="6140" w:type="dxa"/>
            <w:vAlign w:val="bottom"/>
            <w:tcBorders>
              <w:bottom w:val="single" w:sz="8" w:color="CCEEFF"/>
            </w:tcBorders>
            <w:gridSpan w:val="1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840" w:type="dxa"/>
            <w:vAlign w:val="bottom"/>
          </w:tcPr>
          <w:p>
            <w:pPr>
              <w:spacing w:after="0"/>
              <w:rPr>
                <w:sz w:val="15"/>
                <w:szCs w:val="15"/>
                <w:color w:val="auto"/>
              </w:rPr>
            </w:pP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Note 18 - Stock Compensation Plans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19 - Commitments and Contingencies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00" w:type="dxa"/>
            <w:vAlign w:val="bottom"/>
            <w:tcBorders>
              <w:bottom w:val="single" w:sz="8" w:color="CCEEFF"/>
            </w:tcBorders>
            <w:gridSpan w:val="9"/>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80" w:type="dxa"/>
            <w:vAlign w:val="bottom"/>
            <w:shd w:val="clear" w:color="auto" w:fill="CCEEFF"/>
          </w:tcPr>
          <w:p>
            <w:pPr>
              <w:spacing w:after="0"/>
              <w:rPr>
                <w:sz w:val="17"/>
                <w:szCs w:val="17"/>
                <w:color w:val="auto"/>
              </w:rPr>
            </w:pP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1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300" w:type="dxa"/>
            <w:vAlign w:val="bottom"/>
            <w:tcBorders>
              <w:top w:val="single" w:sz="8" w:color="CCEEFF"/>
            </w:tcBorders>
            <w:gridSpan w:val="22"/>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100" w:type="dxa"/>
            <w:vAlign w:val="bottom"/>
            <w:tcBorders>
              <w:top w:val="single" w:sz="8" w:color="CCEEFF"/>
            </w:tcBorders>
            <w:gridSpan w:val="20"/>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100" w:type="dxa"/>
            <w:vAlign w:val="bottom"/>
            <w:tcBorders>
              <w:bottom w:val="single" w:sz="8" w:color="CCEEFF"/>
            </w:tcBorders>
            <w:gridSpan w:val="31"/>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42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432"/>
        </w:trPr>
        <w:tc>
          <w:tcPr>
            <w:tcW w:w="8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140" w:type="dxa"/>
            <w:vAlign w:val="bottom"/>
            <w:tcBorders>
              <w:top w:val="single" w:sz="8" w:color="CCEEFF"/>
              <w:bottom w:val="single" w:sz="8" w:color="auto"/>
            </w:tcBorders>
            <w:gridSpan w:val="29"/>
          </w:tcPr>
          <w:p>
            <w:pPr>
              <w:jc w:val="center"/>
              <w:ind w:left="381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4"/>
          </w:tcPr>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6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$371,602,158 and $382,401,293 for 2026 and 2025, respectively; net of allowance for credit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of $675,997 and $579,450 for 2026 and 2025, respectively)</w:t>
            </w: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367,565,925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382,777,918</w:t>
            </w:r>
          </w:p>
        </w:tc>
      </w:tr>
      <w:tr>
        <w:trPr>
          <w:trHeight w:val="198"/>
        </w:trPr>
        <w:tc>
          <w:tcPr>
            <w:tcW w:w="76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$12,477,275 and $12,206,559 for 2026 and</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18,346,314</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18,050,062</w:t>
            </w:r>
          </w:p>
        </w:tc>
      </w:tr>
      <w:tr>
        <w:trPr>
          <w:trHeight w:val="198"/>
        </w:trPr>
        <w:tc>
          <w:tcPr>
            <w:tcW w:w="76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$2,553,360 and</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$2,588,918 for 2026 and 2025, respectively)</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305,268,440</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322,435,385</w:t>
            </w:r>
          </w:p>
        </w:tc>
      </w:tr>
      <w:tr>
        <w:trPr>
          <w:trHeight w:val="198"/>
        </w:trPr>
        <w:tc>
          <w:tcPr>
            <w:tcW w:w="76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$38,595,436 and</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$37,159,212 for 2026 and 2025, respectively)</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234,345,333</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214,897,130</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6,388,376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6,424,027</w:t>
            </w:r>
          </w:p>
        </w:tc>
      </w:tr>
      <w:tr>
        <w:trPr>
          <w:trHeight w:val="198"/>
        </w:trPr>
        <w:tc>
          <w:tcPr>
            <w:tcW w:w="76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 of $1,518,047 and</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$1,676,468 for 2026 and 2025, respectively)</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83,502,066</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85,223,293</w:t>
            </w: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9,596,277</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9,054,645</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1,025,012,731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1,038,862,460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150,120,283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102,256,828</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137,607,689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155,968,266</w:t>
            </w: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$1,523,072 and $1,428,672</w:t>
            </w:r>
          </w:p>
        </w:tc>
        <w:tc>
          <w:tcPr>
            <w:tcW w:w="2040" w:type="dxa"/>
            <w:vAlign w:val="bottom"/>
            <w:gridSpan w:val="3"/>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for 2026 and 2025,</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16,202,589</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15,611,074</w:t>
            </w: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$16,832,910 and $16,106,168 for 2026 and 2025</w:t>
            </w:r>
          </w:p>
        </w:tc>
        <w:tc>
          <w:tcPr>
            <w:tcW w:w="2040" w:type="dxa"/>
            <w:vAlign w:val="bottom"/>
            <w:gridSpan w:val="3"/>
            <w:shd w:val="clear" w:color="auto" w:fill="CCEEFF"/>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respectively, at</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29,953,633</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28,805,946</w:t>
            </w:r>
          </w:p>
        </w:tc>
      </w:tr>
      <w:tr>
        <w:trPr>
          <w:trHeight w:val="198"/>
        </w:trPr>
        <w:tc>
          <w:tcPr>
            <w:tcW w:w="76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$6,787,546 and $6,575,744 for 2026 and</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 respectively, at estimated fair value)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10,026,606</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9,871,947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13,460,840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13,655,373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11,333,039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11,299,283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2,460,261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2,528,459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17,890,401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18,211,717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137,601,837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135,978,803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6,995,363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7,109,186</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16,864,886</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16,431,479</w:t>
            </w:r>
          </w:p>
        </w:tc>
      </w:tr>
      <w:tr>
        <w:trPr>
          <w:trHeight w:val="209"/>
        </w:trPr>
        <w:tc>
          <w:tcPr>
            <w:tcW w:w="55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1,580,783,941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1,561,844,604</w:t>
            </w:r>
          </w:p>
        </w:tc>
      </w:tr>
      <w:tr>
        <w:trPr>
          <w:trHeight w:val="20"/>
        </w:trPr>
        <w:tc>
          <w:tcPr>
            <w:tcW w:w="7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451"/>
              <w:spacing w:after="0"/>
              <w:rPr>
                <w:sz w:val="20"/>
                <w:szCs w:val="20"/>
                <w:color w:val="auto"/>
              </w:rPr>
            </w:pPr>
            <w:r>
              <w:rPr>
                <w:rFonts w:ascii="Times New Roman" w:cs="Times New Roman" w:eastAsia="Times New Roman" w:hAnsi="Times New Roman"/>
                <w:sz w:val="17"/>
                <w:szCs w:val="17"/>
                <w:color w:val="auto"/>
                <w:w w:val="70"/>
              </w:rPr>
              <w:t>3</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790,945,507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799,706,946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138,842,575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140,605,750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1,777,365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1,824,796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108,760,032</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98,387,919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pre-need funeral home and cemetery contract revenues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23,487,532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22,991,603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5,998,538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5,918,776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4,070,711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4,150,119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51,291,373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51,969,405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30,094,798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25,920,562</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1,155,268,431</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1,151,475,876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22,432,763 shares issued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 as of March 31, 2026 and 22,428,625 shares issued and outstanding as of</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44,865,526</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44,857,250</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 issued or</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 3,587,237</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as of March 31, 2026 and 3,587,237 shares issued and outstanding as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2025</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7,174,474</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7,174,474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90,395,465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89,867,763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 net of taxes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36,836,062</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28,762,123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255,796,901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248,795,475</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- 1,137,578 Class A shares and 104,604 Class C shares  as of March 31,</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2026; and 1,095,964 Class A shares and 104,604 Class C shares as of December 31, 2025</w:t>
            </w:r>
          </w:p>
        </w:tc>
        <w:tc>
          <w:tcPr>
            <w:tcW w:w="180" w:type="dxa"/>
            <w:vAlign w:val="bottom"/>
          </w:tcPr>
          <w:p>
            <w:pPr>
              <w:spacing w:after="0"/>
              <w:rPr>
                <w:sz w:val="21"/>
                <w:szCs w:val="21"/>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(9,552,918)</w:t>
            </w:r>
          </w:p>
        </w:tc>
        <w:tc>
          <w:tcPr>
            <w:tcW w:w="10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(9,088,357)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425,515,510</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410,368,728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1,580,783,941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1,561,844,604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28,855,254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29,779,525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23,489,659</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24,809,241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18,501,348</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19,202,624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funeral home and cemetery sales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7,733,823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7,300,221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350,748</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586,021</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797,948</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1,062,091</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79,728,780</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82,739,723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Policyholder benefits and claims (including the impact of assumption updates to the liability for</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of nil and nil for March 31, 2026 and 2025, respectively)</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24,539,397</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25,455,174</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2,979,318</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2,796,999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8,793,860</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10,438,381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20,601,636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22,182,408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737,063</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823,945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822,277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988,611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580,090</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615,135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1,673,977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1,415,252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7,719,196</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7,400,687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996,199</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1,119,528</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sold-funeral home and cemetery</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1,233,449</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1,253,270</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70,676,462</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74,489,390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9,052,318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8,250,333</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(2,050,892)</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(1,836,598)</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7,001,426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6,413,735</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4"/>
                <w:szCs w:val="24"/>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share-assuming dilution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 (1)</w:t>
            </w:r>
          </w:p>
        </w:tc>
        <w:tc>
          <w:tcPr>
            <w:tcW w:w="3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24,818,596</w:t>
            </w:r>
          </w:p>
        </w:tc>
        <w:tc>
          <w:tcPr>
            <w:tcW w:w="38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24,699,405</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outstanding-assuming dilution (1)</w:t>
            </w:r>
          </w:p>
        </w:tc>
        <w:tc>
          <w:tcPr>
            <w:tcW w:w="3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25,540,657</w:t>
            </w:r>
          </w:p>
        </w:tc>
        <w:tc>
          <w:tcPr>
            <w:tcW w:w="3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25,691,647</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80" w:hanging="209"/>
        <w:spacing w:after="0" w:line="266" w:lineRule="auto"/>
        <w:rPr>
          <w:sz w:val="20"/>
          <w:szCs w:val="20"/>
          <w:color w:val="auto"/>
        </w:rPr>
      </w:pPr>
      <w:r>
        <w:rPr>
          <w:rFonts w:ascii="Times New Roman" w:cs="Times New Roman" w:eastAsia="Times New Roman" w:hAnsi="Times New Roman"/>
          <w:sz w:val="18"/>
          <w:szCs w:val="18"/>
          <w:color w:val="auto"/>
        </w:rPr>
        <w:t>(1)Net earnings per share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7,001,426</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6,413,735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(4,316,311)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3,861,257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(3,257)</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cemetery perpetual care trust investments (1)</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14,536,081</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(8,122,845)</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10,216,794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(4,254,485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(2,142,855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8,073,939</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(3,362,137</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15,075,365</w:t>
            </w:r>
          </w:p>
        </w:tc>
        <w:tc>
          <w:tcPr>
            <w:tcW w:w="320" w:type="dxa"/>
            <w:vAlign w:val="bottom"/>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3,051,598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2"/>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7"/>
              </w:rPr>
              <w:t>Class C</w:t>
            </w:r>
          </w:p>
        </w:tc>
        <w:tc>
          <w:tcPr>
            <w:tcW w:w="2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Additional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2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Paid-in</w:t>
            </w:r>
          </w:p>
        </w:tc>
        <w:tc>
          <w:tcPr>
            <w:tcW w:w="1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Comprehensive</w:t>
            </w:r>
          </w:p>
        </w:tc>
        <w:tc>
          <w:tcPr>
            <w:tcW w:w="20" w:type="dxa"/>
            <w:vAlign w:val="bottom"/>
          </w:tcPr>
          <w:p>
            <w:pPr>
              <w:spacing w:after="0"/>
              <w:rPr>
                <w:sz w:val="18"/>
                <w:szCs w:val="18"/>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color w:val="auto"/>
                <w:w w:val="96"/>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20" w:type="dxa"/>
            <w:vAlign w:val="bottom"/>
          </w:tcPr>
          <w:p>
            <w:pPr>
              <w:spacing w:after="0"/>
              <w:rPr>
                <w:sz w:val="20"/>
                <w:szCs w:val="20"/>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 (Loss)</w:t>
            </w:r>
          </w:p>
        </w:tc>
        <w:tc>
          <w:tcPr>
            <w:tcW w:w="20" w:type="dxa"/>
            <w:vAlign w:val="bottom"/>
          </w:tcPr>
          <w:p>
            <w:pPr>
              <w:spacing w:after="0"/>
              <w:rPr>
                <w:sz w:val="20"/>
                <w:szCs w:val="20"/>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9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$44,857,250</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$ 7,174,474</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$89,867,763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28,762,123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$ 248,795,475</w:t>
            </w: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(9,088,357)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$ 410,368,728</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7,001,426</w:t>
            </w:r>
          </w:p>
        </w:tc>
        <w:tc>
          <w:tcPr>
            <w:tcW w:w="1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7,001,426</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8,073,939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8,073,939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469,131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469,131</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6,174</w:t>
            </w:r>
          </w:p>
        </w:tc>
        <w:tc>
          <w:tcPr>
            <w:tcW w:w="2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(6,174)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381,165</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color w:val="auto"/>
              </w:rPr>
              <w:t>(785,521)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(785,521)</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44,865,526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$ 7,174,474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90,395,465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36,836,062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255,796,901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(9,552,918</w:t>
            </w:r>
          </w:p>
        </w:tc>
        <w:tc>
          <w:tcPr>
            <w:tcW w:w="260" w:type="dxa"/>
            <w:vAlign w:val="bottom"/>
            <w:tcBorders>
              <w:top w:val="single" w:sz="8" w:color="CCEEFF"/>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425,515,510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2"/>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Class A</w:t>
            </w:r>
          </w:p>
        </w:tc>
        <w:tc>
          <w:tcPr>
            <w:tcW w:w="2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Class C</w:t>
            </w:r>
          </w:p>
        </w:tc>
        <w:tc>
          <w:tcPr>
            <w:tcW w:w="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Additional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Paid-in</w:t>
            </w:r>
          </w:p>
        </w:tc>
        <w:tc>
          <w:tcPr>
            <w:tcW w:w="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Comprehensive</w:t>
            </w:r>
          </w:p>
        </w:tc>
        <w:tc>
          <w:tcPr>
            <w:tcW w:w="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Stock</w:t>
            </w:r>
          </w:p>
        </w:tc>
        <w:tc>
          <w:tcPr>
            <w:tcW w:w="2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Stock</w:t>
            </w:r>
          </w:p>
        </w:tc>
        <w:tc>
          <w:tcPr>
            <w:tcW w:w="2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2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 (Loss)</w:t>
            </w:r>
          </w:p>
        </w:tc>
        <w:tc>
          <w:tcPr>
            <w:tcW w:w="20" w:type="dxa"/>
            <w:vAlign w:val="bottom"/>
          </w:tcPr>
          <w:p>
            <w:pPr>
              <w:spacing w:after="0"/>
              <w:rPr>
                <w:sz w:val="20"/>
                <w:szCs w:val="20"/>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$42,510,012</w:t>
            </w:r>
          </w:p>
        </w:tc>
        <w:tc>
          <w:tcPr>
            <w:tcW w:w="10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$ 6,643,666</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$79,698,367</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33,719,629</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$ 227,804,439</w:t>
            </w:r>
          </w:p>
        </w:tc>
        <w:tc>
          <w:tcPr>
            <w:tcW w:w="12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(8,477,686)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$ 381,898,427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6,413,735</w:t>
            </w:r>
          </w:p>
        </w:tc>
        <w:tc>
          <w:tcPr>
            <w:tcW w:w="12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6,413,735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(3,362,137)</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(3,362,137)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309,260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309,260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132,546</w:t>
            </w:r>
          </w:p>
        </w:tc>
        <w:tc>
          <w:tcPr>
            <w:tcW w:w="10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190,674</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(149,009)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81,246</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920</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90,895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136,367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227,262</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(242,265)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(242,265)</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42,643,478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$ 6,834,340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80,004,637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30,357,492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234,218,174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(8,732,593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385,325,528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32,939,808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9,585,902</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(13,789,720)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(28,292,634)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24,701,046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26,374,371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(1,173,461)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(1,114,187)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912,747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1,085,712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(2,086,944)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(933,673)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1,234,336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96,874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(235,488)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153,025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859,715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(180,161,316)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(217,905,832)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 loans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198,643,862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198,431,585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(189,702)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(31,470,405)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(16,643,207)</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11,172,949</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9,241,645</w:t>
            </w: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7,710,929</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(29,266,526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deposits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2,539,604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3,065,288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withdrawals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(4,707,568)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(4,097,396)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6,642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81,246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(785,521)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(525,837)</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(504,009)</w:t>
            </w: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10,806,644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16,567,385</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7,333,964</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14,870,249</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47,984,701</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(4,810,375)</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114,112,108</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150,102,620</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162,096,809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145,292,245</w:t>
            </w: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986,881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1,098,086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19,680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381,165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227,262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191,212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436,109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71,441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fixed maturity securities available for sale to other investments</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1,185,603</w:t>
            </w:r>
          </w:p>
        </w:tc>
      </w:tr>
      <w:tr>
        <w:trPr>
          <w:trHeight w:val="414"/>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are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150,120,283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10,659,181</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11,455,091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1,317,345</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891,086</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162,096,809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145,292,245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2025, included in the Company’s Annual Report on Form 10-K (File Number 000-09341). In the opinion of management, all adjustments (consisting of normal recurring accruals) considered necessary for a fair presentation have been included. Operating results for the three-month periods ended March 31, 2026, are not necessarily indicative of the results that may be expected for the year ending December 31, 2026.</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current-period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Recent Accounting Pronouncements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Standards Adopted in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On December 31, 2025, the Company adopted ASU No. 2018-12, using the modified retrospective approach, for changes to the liability for future policy benefits and deferred policy acquisition costs. The Company applied the guidance as of a transition date of January 1, 2024, and retrospectively adjusted prior period amounts to reflect the new guidance. The Company’s condensed consolidated financial statements are presented under the new guidance for reporting periods beginning January 1, 2024.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adoption, cash flow assumptions, such as mortality, lapse, and expense, will be reviewed at least annually and, if necessary, they will be updated to reflect actual experience and current expectations in the calculation of the Company’s future policy benefits. Historically, cash flow assumptions were locked in at policy issuance and remained in place for the life of the business—even when material variances emerged between assumptions and actual experience—except in the case of a premium deficiency. Under the new guidance, net premiums are capped at 100 percent of gross premiums at the cohort level. Adoption of this standard also requires changes in the future treatment of the Company’s Deferred Acquisition Cost (“DAC”) asset.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interest rate used to calculate the Company’s future policy benefits was set at policy issuance and remained in effect for the life of the policy. The Company used an expected investment portfolio rate of return based on a conservative experience assumption. The new guidance seeks to improve reporting on the financial impact associated with interest rate sensitivity. To accomplish this, future policy benefits are calculated using a discount rate based on an upper-medium-grade (A-rated) fixed income instrument.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future policy benefit for each cohort is calculated using the original discount rate and then remeasured using the current discount rate curve. The original rate is used to determine interest accretion on the liability—which is included in net earnings—as well as to calculate the net premiums in both scenarios. The impact of remeasurement, from the original locked-in discount rate to the current rate, is reported as a component of the Company’s AOCI. This original discount rate is locked in at the cohort’s inception or at the Transition Date and will continue to be used in determining the impact on future net earnings associated with that contract.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DAC is used by insurance companies to defer costs related to acquiring insurance policies. Under the new guidance, amortization methods are simplified, and DAC for all insurance contracts will be subject to constant-level basis amortization over the lifetime of the policy. Historically, traditional life contracts were amortized in proportion to premiums over the expected premium-paying period. Additionally, shadow DAC is no longer reported.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requirements of the new guidance did not impact capital and surplus or net income under statutory accounting practices, cash flows on the Company’s policies, or the underlying economics of the Company’s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Recent Accounting Pronouncements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amounts as previously reported in 2025, the effect upon those amounts from the adoption of the new guidance under ASU No. 2018-12, and the resulting adjusted amounts that are reflected in the condensed consolidated financial statements included herein. The following tables only include those line items impacted by the adoption of the new guidance.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tc>
        <w:tc>
          <w:tcPr>
            <w:tcW w:w="180" w:type="dxa"/>
            <w:vAlign w:val="bottom"/>
          </w:tcPr>
          <w:p>
            <w:pPr>
              <w:spacing w:after="0"/>
              <w:rPr>
                <w:sz w:val="20"/>
                <w:szCs w:val="20"/>
                <w:color w:val="auto"/>
              </w:rPr>
            </w:pPr>
          </w:p>
        </w:tc>
        <w:tc>
          <w:tcPr>
            <w:tcW w:w="3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1"/>
        </w:trPr>
        <w:tc>
          <w:tcPr>
            <w:tcW w:w="28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rPr>
              <w:t>As Previously</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7"/>
              </w:rPr>
              <w:t>Effect of</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As Currently</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Reported</w:t>
            </w:r>
          </w:p>
        </w:tc>
        <w:tc>
          <w:tcPr>
            <w:tcW w:w="28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Change</w:t>
            </w:r>
          </w:p>
        </w:tc>
        <w:tc>
          <w:tcPr>
            <w:tcW w:w="2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Reported</w:t>
            </w:r>
          </w:p>
        </w:tc>
        <w:tc>
          <w:tcPr>
            <w:tcW w:w="1140" w:type="dxa"/>
            <w:vAlign w:val="bottom"/>
          </w:tcPr>
          <w:p>
            <w:pPr>
              <w:spacing w:after="0"/>
              <w:rPr>
                <w:sz w:val="20"/>
                <w:szCs w:val="20"/>
                <w:color w:val="auto"/>
              </w:rPr>
            </w:pPr>
          </w:p>
        </w:tc>
      </w:tr>
      <w:tr>
        <w:trPr>
          <w:trHeight w:val="210"/>
        </w:trPr>
        <w:tc>
          <w:tcPr>
            <w:tcW w:w="48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26,235,077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(779,903)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25,455,174</w:t>
            </w:r>
          </w:p>
        </w:tc>
        <w:tc>
          <w:tcPr>
            <w:tcW w:w="1140" w:type="dxa"/>
            <w:vAlign w:val="bottom"/>
          </w:tcPr>
          <w:p>
            <w:pPr>
              <w:spacing w:after="0"/>
              <w:rPr>
                <w:sz w:val="18"/>
                <w:szCs w:val="18"/>
                <w:color w:val="auto"/>
              </w:rPr>
            </w:pPr>
          </w:p>
        </w:tc>
      </w:tr>
      <w:tr>
        <w:trPr>
          <w:trHeight w:val="198"/>
        </w:trPr>
        <w:tc>
          <w:tcPr>
            <w:tcW w:w="48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value of business acquired</w:t>
            </w: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4,696,535</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(1,899,536)</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2,796,999</w:t>
            </w:r>
          </w:p>
        </w:tc>
        <w:tc>
          <w:tcPr>
            <w:tcW w:w="1140" w:type="dxa"/>
            <w:vAlign w:val="bottom"/>
          </w:tcPr>
          <w:p>
            <w:pPr>
              <w:spacing w:after="0"/>
              <w:rPr>
                <w:sz w:val="20"/>
                <w:szCs w:val="20"/>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77,168,829</w:t>
            </w:r>
          </w:p>
        </w:tc>
        <w:tc>
          <w:tcPr>
            <w:tcW w:w="2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(2,679,439)</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74,489,390</w:t>
            </w:r>
          </w:p>
        </w:tc>
        <w:tc>
          <w:tcPr>
            <w:tcW w:w="11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5,570,894</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2,679,439</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8,250,333</w:t>
            </w:r>
          </w:p>
        </w:tc>
        <w:tc>
          <w:tcPr>
            <w:tcW w:w="1140" w:type="dxa"/>
            <w:vAlign w:val="bottom"/>
          </w:tcPr>
          <w:p>
            <w:pPr>
              <w:spacing w:after="0"/>
              <w:rPr>
                <w:sz w:val="18"/>
                <w:szCs w:val="18"/>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(1,232,602)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(603,996)</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(1,836,598)</w:t>
            </w: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4,338,292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2,075,443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6,413,735</w:t>
            </w:r>
          </w:p>
        </w:tc>
        <w:tc>
          <w:tcPr>
            <w:tcW w:w="11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per Class A equivalent common share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1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48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earnings per Class A equivalent common share - assuming</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dilution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0.25</w:t>
            </w:r>
          </w:p>
        </w:tc>
        <w:tc>
          <w:tcPr>
            <w:tcW w:w="1140" w:type="dxa"/>
            <w:vAlign w:val="bottom"/>
          </w:tcPr>
          <w:p>
            <w:pPr>
              <w:spacing w:after="0"/>
              <w:rPr>
                <w:sz w:val="20"/>
                <w:szCs w:val="20"/>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2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4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4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180" w:type="dxa"/>
            <w:vAlign w:val="bottom"/>
          </w:tcPr>
          <w:p>
            <w:pPr>
              <w:spacing w:after="0"/>
              <w:rPr>
                <w:sz w:val="24"/>
                <w:szCs w:val="24"/>
                <w:color w:val="auto"/>
              </w:rPr>
            </w:pPr>
          </w:p>
        </w:tc>
        <w:tc>
          <w:tcPr>
            <w:tcW w:w="3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28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rPr>
              <w:t>As Previously</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7"/>
              </w:rPr>
              <w:t>Effect of</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As Currently</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Reported</w:t>
            </w:r>
          </w:p>
        </w:tc>
        <w:tc>
          <w:tcPr>
            <w:tcW w:w="28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Change</w:t>
            </w:r>
          </w:p>
        </w:tc>
        <w:tc>
          <w:tcPr>
            <w:tcW w:w="2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Reported</w:t>
            </w:r>
          </w:p>
        </w:tc>
        <w:tc>
          <w:tcPr>
            <w:tcW w:w="1140" w:type="dxa"/>
            <w:vAlign w:val="bottom"/>
          </w:tcPr>
          <w:p>
            <w:pPr>
              <w:spacing w:after="0"/>
              <w:rPr>
                <w:sz w:val="20"/>
                <w:szCs w:val="20"/>
                <w:color w:val="auto"/>
              </w:rPr>
            </w:pPr>
          </w:p>
        </w:tc>
      </w:tr>
      <w:tr>
        <w:trPr>
          <w:trHeight w:val="210"/>
        </w:trPr>
        <w:tc>
          <w:tcPr>
            <w:tcW w:w="48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4,338,292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2,075,443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6,413,735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48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fixed maturity securities available for</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3,788,729</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72,528</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3,861,257</w:t>
            </w:r>
          </w:p>
        </w:tc>
        <w:tc>
          <w:tcPr>
            <w:tcW w:w="1140" w:type="dxa"/>
            <w:vAlign w:val="bottom"/>
          </w:tcPr>
          <w:p>
            <w:pPr>
              <w:spacing w:after="0"/>
              <w:rPr>
                <w:sz w:val="20"/>
                <w:szCs w:val="20"/>
                <w:color w:val="auto"/>
              </w:rPr>
            </w:pPr>
          </w:p>
        </w:tc>
      </w:tr>
      <w:tr>
        <w:trPr>
          <w:trHeight w:val="216"/>
        </w:trPr>
        <w:tc>
          <w:tcPr>
            <w:tcW w:w="4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(8,122,845)</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(8,122,845)</w:t>
            </w:r>
          </w:p>
        </w:tc>
        <w:tc>
          <w:tcPr>
            <w:tcW w:w="1140" w:type="dxa"/>
            <w:vAlign w:val="bottom"/>
          </w:tcPr>
          <w:p>
            <w:pPr>
              <w:spacing w:after="0"/>
              <w:rPr>
                <w:sz w:val="18"/>
                <w:szCs w:val="18"/>
                <w:color w:val="auto"/>
              </w:rPr>
            </w:pPr>
          </w:p>
        </w:tc>
      </w:tr>
      <w:tr>
        <w:trPr>
          <w:trHeight w:val="216"/>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3,795,832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(8,050,317)</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(4,254,485)</w:t>
            </w:r>
          </w:p>
        </w:tc>
        <w:tc>
          <w:tcPr>
            <w:tcW w:w="1140" w:type="dxa"/>
            <w:vAlign w:val="bottom"/>
          </w:tcPr>
          <w:p>
            <w:pPr>
              <w:spacing w:after="0"/>
              <w:rPr>
                <w:sz w:val="18"/>
                <w:szCs w:val="18"/>
                <w:color w:val="auto"/>
              </w:rPr>
            </w:pPr>
          </w:p>
        </w:tc>
      </w:tr>
      <w:tr>
        <w:trPr>
          <w:trHeight w:val="216"/>
        </w:trPr>
        <w:tc>
          <w:tcPr>
            <w:tcW w:w="4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(798,220)</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1,690,568</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892,348</w:t>
            </w:r>
          </w:p>
        </w:tc>
        <w:tc>
          <w:tcPr>
            <w:tcW w:w="1140" w:type="dxa"/>
            <w:vAlign w:val="bottom"/>
          </w:tcPr>
          <w:p>
            <w:pPr>
              <w:spacing w:after="0"/>
              <w:rPr>
                <w:sz w:val="18"/>
                <w:szCs w:val="18"/>
                <w:color w:val="auto"/>
              </w:rPr>
            </w:pPr>
          </w:p>
        </w:tc>
      </w:tr>
      <w:tr>
        <w:trPr>
          <w:trHeight w:val="216"/>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2,997,612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(6,359,749)</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(3,362,137)</w:t>
            </w:r>
          </w:p>
        </w:tc>
        <w:tc>
          <w:tcPr>
            <w:tcW w:w="1140" w:type="dxa"/>
            <w:vAlign w:val="bottom"/>
          </w:tcPr>
          <w:p>
            <w:pPr>
              <w:spacing w:after="0"/>
              <w:rPr>
                <w:sz w:val="18"/>
                <w:szCs w:val="18"/>
                <w:color w:val="auto"/>
              </w:rPr>
            </w:pPr>
          </w:p>
        </w:tc>
      </w:t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7,335,904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(4,284,306)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3,051,598</w:t>
            </w:r>
          </w:p>
        </w:tc>
        <w:tc>
          <w:tcPr>
            <w:tcW w:w="1140" w:type="dxa"/>
            <w:vAlign w:val="bottom"/>
          </w:tcPr>
          <w:p>
            <w:pPr>
              <w:spacing w:after="0"/>
              <w:rPr>
                <w:sz w:val="20"/>
                <w:szCs w:val="20"/>
                <w:color w:val="auto"/>
              </w:rPr>
            </w:pPr>
          </w:p>
        </w:tc>
      </w:tr>
      <w:tr>
        <w:trPr>
          <w:trHeight w:val="42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tc>
        <w:tc>
          <w:tcPr>
            <w:tcW w:w="180" w:type="dxa"/>
            <w:vAlign w:val="bottom"/>
          </w:tcPr>
          <w:p>
            <w:pPr>
              <w:spacing w:after="0"/>
              <w:rPr>
                <w:sz w:val="24"/>
                <w:szCs w:val="24"/>
                <w:color w:val="auto"/>
              </w:rPr>
            </w:pPr>
          </w:p>
        </w:tc>
        <w:tc>
          <w:tcPr>
            <w:tcW w:w="3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28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rPr>
              <w:t>As Previously</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7"/>
              </w:rPr>
              <w:t>Effect of</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As Currently</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Reported</w:t>
            </w:r>
          </w:p>
        </w:tc>
        <w:tc>
          <w:tcPr>
            <w:tcW w:w="28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Change</w:t>
            </w:r>
          </w:p>
        </w:tc>
        <w:tc>
          <w:tcPr>
            <w:tcW w:w="2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Reported</w:t>
            </w:r>
          </w:p>
        </w:tc>
        <w:tc>
          <w:tcPr>
            <w:tcW w:w="1140" w:type="dxa"/>
            <w:vAlign w:val="bottom"/>
          </w:tcPr>
          <w:p>
            <w:pPr>
              <w:spacing w:after="0"/>
              <w:rPr>
                <w:sz w:val="20"/>
                <w:szCs w:val="20"/>
                <w:color w:val="auto"/>
              </w:rPr>
            </w:pPr>
          </w:p>
        </w:tc>
      </w:tr>
      <w:tr>
        <w:trPr>
          <w:trHeight w:val="210"/>
        </w:trPr>
        <w:tc>
          <w:tcPr>
            <w:tcW w:w="48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(3,953,654)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34,311,146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30,357,492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229,697,478</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4,520,696</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234,218,174</w:t>
            </w:r>
          </w:p>
        </w:tc>
        <w:tc>
          <w:tcPr>
            <w:tcW w:w="1140" w:type="dxa"/>
            <w:vAlign w:val="bottom"/>
          </w:tcPr>
          <w:p>
            <w:pPr>
              <w:spacing w:after="0"/>
              <w:rPr>
                <w:sz w:val="18"/>
                <w:szCs w:val="18"/>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346,493,686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38,831,842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385,325,528</w:t>
            </w:r>
          </w:p>
        </w:tc>
        <w:tc>
          <w:tcPr>
            <w:tcW w:w="1140" w:type="dxa"/>
            <w:vAlign w:val="bottom"/>
          </w:tcPr>
          <w:p>
            <w:pPr>
              <w:spacing w:after="0"/>
              <w:rPr>
                <w:sz w:val="18"/>
                <w:szCs w:val="18"/>
                <w:color w:val="auto"/>
              </w:rPr>
            </w:pPr>
          </w:p>
        </w:tc>
      </w:tr>
      <w:tr>
        <w:trPr>
          <w:trHeight w:val="439"/>
        </w:trPr>
        <w:tc>
          <w:tcPr>
            <w:tcW w:w="2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12</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5580" w:firstLine="8"/>
        <w:spacing w:after="0" w:line="500"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Recent Accounting Pronouncements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Accounting Standards Issued But Not Yet Adopted</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8"/>
          <w:szCs w:val="18"/>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this new standard on the consolidated financial statements.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2025-11: “Interim Reporting (Topic 270): Narrow-Scope Improvements”</w:t>
      </w:r>
      <w:r>
        <w:rPr>
          <w:rFonts w:ascii="Times New Roman" w:cs="Times New Roman" w:eastAsia="Times New Roman" w:hAnsi="Times New Roman"/>
          <w:sz w:val="18"/>
          <w:szCs w:val="18"/>
          <w:color w:val="auto"/>
        </w:rPr>
        <w:t xml:space="preserve"> — Issued in December 2025, ASU 2025-11 clarifies the form, content, and disclosure requirements for interim financial statements and the application of Topic 270. The update differentiates requirements by entity type: SEC registrants must continue to follow SEC rules for condensed financial statements; non-SEC registrants may present either full or condensed statements, using either the ASU’s guidance or SEC-style condensed guidance; and not-for-profit entities follow the non-SEC model with additional presentation considerations specific to NFP reporting. The ASU also compiles a comprehensive list of required interim disclosures for condensed statements from across the Codification, supported by conforming edits, to improve usability (while not replacing underlying guidance). In addition, the ASU reinforces a disclosure principle requiring entities to provide interim disclosures for significant events or transactions that have had a material effect since the most recent year-end, such as changes in accounting principles, key estimates, financing arrangements, long-term contracts, or the reporting entity. The amendments are effective for public business entities for interim periods within annual periods beginning after December 15, 2027, with early adoption permitted. The guidance may be applied prospectively or retrospectively. The Company is in the process of estimating the potential impact of this new standard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98"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March 31, 2026,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3"/>
        </w:trPr>
        <w:tc>
          <w:tcPr>
            <w:tcW w:w="394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65,521,592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551,988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(105,766)</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65,967,814</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3,093,790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(180,711)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2,918,596</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278,845,730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4,478,480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(4,529,438)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(521,948)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278,272,824</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23,391,046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(3,607,509)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19,686,991</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719,700</w:t>
            </w: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371,602,158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5,100,688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(8,460,924)</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(675,997)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367,565,925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12,477,275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6,222,419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(353,380)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18,346,314</w:t>
            </w: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12,477,275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6,222,419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(353,380)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18,346,314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85,519,490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149,601,559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74,614,673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(1,664,276)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(2,553,360)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(249,646)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305,268,440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114,491,810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119,853,523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234,345,333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6,236,823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6,388,376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14,536,305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46,315,781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677,100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23,490,927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(1,518,047)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83,502,066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9,596,277</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1,025,012,731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36" w:orient="portrait"/>
          <w:cols w:equalWidth="0" w:num="1">
            <w:col w:w="11240"/>
          </w:cols>
          <w:pgMar w:left="320" w:top="688" w:right="339" w:bottom="0" w:gutter="0" w:footer="0" w:header="0"/>
        </w:sectPr>
      </w:pPr>
    </w:p>
    <w:bookmarkStart w:id="14" w:name="page15"/>
    <w:bookmarkEnd w:id="14"/>
    <w:p>
      <w:pPr>
        <w:ind w:left="292" w:hanging="292"/>
        <w:spacing w:after="0"/>
        <w:tabs>
          <w:tab w:leader="none" w:pos="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106045</wp:posOffset>
            </wp:positionV>
            <wp:extent cx="746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123190</wp:posOffset>
            </wp:positionV>
            <wp:extent cx="746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$612,300 of Membership stock and $64,800 of Activity stock attributable to short-term borrowings and letters of credit.</w:t>
      </w:r>
    </w:p>
    <w:p>
      <w:pPr>
        <w:spacing w:after="0" w:line="345"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1"/>
          </w:cols>
          <w:pgMar w:left="388" w:top="432" w:right="1440" w:bottom="1440" w:gutter="0" w:footer="0" w:header="0"/>
        </w:sectPr>
      </w:pPr>
    </w:p>
    <w:bookmarkStart w:id="15" w:name="page16"/>
    <w:bookmarkEnd w:id="15"/>
    <w:p>
      <w:pPr>
        <w:spacing w:after="0" w:line="84"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94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75,713,307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982,769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(89,550)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76,606,526</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3,396,999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11,662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(172,184)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3,236,477</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277,708,638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7,029,453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(3,387,651)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(425,401)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280,925,039</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24,832,349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161,348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(3,553,214)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21,286,434</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10,942</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723,442</w:t>
            </w: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382,401,293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8,196,174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(7,240,099)</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382,777,918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12,206,559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6,176,440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(332,937)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18,050,062</w:t>
            </w:r>
          </w:p>
        </w:tc>
      </w:t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12,206,559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6,176,440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(332,937)</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18,050,062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90,644,590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157,398,705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79,231,786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(1,995,795)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(2,588,918)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(254,983)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322,435,385</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93,638,938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121,258,192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214,897,130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6,272,474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6,424,027</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14,467,357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46,183,999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646,500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25,601,905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(1,676,468)</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85,223,293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9,054,645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1,038,862,460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23" w:orient="portrait"/>
          <w:cols w:equalWidth="0" w:num="1">
            <w:col w:w="11240"/>
          </w:cols>
          <w:pgMar w:left="320" w:top="688" w:right="339" w:bottom="0" w:gutter="0" w:footer="0" w:header="0"/>
        </w:sectPr>
      </w:pPr>
    </w:p>
    <w:bookmarkStart w:id="16" w:name="page17"/>
    <w:bookmarkEnd w:id="16"/>
    <w:p>
      <w:pPr>
        <w:ind w:left="292" w:hanging="292"/>
        <w:spacing w:after="0"/>
        <w:tabs>
          <w:tab w:leader="none" w:pos="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97790</wp:posOffset>
            </wp:positionV>
            <wp:extent cx="746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114935</wp:posOffset>
            </wp:positionV>
            <wp:extent cx="746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255"/>
                    </a:xfrm>
                    <a:prstGeom prst="rect">
                      <a:avLst/>
                    </a:prstGeom>
                    <a:noFill/>
                  </pic:spPr>
                </pic:pic>
              </a:graphicData>
            </a:graphic>
          </wp:anchor>
        </w:drawing>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$581,600 of Membership stock and $64,900 of Activity stock due to short-term advances and letters of credit.</w:t>
      </w:r>
    </w:p>
    <w:p>
      <w:pPr>
        <w:spacing w:after="0" w:line="345"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1"/>
          </w:cols>
          <w:pgMar w:left="388" w:top="391" w:right="1440"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securities or equity securities, aggregated by issuer, of more than 10% of shareholders’ equity (before net unrealized gains and losses on equity securities and fixed maturity securities) as of March 31, 2026, other than investments issued or guaranteed by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2026, and December 31, 2025. The fair values of fixed maturity securities that are actively traded are based on quoted market prices. For fixed maturity securities that are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1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March 31, 2026</w:t>
            </w:r>
          </w:p>
        </w:tc>
        <w:tc>
          <w:tcPr>
            <w:tcW w:w="2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3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12,992,660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1,581,809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14,574,469</w:t>
            </w:r>
          </w:p>
        </w:tc>
      </w:tr>
      <w:tr>
        <w:trPr>
          <w:trHeight w:val="198"/>
        </w:trPr>
        <w:tc>
          <w:tcPr>
            <w:tcW w:w="3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196,848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177,559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2,081,355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180,711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2,278,203</w:t>
            </w: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1,423,738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76,810,812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3,105,700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37,427,064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4,529,438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114,237,876</w:t>
            </w:r>
          </w:p>
        </w:tc>
      </w:tr>
      <w:tr>
        <w:trPr>
          <w:trHeight w:val="21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973,482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3,595,185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16,667,312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3,607,509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17,640,794</w:t>
            </w:r>
          </w:p>
        </w:tc>
      </w:tr>
      <w:tr>
        <w:trPr>
          <w:trHeight w:val="230"/>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212,500</w:t>
            </w:r>
          </w:p>
        </w:tc>
      </w:tr>
      <w:tr>
        <w:trPr>
          <w:trHeight w:val="223"/>
        </w:trPr>
        <w:tc>
          <w:tcPr>
            <w:tcW w:w="3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1,523,739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91,186,302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6,937,185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57,757,540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8,460,924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148,943,842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3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2,047,280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11,033,603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13,080,883</w:t>
            </w:r>
          </w:p>
        </w:tc>
      </w:tr>
      <w:tr>
        <w:trPr>
          <w:trHeight w:val="198"/>
        </w:trPr>
        <w:tc>
          <w:tcPr>
            <w:tcW w:w="3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195,116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2,095,220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172,184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2,290,336</w:t>
            </w: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30,085,561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2,749,214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42,688,720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3,387,650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72,774,281</w:t>
            </w:r>
          </w:p>
        </w:tc>
      </w:tr>
      <w:tr>
        <w:trPr>
          <w:trHeight w:val="21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3,548,862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17,504,265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3,553,215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17,696,507</w:t>
            </w:r>
          </w:p>
        </w:tc>
      </w:tr>
      <w:tr>
        <w:trPr>
          <w:trHeight w:val="230"/>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212,500</w:t>
            </w:r>
          </w:p>
        </w:tc>
      </w:tr>
      <w:tr>
        <w:trPr>
          <w:trHeight w:val="223"/>
        </w:trPr>
        <w:tc>
          <w:tcPr>
            <w:tcW w:w="3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32,732,699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6,552,335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73,321,808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7,240,099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106,054,507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506 securities with fair values aggregating 94.6% of the aggregate amortized cost as of March 31, 2026, compared to 338 securities with fair values aggregating 93.6% of the aggregate amortized cost as of December 31, 2025. A credit loss provision of $96,547 and of $86,307 have been recognized for the three-month periods ended March 31, 2026, and 2025,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condensed consolidated balance sheets, as the Company writes off any accrued interest income to net investment income if the accrued but unpaid amount exceeds 90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98.4% and 98.5% of its fixed maturity securities rated investment grade as of March 31, 2026, and December 31, 2025,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26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91"/>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6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6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r>
      <w:tr>
        <w:trPr>
          <w:trHeight w:val="234"/>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NAIC Designation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188,389,332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186,162,155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198,055,737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197,788,945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175,261,903</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174,739,103</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177,242,472</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178,441,019</w:t>
            </w:r>
          </w:p>
        </w:tc>
      </w:tr>
      <w:tr>
        <w:trPr>
          <w:trHeight w:val="216"/>
        </w:trPr>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6,544,197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5,741,086</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6,145,460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5,616,342</w:t>
            </w:r>
          </w:p>
        </w:tc>
      </w:tr>
      <w:tr>
        <w:trPr>
          <w:trHeight w:val="21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155,585</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153,881</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155,717</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160,830</w:t>
            </w:r>
          </w:p>
        </w:tc>
      </w:tr>
      <w:tr>
        <w:trPr>
          <w:trHeight w:val="216"/>
        </w:trPr>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501,141</w:t>
            </w:r>
          </w:p>
        </w:tc>
        <w:tc>
          <w:tcPr>
            <w:tcW w:w="2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51,907</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47,340</w:t>
            </w:r>
          </w:p>
        </w:tc>
      </w:tr>
      <w:tr>
        <w:trPr>
          <w:trHeight w:val="223"/>
        </w:trPr>
        <w:tc>
          <w:tcPr>
            <w:tcW w:w="2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370,852,158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366,846,225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381,651,293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382,054,476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three-month periods ended March 31, 2026, and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2025</w:t>
            </w:r>
          </w:p>
        </w:tc>
        <w:tc>
          <w:tcPr>
            <w:tcW w:w="1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425,401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579,450</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Additions for credit losses not previously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22,498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 allowance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74,049</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74,049</w:t>
            </w:r>
          </w:p>
        </w:tc>
        <w:tc>
          <w:tcPr>
            <w:tcW w:w="80" w:type="dxa"/>
            <w:vAlign w:val="bottom"/>
          </w:tcPr>
          <w:p>
            <w:pPr>
              <w:spacing w:after="0"/>
              <w:rPr>
                <w:sz w:val="20"/>
                <w:szCs w:val="20"/>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sold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intent to sell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19"/>
                <w:szCs w:val="19"/>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3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March 31, 2026</w:t>
            </w:r>
          </w:p>
        </w:tc>
        <w:tc>
          <w:tcPr>
            <w:tcW w:w="1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521,948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154,049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675,997</w:t>
            </w:r>
          </w:p>
        </w:tc>
        <w:tc>
          <w:tcPr>
            <w:tcW w:w="8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Additions for credit losses not previously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72,000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 allowance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14,437</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80" w:type="dxa"/>
            <w:vAlign w:val="bottom"/>
          </w:tcPr>
          <w:p>
            <w:pPr>
              <w:spacing w:after="0"/>
              <w:rPr>
                <w:sz w:val="20"/>
                <w:szCs w:val="20"/>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sold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intent to sell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19"/>
                <w:szCs w:val="19"/>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09"/>
        </w:trPr>
        <w:tc>
          <w:tcPr>
            <w:tcW w:w="3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495,251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507,300</w:t>
            </w:r>
          </w:p>
        </w:tc>
        <w:tc>
          <w:tcPr>
            <w:tcW w:w="8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688" w:right="3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March 31, 2026, by contractual maturity. Actual or expected maturities may differ from contractual maturities because certain securities afford the issuer the right to call or prepay their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19,665,703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19,641,777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129,855,952</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130,217,565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130,676,874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131,821,597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67,262,583</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65,478,295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23,391,046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19,686,991</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719,700</w:t>
            </w:r>
          </w:p>
        </w:tc>
      </w:tr>
      <w:tr>
        <w:trPr>
          <w:trHeight w:val="223"/>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371,602,158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367,565,925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March 31,</w:t>
            </w: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1,179,677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3,224,848</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5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(65,035)</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178"/>
        </w:trPr>
        <w:tc>
          <w:tcPr>
            <w:tcW w:w="4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7,041,560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7,744,141</w:t>
            </w:r>
          </w:p>
        </w:tc>
        <w:tc>
          <w:tcPr>
            <w:tcW w:w="60" w:type="dxa"/>
            <w:vAlign w:val="bottom"/>
            <w:shd w:val="clear" w:color="auto" w:fill="CCEEFF"/>
          </w:tcPr>
          <w:p>
            <w:pPr>
              <w:spacing w:after="0"/>
              <w:rPr>
                <w:sz w:val="20"/>
                <w:szCs w:val="20"/>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424,670</w:t>
            </w: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1,455,333</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1,543,842</w:t>
            </w:r>
          </w:p>
        </w:tc>
        <w:tc>
          <w:tcPr>
            <w:tcW w:w="60" w:type="dxa"/>
            <w:vAlign w:val="bottom"/>
            <w:shd w:val="clear" w:color="auto" w:fill="CCEEFF"/>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8,921,563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9,287,983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c>
          <w:tcPr>
            <w:tcW w:w="280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800" w:type="dxa"/>
            <w:vAlign w:val="bottom"/>
          </w:tcPr>
          <w:p>
            <w:pPr>
              <w:spacing w:after="0"/>
              <w:rPr>
                <w:sz w:val="20"/>
                <w:szCs w:val="20"/>
                <w:color w:val="auto"/>
              </w:rPr>
            </w:pPr>
          </w:p>
        </w:tc>
      </w:tr>
      <w:tr>
        <w:trPr>
          <w:trHeight w:val="178"/>
        </w:trPr>
        <w:tc>
          <w:tcPr>
            <w:tcW w:w="4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0" w:type="dxa"/>
            <w:vAlign w:val="bottom"/>
          </w:tcPr>
          <w:p>
            <w:pPr>
              <w:spacing w:after="0"/>
              <w:rPr>
                <w:sz w:val="15"/>
                <w:szCs w:val="15"/>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22,083,221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23,915,884</w:t>
            </w:r>
          </w:p>
        </w:tc>
        <w:tc>
          <w:tcPr>
            <w:tcW w:w="2800" w:type="dxa"/>
            <w:vAlign w:val="bottom"/>
          </w:tcPr>
          <w:p>
            <w:pPr>
              <w:spacing w:after="0"/>
              <w:rPr>
                <w:sz w:val="20"/>
                <w:szCs w:val="20"/>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1,177,008</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2,634,084</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2,136,642</w:t>
            </w:r>
          </w:p>
        </w:tc>
        <w:tc>
          <w:tcPr>
            <w:tcW w:w="2800" w:type="dxa"/>
            <w:vAlign w:val="bottom"/>
          </w:tcPr>
          <w:p>
            <w:pPr>
              <w:spacing w:after="0"/>
              <w:rPr>
                <w:sz w:val="19"/>
                <w:szCs w:val="19"/>
                <w:color w:val="auto"/>
              </w:rPr>
            </w:pPr>
          </w:p>
        </w:tc>
      </w:tr>
      <w:tr>
        <w:trPr>
          <w:trHeight w:val="22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25,894,313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26,052,526</w:t>
            </w: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3"/>
        </w:trPr>
        <w:tc>
          <w:tcPr>
            <w:tcW w:w="4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two of its life insurance subsidiaries, is a member of the Federal Home Loan Banks of Des Moines and Dallas (“FHLBs”). Assets pledged as collateral with the FHLBs are presented below. These pledged securities are used as collateral for any FHLB cash advances. As of March 31, 2026, the Company owed nil to the FHLBs for advances. Amounts owed, if any, are included in Bank and other loans payable on the condensed consolidated balance sheets. The Company did not receive or repay any advances during the three months ended March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178"/>
        </w:trPr>
        <w:tc>
          <w:tcPr>
            <w:tcW w:w="4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51,704,240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64,066,256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manage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those that are in regions that are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$113,348,613 and $114,683,175 as of March 31, 2026, and December 31, 2025, respectively. The associated bank loan carrying values totaled $93,638,639 and $94,120,446 as of March 31, 2026, and December 31,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recorded depreciation expense on commercial real estate held for investment of $1,433,507 and $1,422,016, respectively. Commercial real estate held for investment is stated at cost and is depreciated over the estimated useful life, primarily using the straight-line method. Depreciation is included in net investment income on the condensed consolidated statements of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Net Book Value</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223"/>
        </w:trPr>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March 31, 2026</w:t>
            </w: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00" w:type="dxa"/>
            <w:vAlign w:val="bottom"/>
          </w:tcPr>
          <w:p>
            <w:pPr>
              <w:spacing w:after="0"/>
              <w:rPr>
                <w:sz w:val="19"/>
                <w:szCs w:val="19"/>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119,835,765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121,240,268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17,758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17,924</w:t>
            </w: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1,622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r>
      <w:tr>
        <w:trPr>
          <w:trHeight w:val="210"/>
        </w:trPr>
        <w:tc>
          <w:tcPr>
            <w:tcW w:w="2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8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119,853,523</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121,258,192</w:t>
            </w: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548,563</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548,563</w:t>
            </w:r>
          </w:p>
        </w:tc>
      </w:tr>
      <w:tr>
        <w:trPr>
          <w:trHeight w:val="20"/>
        </w:trPr>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 Includes Center53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223"/>
        </w:trPr>
        <w:tc>
          <w:tcPr>
            <w:tcW w:w="2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9"/>
                <w:szCs w:val="19"/>
                <w:color w:val="auto"/>
              </w:rPr>
            </w:pPr>
          </w:p>
        </w:tc>
      </w:tr>
      <w:tr>
        <w:trPr>
          <w:trHeight w:val="209"/>
        </w:trPr>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8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151,553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151,553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 Consists of approximately 93 acres of undeveloped land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March 31, 2026,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Approximate Square</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3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Segment</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Footage</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 Lake</w:t>
            </w:r>
          </w:p>
        </w:tc>
        <w:tc>
          <w:tcPr>
            <w:tcW w:w="3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Funeral Home/Cemetery Operations,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 - Center53 Building 2 (1)</w:t>
            </w:r>
          </w:p>
        </w:tc>
        <w:tc>
          <w:tcPr>
            <w:tcW w:w="3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Mortgage Operations and Sales</w:t>
            </w:r>
          </w:p>
        </w:tc>
        <w:tc>
          <w:tcPr>
            <w:tcW w:w="1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216,865</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1818 Marshall Street, Shreveport, LA (2) (3)</w:t>
            </w:r>
          </w:p>
        </w:tc>
        <w:tc>
          <w:tcPr>
            <w:tcW w:w="3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12,274</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recorded impairment losses of $35,651 and nil on residential real estate held for sale. Impairment losses are included in gains (losses) on investment and other assets on the condensed consolidated statements of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recorded depreciation expense on residential real estate held for investment of $2,718 and $2,676, respectively. Residential real estate held for investment is stated at cost and is depreciated over the estimated useful life, primarily using the straight-line method. Depreciation is included in net investment income on the condensed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223"/>
        </w:trPr>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gridSpan w:val="2"/>
          </w:tcPr>
          <w:p>
            <w:pPr>
              <w:spacing w:after="0"/>
              <w:rPr>
                <w:sz w:val="19"/>
                <w:szCs w:val="19"/>
                <w:color w:val="auto"/>
              </w:rPr>
            </w:pP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114,491,810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93,638,938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114,491,810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93,638,938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multiple residential subdivision development projects, refer to the following table</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invests in residential subdivision developments. The following table presents additional information regarding the Company’s residential subdivision development projects in Utah: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114,330,346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93,474,755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223"/>
        </w:trPr>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gridSpan w:val="2"/>
          </w:tcPr>
          <w:p>
            <w:pPr>
              <w:spacing w:after="0"/>
              <w:rPr>
                <w:sz w:val="19"/>
                <w:szCs w:val="19"/>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121,000</w:t>
            </w: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w:t>
            </w:r>
          </w:p>
        </w:tc>
        <w:tc>
          <w:tcPr>
            <w:tcW w:w="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130,000</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146,651</w:t>
            </w:r>
          </w:p>
        </w:tc>
        <w:tc>
          <w:tcPr>
            <w:tcW w:w="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380,000</w:t>
            </w: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380,000</w:t>
            </w:r>
          </w:p>
        </w:tc>
        <w:tc>
          <w:tcPr>
            <w:tcW w:w="60" w:type="dxa"/>
            <w:vAlign w:val="bottom"/>
          </w:tcPr>
          <w:p>
            <w:pPr>
              <w:spacing w:after="0"/>
              <w:rPr>
                <w:sz w:val="18"/>
                <w:szCs w:val="18"/>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149,017</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149,017</w:t>
            </w:r>
          </w:p>
        </w:tc>
        <w:tc>
          <w:tcPr>
            <w:tcW w:w="60" w:type="dxa"/>
            <w:vAlign w:val="bottom"/>
            <w:shd w:val="clear" w:color="auto" w:fill="CCEEFF"/>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6,236,823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6,272,474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$1,235,017 and $1,270,669 as of March 31, 2026, and December 31, 2025,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into three distinct groups: Commercial, Residential and Residential Construction. These mortgage loans bear interest at rates ranging from 2.0% to 10.5%; maturity dates range from nine months to 30 years and have amortization periods of 0 to 30 years.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distribution of the Company’s mortgage loans held for investment across the various states.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Residential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Commercial</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Residential</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Construction</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2026:</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Utah</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Arizona</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states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Utah</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Arizona</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states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Loans that exceed 80% of the fair market value of the respective loan collateral require additional collateral or mortgage insurance by an approved third-party insurer.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and the fair value is reassessed. Accrual of interest resumes if a mortgage loan is brought current. Given this policy, the Company does not measure a credit loss allowance on accrued interest receivable, which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Interest income not accrued on these loans totaled approximately $1,315,892 and $1,042,325 as of March 31, 2026, and December 31, 2025,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Once foreclosed, the property is classified as real estate held for investment or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into the following loan types: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residential, and residential construction. The inherent risks within each loan type vary as follows: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life events and the general economic condition of the region. Where LTV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LTV, payment status, age, and current property values. Analyzing the information from various sources allows the Company to arrive at an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March 31, 2026, the Company’s commitments were approximately $193,773,996 for these loans, of which $152,238,001 had been funded. The Company advances funds in accordance with the loan agreements once the work has been completed, and an independent inspection is made. The maximum loan commitment ranges between 50% and 85% of the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subsequent draws. The per loan basis point is reviewed at least annually or as loan losses or market trends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2025</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(46,037)</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(16,855)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(35,558)</w:t>
            </w: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2026</w:t>
            </w:r>
          </w:p>
        </w:tc>
        <w:tc>
          <w:tcPr>
            <w:tcW w:w="5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1,322,084</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932,072</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299,204</w:t>
            </w:r>
          </w:p>
        </w:tc>
        <w:tc>
          <w:tcPr>
            <w:tcW w:w="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2,553,360</w:t>
            </w:r>
          </w:p>
        </w:tc>
        <w:tc>
          <w:tcPr>
            <w:tcW w:w="100" w:type="dxa"/>
            <w:vAlign w:val="bottom"/>
            <w:tcBorders>
              <w:bottom w:val="single" w:sz="8" w:color="CCEEFF"/>
            </w:tcBorders>
          </w:tcPr>
          <w:p>
            <w:pPr>
              <w:spacing w:after="0"/>
              <w:rPr>
                <w:sz w:val="22"/>
                <w:szCs w:val="22"/>
                <w:color w:val="auto"/>
              </w:rPr>
            </w:pPr>
          </w:p>
        </w:tc>
      </w:tr>
      <w:tr>
        <w:trPr>
          <w:trHeight w:val="196"/>
        </w:trPr>
        <w:tc>
          <w:tcPr>
            <w:tcW w:w="3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732,494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850,550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302,346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1,885,390</w:t>
            </w: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289,236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37,409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123,202</w:t>
            </w: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60" w:hanging="5472"/>
        <w:spacing w:after="0" w:line="475" w:lineRule="auto"/>
        <w:tabs>
          <w:tab w:leader="none" w:pos="36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11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March 31, 2026</w:t>
            </w:r>
          </w:p>
        </w:tc>
        <w:tc>
          <w:tcPr>
            <w:tcW w:w="24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81,837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6,858,959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6,940,796</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1,195,773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1,195,773</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 90 days past due (1)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2,827,352</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4,487,106</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7,314,458</w:t>
            </w:r>
          </w:p>
        </w:tc>
      </w:tr>
      <w:tr>
        <w:trPr>
          <w:trHeight w:val="22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588,013</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1,462,111</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2,050,124</w:t>
            </w:r>
          </w:p>
        </w:tc>
      </w:tr>
      <w:tr>
        <w:trPr>
          <w:trHeight w:val="210"/>
        </w:trPr>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3,497,202</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14,003,949</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17,501,151</w:t>
            </w:r>
          </w:p>
        </w:tc>
        <w:tc>
          <w:tcPr>
            <w:tcW w:w="100" w:type="dxa"/>
            <w:vAlign w:val="bottom"/>
            <w:tcBorders>
              <w:bottom w:val="single" w:sz="8" w:color="CCEEFF"/>
            </w:tcBorders>
          </w:tcPr>
          <w:p>
            <w:pPr>
              <w:spacing w:after="0"/>
              <w:rPr>
                <w:sz w:val="18"/>
                <w:szCs w:val="18"/>
                <w:color w:val="auto"/>
              </w:rPr>
            </w:pPr>
          </w:p>
        </w:tc>
      </w:tr>
      <w:tr>
        <w:trPr>
          <w:trHeight w:val="20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71,117,471</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71,515,541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149,601,559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292,234,571</w:t>
            </w:r>
          </w:p>
        </w:tc>
        <w:tc>
          <w:tcPr>
            <w:tcW w:w="100" w:type="dxa"/>
            <w:vAlign w:val="bottom"/>
            <w:shd w:val="clear" w:color="auto" w:fill="CCEEFF"/>
          </w:tcPr>
          <w:p>
            <w:pPr>
              <w:spacing w:after="0"/>
              <w:rPr>
                <w:sz w:val="18"/>
                <w:szCs w:val="18"/>
                <w:color w:val="auto"/>
              </w:rPr>
            </w:pPr>
          </w:p>
        </w:tc>
      </w:tr>
      <w:tr>
        <w:trPr>
          <w:trHeight w:val="210"/>
        </w:trPr>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mortgage loans</w:t>
            </w: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74,614,673</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85,519,490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149,601,559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309,735,722</w:t>
            </w:r>
          </w:p>
        </w:tc>
        <w:tc>
          <w:tcPr>
            <w:tcW w:w="100" w:type="dxa"/>
            <w:vAlign w:val="bottom"/>
            <w:tcBorders>
              <w:bottom w:val="single" w:sz="8" w:color="CCEEFF"/>
            </w:tcBorders>
          </w:tcPr>
          <w:p>
            <w:pPr>
              <w:spacing w:after="0"/>
              <w:rPr>
                <w:sz w:val="18"/>
                <w:szCs w:val="18"/>
                <w:color w:val="auto"/>
              </w:rPr>
            </w:pPr>
          </w:p>
        </w:tc>
      </w:tr>
      <w:tr>
        <w:trPr>
          <w:trHeight w:val="20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(1,322,084)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(2,553,360)</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(242,747)</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(1,173,134)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(248,395)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(1,664,276)</w:t>
            </w:r>
          </w:p>
        </w:tc>
      </w:tr>
      <w:tr>
        <w:trPr>
          <w:trHeight w:val="22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net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(142,549)</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(107,097)</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(249,646)</w:t>
            </w:r>
          </w:p>
        </w:tc>
      </w:tr>
      <w:tr>
        <w:trPr>
          <w:trHeight w:val="263"/>
        </w:trPr>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7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72,907,293</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83,307,187</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149,053,960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305,268,440</w:t>
            </w:r>
          </w:p>
        </w:tc>
        <w:tc>
          <w:tcPr>
            <w:tcW w:w="100" w:type="dxa"/>
            <w:vAlign w:val="bottom"/>
            <w:tcBorders>
              <w:bottom w:val="single" w:sz="8" w:color="CCEEFF"/>
            </w:tcBorders>
          </w:tcPr>
          <w:p>
            <w:pPr>
              <w:spacing w:after="0"/>
              <w:rPr>
                <w:sz w:val="22"/>
                <w:szCs w:val="22"/>
                <w:color w:val="auto"/>
              </w:rPr>
            </w:pPr>
          </w:p>
        </w:tc>
      </w:tr>
      <w:tr>
        <w:trPr>
          <w:trHeight w:val="197"/>
        </w:trPr>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5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86,117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7,302,658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7,388,775</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2,485,313</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2,485,313</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 (1)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2,832,372</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2,479,479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5,311,851</w:t>
            </w:r>
          </w:p>
        </w:tc>
      </w:tr>
      <w:tr>
        <w:trPr>
          <w:trHeight w:val="23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588,013</w:t>
            </w:r>
          </w:p>
        </w:tc>
        <w:tc>
          <w:tcPr>
            <w:tcW w:w="2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616,430</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1,204,443</w:t>
            </w:r>
          </w:p>
        </w:tc>
      </w:tr>
      <w:tr>
        <w:trPr>
          <w:trHeight w:val="210"/>
        </w:trPr>
        <w:tc>
          <w:tcPr>
            <w:tcW w:w="3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3,506,502</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12,883,880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16,390,382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75,725,284</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77,760,710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310,884,699</w:t>
            </w:r>
          </w:p>
        </w:tc>
        <w:tc>
          <w:tcPr>
            <w:tcW w:w="100" w:type="dxa"/>
            <w:vAlign w:val="bottom"/>
            <w:tcBorders>
              <w:bottom w:val="single" w:sz="8" w:color="CCEEFF"/>
            </w:tcBorders>
          </w:tcPr>
          <w:p>
            <w:pPr>
              <w:spacing w:after="0"/>
              <w:rPr>
                <w:sz w:val="18"/>
                <w:szCs w:val="18"/>
                <w:color w:val="auto"/>
              </w:rPr>
            </w:pPr>
          </w:p>
        </w:tc>
      </w:tr>
      <w:tr>
        <w:trPr>
          <w:trHeight w:val="210"/>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79,231,786</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327,275,081</w:t>
            </w:r>
          </w:p>
        </w:tc>
        <w:tc>
          <w:tcPr>
            <w:tcW w:w="100" w:type="dxa"/>
            <w:vAlign w:val="bottom"/>
            <w:shd w:val="clear" w:color="auto" w:fill="CCEEFF"/>
          </w:tcPr>
          <w:p>
            <w:pPr>
              <w:spacing w:after="0"/>
              <w:rPr>
                <w:sz w:val="18"/>
                <w:szCs w:val="18"/>
                <w:color w:val="auto"/>
              </w:rPr>
            </w:pPr>
          </w:p>
        </w:tc>
      </w:tr>
      <w:tr>
        <w:trPr>
          <w:trHeight w:val="21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00" w:type="dxa"/>
            <w:vAlign w:val="bottom"/>
          </w:tcPr>
          <w:p>
            <w:pPr>
              <w:spacing w:after="0"/>
              <w:rPr>
                <w:sz w:val="18"/>
                <w:szCs w:val="18"/>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(374,372)</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(1,283,049)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(338,374)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(1,995,795)</w:t>
            </w:r>
          </w:p>
        </w:tc>
      </w:tr>
      <w:tr>
        <w:trPr>
          <w:trHeight w:val="23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discounts, net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(146,534)</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(108,449)</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(254,983)</w:t>
            </w:r>
          </w:p>
        </w:tc>
      </w:tr>
      <w:tr>
        <w:trPr>
          <w:trHeight w:val="223"/>
        </w:trPr>
        <w:tc>
          <w:tcPr>
            <w:tcW w:w="3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77,342,759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88,348,354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800" w:hanging="5472"/>
        <w:spacing w:after="0" w:line="657"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9260" w:firstLine="8"/>
        <w:spacing w:after="0" w:line="500" w:lineRule="auto"/>
        <w:tabs>
          <w:tab w:leader="none" w:pos="1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 Credit Quality Indicators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Prior</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3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2,264,400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26,486,545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3,889,812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15,600,000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462,761</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$9,002,062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$57,705,580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216"/>
        </w:trPr>
        <w:tc>
          <w:tcPr>
            <w:tcW w:w="1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1,260,000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3,525,554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10,432,656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1,000,506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293,872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16,512,588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9"/>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396,505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3,524,400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30,012,099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14,322,468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16,600,506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756,633</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9,398,567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74,614,673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DSCR</w:t>
            </w: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&gt;1.20x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7,680,478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12,089,812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$5,265,290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$32,535,580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16"/>
        </w:trPr>
        <w:tc>
          <w:tcPr>
            <w:tcW w:w="1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3,524,400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17,956,621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2,232,656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9,100,506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756,633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348,050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33,918,866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30"/>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&lt;1.00x</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4,375,000</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3,785,227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8,160,227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09"/>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3,524,400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30,012,099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14,322,468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16,600,506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756,633</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9,398,567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74,614,673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1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Prior</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90"/>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3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34,518,653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3,890,144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15,600,000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462,761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810,696</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$8,299,883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$63,582,137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140" w:type="dxa"/>
            <w:vAlign w:val="bottom"/>
          </w:tcPr>
          <w:p>
            <w:pPr>
              <w:spacing w:after="0"/>
              <w:rPr>
                <w:sz w:val="18"/>
                <w:szCs w:val="18"/>
                <w:color w:val="auto"/>
              </w:rPr>
            </w:pPr>
          </w:p>
        </w:tc>
      </w:tr>
      <w:tr>
        <w:trPr>
          <w:trHeight w:val="216"/>
        </w:trPr>
        <w:tc>
          <w:tcPr>
            <w:tcW w:w="1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3,525,554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10,432,942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293,872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15,253,144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140" w:type="dxa"/>
            <w:vAlign w:val="bottom"/>
          </w:tcPr>
          <w:p>
            <w:pPr>
              <w:spacing w:after="0"/>
              <w:rPr>
                <w:sz w:val="18"/>
                <w:szCs w:val="18"/>
                <w:color w:val="auto"/>
              </w:rPr>
            </w:pPr>
          </w:p>
        </w:tc>
      </w:tr>
      <w:tr>
        <w:trPr>
          <w:trHeight w:val="230"/>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396,505</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140" w:type="dxa"/>
            <w:vAlign w:val="bottom"/>
          </w:tcPr>
          <w:p>
            <w:pPr>
              <w:spacing w:after="0"/>
              <w:rPr>
                <w:sz w:val="19"/>
                <w:szCs w:val="19"/>
                <w:color w:val="auto"/>
              </w:rPr>
            </w:pP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38,044,207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14,323,086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16,600,776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756,633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1,207,201</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8,299,883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79,231,786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DSCR</w:t>
            </w: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&gt;1.20x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7,519,000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$5,292,385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$30,311,385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140" w:type="dxa"/>
            <w:vAlign w:val="bottom"/>
          </w:tcPr>
          <w:p>
            <w:pPr>
              <w:spacing w:after="0"/>
              <w:rPr>
                <w:sz w:val="18"/>
                <w:szCs w:val="18"/>
                <w:color w:val="auto"/>
              </w:rPr>
            </w:pPr>
          </w:p>
        </w:tc>
      </w:tr>
      <w:tr>
        <w:trPr>
          <w:trHeight w:val="216"/>
        </w:trPr>
        <w:tc>
          <w:tcPr>
            <w:tcW w:w="1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28,300,207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4,323,086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9,100,776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756,633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1,207,201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3,007,498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46,695,401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140" w:type="dxa"/>
            <w:vAlign w:val="bottom"/>
          </w:tcPr>
          <w:p>
            <w:pPr>
              <w:spacing w:after="0"/>
              <w:rPr>
                <w:sz w:val="18"/>
                <w:szCs w:val="18"/>
                <w:color w:val="auto"/>
              </w:rPr>
            </w:pPr>
          </w:p>
        </w:tc>
      </w:tr>
      <w:tr>
        <w:trPr>
          <w:trHeight w:val="229"/>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&lt;1.00x</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140" w:type="dxa"/>
            <w:vAlign w:val="bottom"/>
          </w:tcPr>
          <w:p>
            <w:pPr>
              <w:spacing w:after="0"/>
              <w:rPr>
                <w:sz w:val="19"/>
                <w:szCs w:val="19"/>
                <w:color w:val="auto"/>
              </w:rPr>
            </w:pP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38,044,207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14,323,086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16,600,776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756,633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1,207,201</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8,299,883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79,231,786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Credit Quality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16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Indicator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16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6"/>
        </w:trPr>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1,387,990</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$8,283,600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11,736,720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8,888,926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35,481,702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13,791,335</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$79,570,273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93.04%</w:t>
            </w:r>
          </w:p>
        </w:tc>
      </w:tr>
      <w:tr>
        <w:trPr>
          <w:trHeight w:val="229"/>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1,470,213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878,703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1,705,661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539,860</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1,354,780</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5,949,217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1,387,990</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9,753,813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12,615,423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10,594,587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36,021,562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15,146,115</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85,519,490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spacing w:after="0"/>
              <w:rPr>
                <w:sz w:val="17"/>
                <w:szCs w:val="17"/>
                <w:color w:val="auto"/>
              </w:rPr>
            </w:pPr>
          </w:p>
        </w:tc>
        <w:tc>
          <w:tcPr>
            <w:tcW w:w="820" w:type="dxa"/>
            <w:vAlign w:val="bottom"/>
            <w:tcBorders>
              <w:bottom w:val="single" w:sz="8" w:color="auto"/>
            </w:tcBorders>
            <w:gridSpan w:val="3"/>
          </w:tcPr>
          <w:p>
            <w:pPr>
              <w:spacing w:after="0"/>
              <w:rPr>
                <w:sz w:val="17"/>
                <w:szCs w:val="17"/>
                <w:color w:val="auto"/>
              </w:rPr>
            </w:pPr>
          </w:p>
        </w:tc>
        <w:tc>
          <w:tcPr>
            <w:tcW w:w="240" w:type="dxa"/>
            <w:vAlign w:val="bottom"/>
            <w:tcBorders>
              <w:bottom w:val="single" w:sz="8" w:color="auto"/>
            </w:tcBorders>
            <w:gridSpan w:val="4"/>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gridSpan w:val="4"/>
          </w:tcPr>
          <w:p>
            <w:pPr>
              <w:spacing w:after="0"/>
              <w:rPr>
                <w:sz w:val="17"/>
                <w:szCs w:val="17"/>
                <w:color w:val="auto"/>
              </w:rPr>
            </w:pPr>
          </w:p>
        </w:tc>
        <w:tc>
          <w:tcPr>
            <w:tcW w:w="1100" w:type="dxa"/>
            <w:vAlign w:val="bottom"/>
            <w:gridSpan w:val="5"/>
          </w:tcPr>
          <w:p>
            <w:pPr>
              <w:spacing w:after="0"/>
              <w:rPr>
                <w:sz w:val="17"/>
                <w:szCs w:val="17"/>
                <w:color w:val="auto"/>
              </w:rPr>
            </w:pPr>
          </w:p>
        </w:tc>
        <w:tc>
          <w:tcPr>
            <w:tcW w:w="3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614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$1,462,111</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49"/>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LTV:</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6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640,727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6,042,451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4,103,812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5,640,640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8,734,429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$27,050,859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 to 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747,263</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6,660,280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6,418,110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6,196,811</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28,359,148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5,876,068</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54,257,680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30"/>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1,204,733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154,862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293,964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2,021,774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535,618</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4,210,951</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1,387,990</w:t>
            </w:r>
          </w:p>
        </w:tc>
        <w:tc>
          <w:tcPr>
            <w:tcW w:w="16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9,753,813</w:t>
            </w:r>
          </w:p>
        </w:tc>
        <w:tc>
          <w:tcPr>
            <w:tcW w:w="20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12,615,423</w:t>
            </w:r>
          </w:p>
        </w:tc>
        <w:tc>
          <w:tcPr>
            <w:tcW w:w="18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10,594,587</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36,021,562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15,146,115</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85,519,490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Credit Quality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16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Indicator</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69"/>
        </w:trPr>
        <w:tc>
          <w:tcPr>
            <w:tcW w:w="164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$10,946,252</w:t>
            </w:r>
          </w:p>
        </w:tc>
        <w:tc>
          <w:tcPr>
            <w:tcW w:w="11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$11,711,336</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$10,177,427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39,714,697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2,264,902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12,734,067</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$87,548,681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140" w:type="dxa"/>
            <w:vAlign w:val="bottom"/>
          </w:tcPr>
          <w:p>
            <w:pPr>
              <w:spacing w:after="0"/>
              <w:rPr>
                <w:sz w:val="18"/>
                <w:szCs w:val="18"/>
                <w:color w:val="auto"/>
              </w:rPr>
            </w:pPr>
          </w:p>
        </w:tc>
      </w:tr>
      <w:tr>
        <w:trPr>
          <w:trHeight w:val="229"/>
        </w:trPr>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546,602</w:t>
            </w:r>
          </w:p>
        </w:tc>
        <w:tc>
          <w:tcPr>
            <w:tcW w:w="11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927,255</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616,430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255,544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750,078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3,095,909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140" w:type="dxa"/>
            <w:vAlign w:val="bottom"/>
          </w:tcPr>
          <w:p>
            <w:pPr>
              <w:spacing w:after="0"/>
              <w:rPr>
                <w:sz w:val="19"/>
                <w:szCs w:val="19"/>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11,492,854</w:t>
            </w:r>
          </w:p>
        </w:tc>
        <w:tc>
          <w:tcPr>
            <w:tcW w:w="11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12,638,591</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10,793,857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39,970,241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2,264,902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13,484,145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90,644,590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20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920" w:type="dxa"/>
            <w:vAlign w:val="bottom"/>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602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$616,430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53"/>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LTV:</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$ 4,382,324</w:t>
            </w: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$ 6,054,903</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$ 4,118,599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5,710,475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968,377</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7,259,011</w:t>
            </w:r>
          </w:p>
        </w:tc>
        <w:tc>
          <w:tcPr>
            <w:tcW w:w="1200" w:type="dxa"/>
            <w:vAlign w:val="bottom"/>
            <w:tcBorders>
              <w:top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$28,493,689</w:t>
            </w: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140" w:type="dxa"/>
            <w:vAlign w:val="bottom"/>
          </w:tcPr>
          <w:p>
            <w:pPr>
              <w:spacing w:after="0"/>
              <w:rPr>
                <w:sz w:val="18"/>
                <w:szCs w:val="18"/>
                <w:color w:val="auto"/>
              </w:rPr>
            </w:pP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 to 80%</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6,673,602</w:t>
            </w:r>
          </w:p>
        </w:tc>
        <w:tc>
          <w:tcPr>
            <w:tcW w:w="6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6,428,826</w:t>
            </w:r>
          </w:p>
        </w:tc>
        <w:tc>
          <w:tcPr>
            <w:tcW w:w="8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6,380,363</w:t>
            </w:r>
          </w:p>
        </w:tc>
        <w:tc>
          <w:tcPr>
            <w:tcW w:w="8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32,514,676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1,296,525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5,688,715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58,982,707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140" w:type="dxa"/>
            <w:vAlign w:val="bottom"/>
          </w:tcPr>
          <w:p>
            <w:pPr>
              <w:spacing w:after="0"/>
              <w:rPr>
                <w:sz w:val="18"/>
                <w:szCs w:val="18"/>
                <w:color w:val="auto"/>
              </w:rPr>
            </w:pPr>
          </w:p>
        </w:tc>
      </w:tr>
      <w:tr>
        <w:trPr>
          <w:trHeight w:val="229"/>
        </w:trPr>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436,928</w:t>
            </w:r>
          </w:p>
        </w:tc>
        <w:tc>
          <w:tcPr>
            <w:tcW w:w="6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154,862</w:t>
            </w:r>
          </w:p>
        </w:tc>
        <w:tc>
          <w:tcPr>
            <w:tcW w:w="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294,895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1,745,090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536,419</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3,168,194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tcPr>
          <w:p>
            <w:pPr>
              <w:spacing w:after="0"/>
              <w:rPr>
                <w:sz w:val="19"/>
                <w:szCs w:val="19"/>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11,492,854</w:t>
            </w:r>
          </w:p>
        </w:tc>
        <w:tc>
          <w:tcPr>
            <w:tcW w:w="60" w:type="dxa"/>
            <w:vAlign w:val="bottom"/>
            <w:shd w:val="clear" w:color="auto" w:fill="CCEEFF"/>
          </w:tcPr>
          <w:p>
            <w:pPr>
              <w:spacing w:after="0"/>
              <w:rPr>
                <w:sz w:val="21"/>
                <w:szCs w:val="21"/>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12,638,591</w:t>
            </w:r>
          </w:p>
        </w:tc>
        <w:tc>
          <w:tcPr>
            <w:tcW w:w="8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10,793,857</w:t>
            </w:r>
          </w:p>
        </w:tc>
        <w:tc>
          <w:tcPr>
            <w:tcW w:w="8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39,970,241</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2,264,902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13,484,145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90,644,590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 w:type="dxa"/>
            <w:vAlign w:val="bottom"/>
          </w:tcPr>
          <w:p>
            <w:pPr>
              <w:spacing w:after="0"/>
              <w:rPr>
                <w:sz w:val="20"/>
                <w:szCs w:val="20"/>
                <w:color w:val="auto"/>
              </w:rPr>
            </w:pP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58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9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23,597,361</w:t>
            </w:r>
          </w:p>
        </w:tc>
        <w:tc>
          <w:tcPr>
            <w:tcW w:w="1220" w:type="dxa"/>
            <w:vAlign w:val="bottom"/>
            <w:tcBorders>
              <w:top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$84,789,314</w:t>
            </w:r>
          </w:p>
        </w:tc>
        <w:tc>
          <w:tcPr>
            <w:tcW w:w="10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$31,832,775</w:t>
            </w:r>
          </w:p>
        </w:tc>
        <w:tc>
          <w:tcPr>
            <w:tcW w:w="1140" w:type="dxa"/>
            <w:vAlign w:val="bottom"/>
            <w:tcBorders>
              <w:top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$5,450,344</w:t>
            </w:r>
          </w:p>
        </w:tc>
        <w:tc>
          <w:tcPr>
            <w:tcW w:w="9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$3,931,765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149,601,559</w:t>
            </w:r>
          </w:p>
        </w:tc>
        <w:tc>
          <w:tcPr>
            <w:tcW w:w="7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23,597,361</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84,789,314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31,832,775</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5,450,344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3,931,765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149,601,559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32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7,552,555</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$29,563,386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$23,423,845</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$5,450,344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$3,931,765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69,921,895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16"/>
        </w:trPr>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16,044,806</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52,184,990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8,408,930</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76,638,726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30"/>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3,040,938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3,040,938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9"/>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23,597,361</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84,789,314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31,832,775</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5,450,344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3,931,765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149,601,559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89"/>
        </w:trPr>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74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Performance Indicators:</w:t>
            </w: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Performing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105,516,880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$42,129,717</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$5,820,344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$3,931,764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157,398,705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18"/>
                <w:szCs w:val="18"/>
                <w:color w:val="auto"/>
              </w:rPr>
            </w:pPr>
          </w:p>
        </w:tc>
      </w:tr>
      <w:tr>
        <w:trPr>
          <w:trHeight w:val="216"/>
        </w:trPr>
        <w:tc>
          <w:tcPr>
            <w:tcW w:w="27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Non-performing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8"/>
                <w:szCs w:val="18"/>
                <w:color w:val="auto"/>
              </w:rPr>
            </w:pPr>
          </w:p>
        </w:tc>
      </w:tr>
      <w:tr>
        <w:trPr>
          <w:trHeight w:val="230"/>
        </w:trPr>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276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105,516,880</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42,129,717</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5,820,344</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3,931,764</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157,398,705</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24,286,540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$20,684,760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$5,820,344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$3,931,764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54,723,408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140" w:type="dxa"/>
            <w:vAlign w:val="bottom"/>
          </w:tcPr>
          <w:p>
            <w:pPr>
              <w:spacing w:after="0"/>
              <w:rPr>
                <w:sz w:val="18"/>
                <w:szCs w:val="18"/>
                <w:color w:val="auto"/>
              </w:rPr>
            </w:pPr>
          </w:p>
        </w:tc>
      </w:tr>
      <w:tr>
        <w:trPr>
          <w:trHeight w:val="216"/>
        </w:trPr>
        <w:tc>
          <w:tcPr>
            <w:tcW w:w="27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78,223,502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21,444,957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99,668,459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140" w:type="dxa"/>
            <w:vAlign w:val="bottom"/>
          </w:tcPr>
          <w:p>
            <w:pPr>
              <w:spacing w:after="0"/>
              <w:rPr>
                <w:sz w:val="18"/>
                <w:szCs w:val="18"/>
                <w:color w:val="auto"/>
              </w:rPr>
            </w:pPr>
          </w:p>
        </w:tc>
      </w:tr>
      <w:tr>
        <w:trPr>
          <w:trHeight w:val="216"/>
        </w:trPr>
        <w:tc>
          <w:tcPr>
            <w:tcW w:w="2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3,006,838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3,006,838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40" w:type="dxa"/>
            <w:vAlign w:val="bottom"/>
          </w:tcPr>
          <w:p>
            <w:pPr>
              <w:spacing w:after="0"/>
              <w:rPr>
                <w:sz w:val="18"/>
                <w:szCs w:val="18"/>
                <w:color w:val="auto"/>
              </w:rPr>
            </w:pPr>
          </w:p>
        </w:tc>
      </w:tr>
      <w:tr>
        <w:trPr>
          <w:trHeight w:val="230"/>
        </w:trPr>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2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105,516,880</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42,129,717</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5,820,344</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3,931,764</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157,398,705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8,926,915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8,444,866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3,969,994</w:t>
            </w:r>
          </w:p>
        </w:tc>
        <w:tc>
          <w:tcPr>
            <w:tcW w:w="1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3,344,793</w:t>
            </w:r>
          </w:p>
        </w:tc>
        <w:tc>
          <w:tcPr>
            <w:tcW w:w="60" w:type="dxa"/>
            <w:vAlign w:val="bottom"/>
          </w:tcPr>
          <w:p>
            <w:pPr>
              <w:spacing w:after="0"/>
              <w:rPr>
                <w:sz w:val="18"/>
                <w:szCs w:val="18"/>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5,494,846</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4,976,211</w:t>
            </w:r>
          </w:p>
        </w:tc>
        <w:tc>
          <w:tcPr>
            <w:tcW w:w="60" w:type="dxa"/>
            <w:vAlign w:val="bottom"/>
            <w:shd w:val="clear" w:color="auto" w:fill="CCEEFF"/>
          </w:tcPr>
          <w:p>
            <w:pPr>
              <w:spacing w:after="0"/>
              <w:rPr>
                <w:sz w:val="19"/>
                <w:szCs w:val="19"/>
                <w:color w:val="auto"/>
              </w:rPr>
            </w:pPr>
          </w:p>
        </w:tc>
      </w:tr>
      <w:tr>
        <w:trPr>
          <w:trHeight w:val="209"/>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18,391,755</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16,765,870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27,924,026</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29,418,129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1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46,315,781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46,183,999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(1,518,047</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(1,676,468</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44,797,734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is 90 days past due or is in legal proceedings, it is monitored for write-off and collectability, and any adjustments to the allowance are recorded at that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1,676,468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284,826</w:t>
            </w:r>
          </w:p>
        </w:tc>
        <w:tc>
          <w:tcPr>
            <w:tcW w:w="60" w:type="dxa"/>
            <w:vAlign w:val="bottom"/>
          </w:tcPr>
          <w:p>
            <w:pPr>
              <w:spacing w:after="0"/>
              <w:rPr>
                <w:sz w:val="18"/>
                <w:szCs w:val="18"/>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(443,247)</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March 31,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1,536,926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293,798</w:t>
            </w:r>
          </w:p>
        </w:tc>
        <w:tc>
          <w:tcPr>
            <w:tcW w:w="60" w:type="dxa"/>
            <w:vAlign w:val="bottom"/>
          </w:tcPr>
          <w:p>
            <w:pPr>
              <w:spacing w:after="0"/>
              <w:rPr>
                <w:sz w:val="18"/>
                <w:szCs w:val="18"/>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(312,941)</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5060" w:hanging="5472"/>
        <w:spacing w:after="0" w:line="409" w:lineRule="auto"/>
        <w:tabs>
          <w:tab w:leader="none" w:pos="36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50% ownership interests in three VIEs: HHH Real Estate LLC (“HHH”), SN Oquirrh LLC (“Oquirrh”), and SN Towns LLC (“Towns”). These entities hold and develop single family lots for residential construction. In accordance with the operating agreements for these entities, net profits and losses are allocated to the members in accordance with their ownership interests. The investments in all three VIEs are accounted for under the equity method of accounting. The Company classifies distributions received using the cumulative earnings approach.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the investments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HHH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8,639,798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10,530,515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Oquirrh (1)</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775,138</w:t>
            </w: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887,532</w:t>
            </w:r>
          </w:p>
        </w:tc>
        <w:tc>
          <w:tcPr>
            <w:tcW w:w="60" w:type="dxa"/>
            <w:vAlign w:val="bottom"/>
          </w:tcPr>
          <w:p>
            <w:pPr>
              <w:spacing w:after="0"/>
              <w:rPr>
                <w:sz w:val="18"/>
                <w:szCs w:val="18"/>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Towns (2)</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2,358,039</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2,656,616</w:t>
            </w:r>
          </w:p>
        </w:tc>
        <w:tc>
          <w:tcPr>
            <w:tcW w:w="60" w:type="dxa"/>
            <w:vAlign w:val="bottom"/>
            <w:shd w:val="clear" w:color="auto" w:fill="CCEEFF"/>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11,772,975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14,074,663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117" w:lineRule="exact"/>
        <w:rPr>
          <w:rFonts w:ascii="Times New Roman" w:cs="Times New Roman" w:eastAsia="Times New Roman" w:hAnsi="Times New Roman"/>
          <w:sz w:val="18"/>
          <w:szCs w:val="18"/>
          <w:color w:val="auto"/>
        </w:rPr>
      </w:pPr>
    </w:p>
    <w:p>
      <w:pPr>
        <w:jc w:val="both"/>
        <w:ind w:left="360" w:right="20" w:hanging="292"/>
        <w:spacing w:after="0" w:line="266"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these totals, $1,155,507 and $1,467,058 of which at March 31, 2026, and December 31, 2025, respectively, were included in restricted assets and $1,202,531 and $1,189,558 of which at March 31, 2026, and December 31, 2025, respectively, were included in cemetery perpetual care trust investments on the condensed consolidated balance sheets</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HHH, Oquirrh and Towns are VIEs for which the Company is not the primary beneficiary for the following reasons: (1) the at-risk equity holders, as a group, lack the characteristics of a controlling financial interest, (2) the General Manager directs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investees is limited to the carrying value of the Company’s investments.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20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25,794</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(77,874)</w:t>
            </w: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(42,286)</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(96,547)</w:t>
            </w:r>
          </w:p>
        </w:tc>
        <w:tc>
          <w:tcPr>
            <w:tcW w:w="1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(86,307)</w:t>
            </w:r>
          </w:p>
        </w:tc>
      </w:tr>
      <w:tr>
        <w:trPr>
          <w:trHeight w:val="216"/>
        </w:trPr>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securities sold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15,722</w:t>
            </w: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114,127</w:t>
            </w:r>
          </w:p>
        </w:tc>
      </w:tr>
      <w:tr>
        <w:trPr>
          <w:trHeight w:val="198"/>
        </w:trPr>
        <w:tc>
          <w:tcPr>
            <w:tcW w:w="4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securities held at the end of</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(54,513)</w:t>
            </w:r>
          </w:p>
        </w:tc>
        <w:tc>
          <w:tcPr>
            <w:tcW w:w="12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273,477</w:t>
            </w:r>
          </w:p>
        </w:tc>
      </w:tr>
      <w:tr>
        <w:trPr>
          <w:trHeight w:val="216"/>
        </w:trPr>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586,972</w:t>
            </w: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394,525</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(35,651)</w:t>
            </w:r>
          </w:p>
        </w:tc>
        <w:tc>
          <w:tcPr>
            <w:tcW w:w="1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6,525</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(13,822)</w:t>
            </w:r>
          </w:p>
        </w:tc>
        <w:tc>
          <w:tcPr>
            <w:tcW w:w="1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(75,108)</w:t>
            </w:r>
          </w:p>
        </w:tc>
      </w:tr>
      <w:tr>
        <w:trPr>
          <w:trHeight w:val="223"/>
        </w:trPr>
        <w:tc>
          <w:tcPr>
            <w:tcW w:w="4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350,748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 gains and losses from cemetery perpetual care trust investments and the restricted assets of cemeteries and mortuaries and totaled $74,328 in net losses and $213,979 in net gains for the three-month periods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Investments (Continued)</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r>
      <w:tr>
        <w:trPr>
          <w:trHeight w:val="209"/>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4,712,644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4,664,833</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207,832</w:t>
            </w: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192,631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8,274,060</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7,964,539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2,937,919</w:t>
            </w: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2,959,711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241,508</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244,605</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5,444,231</w:t>
            </w: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5,732,150</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315,638</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161,486</w:t>
            </w: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1,047,236</w:t>
            </w:r>
          </w:p>
        </w:tc>
        <w:tc>
          <w:tcPr>
            <w:tcW w:w="4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1,402,636</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23,181,068</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23,322,591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(4,679,720)</w:t>
            </w:r>
          </w:p>
        </w:tc>
        <w:tc>
          <w:tcPr>
            <w:tcW w:w="42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(4,119,967)</w:t>
            </w:r>
          </w:p>
        </w:tc>
      </w:tr>
      <w:tr>
        <w:trPr>
          <w:trHeight w:val="223"/>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19,202,624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cemeteries and mortuaries and totaled $207,132 and $146,838 for the three-month periods ended March 31, 2026, and 2025,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4"/>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c>
          <w:tcPr>
            <w:tcW w:w="280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800" w:type="dxa"/>
            <w:vAlign w:val="bottom"/>
          </w:tcPr>
          <w:p>
            <w:pPr>
              <w:spacing w:after="0"/>
              <w:rPr>
                <w:sz w:val="20"/>
                <w:szCs w:val="20"/>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4,418,548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4,089,819</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9,943</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13,169</w:t>
            </w:r>
          </w:p>
        </w:tc>
        <w:tc>
          <w:tcPr>
            <w:tcW w:w="28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1,444,226</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1,032,964</w:t>
            </w: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3,666,530</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3,850,958</w:t>
            </w:r>
          </w:p>
        </w:tc>
        <w:tc>
          <w:tcPr>
            <w:tcW w:w="28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4,667</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30,916</w:t>
            </w: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52,363</w:t>
            </w:r>
          </w:p>
        </w:tc>
        <w:tc>
          <w:tcPr>
            <w:tcW w:w="160" w:type="dxa"/>
            <w:vAlign w:val="bottom"/>
          </w:tcPr>
          <w:p>
            <w:pPr>
              <w:spacing w:after="0"/>
              <w:rPr>
                <w:sz w:val="19"/>
                <w:szCs w:val="19"/>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36,819</w:t>
            </w:r>
          </w:p>
        </w:tc>
        <w:tc>
          <w:tcPr>
            <w:tcW w:w="2800" w:type="dxa"/>
            <w:vAlign w:val="bottom"/>
          </w:tcPr>
          <w:p>
            <w:pPr>
              <w:spacing w:after="0"/>
              <w:rPr>
                <w:sz w:val="19"/>
                <w:szCs w:val="19"/>
                <w:color w:val="auto"/>
              </w:rPr>
            </w:pP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9,596,277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3"/>
        </w:trPr>
        <w:tc>
          <w:tcPr>
            <w:tcW w:w="4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210"/>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137,607,689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155,968,266</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137,122,949</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154,484,198</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484,740</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1,484,068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0" w:type="dxa"/>
            <w:vAlign w:val="bottom"/>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800" w:type="dxa"/>
            <w:vAlign w:val="bottom"/>
          </w:tcPr>
          <w:p>
            <w:pPr>
              <w:spacing w:after="0"/>
              <w:rPr>
                <w:sz w:val="19"/>
                <w:szCs w:val="19"/>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5,734,513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5,254,090</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1,730,664</w:t>
            </w: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1,667,434</w:t>
            </w:r>
          </w:p>
        </w:tc>
        <w:tc>
          <w:tcPr>
            <w:tcW w:w="28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16,414,739</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16,954,943</w:t>
            </w: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1,384,727</w:t>
            </w: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474,540</w:t>
            </w:r>
          </w:p>
        </w:tc>
        <w:tc>
          <w:tcPr>
            <w:tcW w:w="28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(1,603,988)</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641,268</w:t>
            </w: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(170,996)</w:t>
            </w:r>
          </w:p>
        </w:tc>
        <w:tc>
          <w:tcPr>
            <w:tcW w:w="42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(183,034)</w:t>
            </w:r>
          </w:p>
        </w:tc>
        <w:tc>
          <w:tcPr>
            <w:tcW w:w="2800" w:type="dxa"/>
            <w:vAlign w:val="bottom"/>
          </w:tcPr>
          <w:p>
            <w:pPr>
              <w:spacing w:after="0"/>
              <w:rPr>
                <w:sz w:val="19"/>
                <w:szCs w:val="19"/>
                <w:color w:val="auto"/>
              </w:rPr>
            </w:pP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23,489,659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24,809,241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3"/>
        </w:trPr>
        <w:tc>
          <w:tcPr>
            <w:tcW w:w="4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8680" w:firstLine="8"/>
        <w:spacing w:after="0" w:line="500" w:lineRule="auto"/>
        <w:tabs>
          <w:tab w:leader="none" w:pos="1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Loan Loss Reserve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(“demand(s)”) from third party investors for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demand. In many instances, the Company can resolve the issues relating to the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provision (2)</w:t>
      </w:r>
    </w:p>
    <w:p>
      <w:pPr>
        <w:spacing w:after="0" w:line="9" w:lineRule="exact"/>
        <w:rPr>
          <w:sz w:val="20"/>
          <w:szCs w:val="20"/>
          <w:color w:val="auto"/>
        </w:rPr>
      </w:pPr>
    </w:p>
    <w:p>
      <w:pPr>
        <w:ind w:right="1100"/>
        <w:spacing w:after="0" w:line="276" w:lineRule="auto"/>
        <w:rPr>
          <w:sz w:val="20"/>
          <w:szCs w:val="20"/>
          <w:color w:val="auto"/>
        </w:rPr>
      </w:pPr>
      <w:r>
        <w:rPr>
          <w:rFonts w:ascii="Times New Roman" w:cs="Times New Roman" w:eastAsia="Times New Roman" w:hAnsi="Times New Roman"/>
          <w:sz w:val="18"/>
          <w:szCs w:val="18"/>
          <w:color w:val="auto"/>
        </w:rPr>
        <w:t>Charge-offs, net of recaptured amounts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2" w:lineRule="exact"/>
        <w:rPr>
          <w:sz w:val="20"/>
          <w:szCs w:val="20"/>
          <w:color w:val="auto"/>
        </w:rPr>
      </w:pPr>
    </w:p>
    <w:p>
      <w:pPr>
        <w:ind w:left="360" w:hanging="29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384,184</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696,626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170,996</w:t>
            </w: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805,518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(170,996)</w:t>
            </w:r>
          </w:p>
        </w:tc>
        <w:tc>
          <w:tcPr>
            <w:tcW w:w="1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(1,157,960)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384,184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384,184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-744855</wp:posOffset>
            </wp:positionV>
            <wp:extent cx="534924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4541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-462280</wp:posOffset>
            </wp:positionV>
            <wp:extent cx="534924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-179070</wp:posOffset>
            </wp:positionV>
            <wp:extent cx="534924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3920" w:space="720"/>
            <w:col w:w="6600"/>
          </w:cols>
          <w:pgMar w:left="320" w:top="688" w:right="339" w:bottom="1440" w:gutter="0" w:footer="0" w:header="0"/>
          <w:type w:val="continuous"/>
        </w:sectPr>
      </w:pP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three-month period ended March 31, 2026, $170,996 in reserves were added at a rate of 3.5 basis points per loan, the equivalent of $350 per $1,000,000 in loans originated. For the three-month period ended March 31, 2025, $183,034 in reserves were added at a rate of 3.5 basis points per loan, the equivalent of $350 per $1,000,000 in loans originated. The Company monitors market data and trends, and economic conditions (including forecasts) and uses its own experience to determine adequate loss reserves on current production.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8" w:name="page39"/>
    <w:bookmarkEnd w:id="38"/>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Receivables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3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7,034,138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4,441,441</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4,193,842</w:t>
            </w:r>
          </w:p>
        </w:tc>
      </w:tr>
      <w:tr>
        <w:trPr>
          <w:trHeight w:val="216"/>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due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1,414,850</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1,275,664</w:t>
            </w:r>
          </w:p>
        </w:tc>
      </w:tr>
      <w:tr>
        <w:trPr>
          <w:trHeight w:val="230"/>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4,835,232</w:t>
            </w:r>
          </w:p>
        </w:tc>
        <w:tc>
          <w:tcPr>
            <w:tcW w:w="160" w:type="dxa"/>
            <w:vAlign w:val="bottom"/>
          </w:tcPr>
          <w:p>
            <w:pPr>
              <w:spacing w:after="0"/>
              <w:rPr>
                <w:sz w:val="19"/>
                <w:szCs w:val="19"/>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4,588,564</w:t>
            </w:r>
          </w:p>
        </w:tc>
      </w:tr>
      <w:tr>
        <w:trPr>
          <w:trHeight w:val="209"/>
        </w:trPr>
        <w:tc>
          <w:tcPr>
            <w:tcW w:w="3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17,725,661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17,039,746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(1,523,072)</w:t>
            </w:r>
          </w:p>
        </w:tc>
        <w:tc>
          <w:tcPr>
            <w:tcW w:w="1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(1,428,672)</w:t>
            </w:r>
          </w:p>
        </w:tc>
      </w:tr>
      <w:tr>
        <w:trPr>
          <w:trHeight w:val="223"/>
        </w:trPr>
        <w:tc>
          <w:tcPr>
            <w:tcW w:w="3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15,611,074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2025</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0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147,555</w:t>
            </w: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(53,155)</w:t>
            </w:r>
          </w:p>
        </w:tc>
      </w:tr>
      <w:tr>
        <w:trPr>
          <w:trHeight w:val="263"/>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2026</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1,523,072</w:t>
            </w:r>
          </w:p>
        </w:tc>
        <w:tc>
          <w:tcPr>
            <w:tcW w:w="80" w:type="dxa"/>
            <w:vAlign w:val="bottom"/>
            <w:tcBorders>
              <w:bottom w:val="single" w:sz="8" w:color="CCEEFF"/>
            </w:tcBorders>
          </w:tcPr>
          <w:p>
            <w:pPr>
              <w:spacing w:after="0"/>
              <w:rPr>
                <w:sz w:val="22"/>
                <w:szCs w:val="22"/>
                <w:color w:val="auto"/>
              </w:rPr>
            </w:pPr>
          </w:p>
        </w:tc>
      </w:tr>
      <w:tr>
        <w:trPr>
          <w:trHeight w:val="196"/>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1,678,531</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16,142</w:t>
            </w: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(62,574)</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959" w:hanging="5472"/>
        <w:spacing w:after="0" w:line="475" w:lineRule="auto"/>
        <w:tabs>
          <w:tab w:leader="none" w:pos="36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9" w:name="page40"/>
    <w:bookmarkEnd w:id="3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funeral home and cemetery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types of future obligations are as follows: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are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the contract and revenue remains deferred.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manufacturers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markers and bases. When specialty merchandise is ordered, it can take time to manufacture and deliver the product. Revenue is deferred until the at-need merchandise is received.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payment does not constitute fulfillment of the contract. Goods or services are deferred until such a time the service is performed, or merchandise is received.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Contract Balances</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Receivables (1)</w:t>
            </w:r>
          </w:p>
        </w:tc>
        <w:tc>
          <w:tcPr>
            <w:tcW w:w="10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Contract Asset</w:t>
            </w:r>
          </w:p>
        </w:tc>
        <w:tc>
          <w:tcPr>
            <w:tcW w:w="1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Contract Liability</w:t>
            </w:r>
          </w:p>
        </w:tc>
        <w:tc>
          <w:tcPr>
            <w:tcW w:w="80" w:type="dxa"/>
            <w:vAlign w:val="bottom"/>
          </w:tcPr>
          <w:p>
            <w:pPr>
              <w:spacing w:after="0"/>
              <w:rPr>
                <w:sz w:val="19"/>
                <w:szCs w:val="19"/>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2025)</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6,981,676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22,991,603</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Closing (March 31, 2026)</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7,034,138</w:t>
            </w:r>
          </w:p>
        </w:tc>
        <w:tc>
          <w:tcPr>
            <w:tcW w:w="1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23,487,532</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Contract Balances</w:t>
            </w: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Receivables (1)</w:t>
            </w:r>
          </w:p>
        </w:tc>
        <w:tc>
          <w:tcPr>
            <w:tcW w:w="10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Contract Asset</w:t>
            </w:r>
          </w:p>
        </w:tc>
        <w:tc>
          <w:tcPr>
            <w:tcW w:w="1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Contract Liability</w:t>
            </w:r>
          </w:p>
        </w:tc>
        <w:tc>
          <w:tcPr>
            <w:tcW w:w="80" w:type="dxa"/>
            <w:vAlign w:val="bottom"/>
          </w:tcPr>
          <w:p>
            <w:pPr>
              <w:spacing w:after="0"/>
              <w:rPr>
                <w:sz w:val="19"/>
                <w:szCs w:val="19"/>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2024)</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2025)</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6,981,676</w:t>
            </w:r>
          </w:p>
        </w:tc>
        <w:tc>
          <w:tcPr>
            <w:tcW w:w="1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22,991,603</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three-month periods ended March 31, 2026, and 2025 was $1,723,991 and $1,159,212,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funeral home and cemetery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tcBorders>
              <w:bottom w:val="single" w:sz="8" w:color="CCEEFF"/>
            </w:tcBorders>
          </w:tcPr>
          <w:p>
            <w:pPr>
              <w:spacing w:after="0"/>
              <w:rPr>
                <w:sz w:val="19"/>
                <w:szCs w:val="19"/>
                <w:color w:val="auto"/>
              </w:rPr>
            </w:pPr>
          </w:p>
        </w:tc>
        <w:tc>
          <w:tcPr>
            <w:tcW w:w="2800" w:type="dxa"/>
            <w:vAlign w:val="bottom"/>
          </w:tcPr>
          <w:p>
            <w:pPr>
              <w:spacing w:after="0"/>
              <w:rPr>
                <w:sz w:val="19"/>
                <w:szCs w:val="19"/>
                <w:color w:val="auto"/>
              </w:rPr>
            </w:pPr>
          </w:p>
        </w:tc>
      </w:tr>
      <w:tr>
        <w:trPr>
          <w:trHeight w:val="189"/>
        </w:trPr>
        <w:tc>
          <w:tcPr>
            <w:tcW w:w="36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0" w:type="dxa"/>
            <w:vAlign w:val="bottom"/>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820" w:type="dxa"/>
            <w:vAlign w:val="bottom"/>
            <w:tcBorders>
              <w:top w:val="single" w:sz="8" w:color="CCEEFF"/>
            </w:tcBorders>
            <w:gridSpan w:val="2"/>
          </w:tcPr>
          <w:p>
            <w:pPr>
              <w:spacing w:after="0"/>
              <w:rPr>
                <w:sz w:val="18"/>
                <w:szCs w:val="18"/>
                <w:color w:val="auto"/>
              </w:rPr>
            </w:pPr>
          </w:p>
        </w:tc>
        <w:tc>
          <w:tcPr>
            <w:tcW w:w="1320" w:type="dxa"/>
            <w:vAlign w:val="bottom"/>
            <w:tcBorders>
              <w:top w:val="single" w:sz="8" w:color="CCEEFF"/>
            </w:tcBorders>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5,845,861</w:t>
            </w:r>
          </w:p>
        </w:tc>
        <w:tc>
          <w:tcPr>
            <w:tcW w:w="760" w:type="dxa"/>
            <w:vAlign w:val="bottom"/>
            <w:tcBorders>
              <w:top w:val="single" w:sz="8" w:color="CCEEFF"/>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5,716,277</w:t>
            </w:r>
          </w:p>
        </w:tc>
        <w:tc>
          <w:tcPr>
            <w:tcW w:w="2800" w:type="dxa"/>
            <w:vAlign w:val="bottom"/>
          </w:tcPr>
          <w:p>
            <w:pPr>
              <w:spacing w:after="0"/>
              <w:rPr>
                <w:sz w:val="18"/>
                <w:szCs w:val="18"/>
                <w:color w:val="auto"/>
              </w:rPr>
            </w:pPr>
          </w:p>
        </w:tc>
      </w:tr>
      <w:tr>
        <w:trPr>
          <w:trHeight w:val="229"/>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1,887,962</w:t>
            </w: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1,583,944</w:t>
            </w:r>
          </w:p>
        </w:tc>
        <w:tc>
          <w:tcPr>
            <w:tcW w:w="2800" w:type="dxa"/>
            <w:vAlign w:val="bottom"/>
          </w:tcPr>
          <w:p>
            <w:pPr>
              <w:spacing w:after="0"/>
              <w:rPr>
                <w:sz w:val="19"/>
                <w:szCs w:val="19"/>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7,733,823</w:t>
            </w:r>
          </w:p>
        </w:tc>
        <w:tc>
          <w:tcPr>
            <w:tcW w:w="24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7,300,221</w:t>
            </w:r>
          </w:p>
        </w:tc>
        <w:tc>
          <w:tcPr>
            <w:tcW w:w="80" w:type="dxa"/>
            <w:vAlign w:val="bottom"/>
            <w:tcBorders>
              <w:bottom w:val="single" w:sz="8" w:color="CCEEFF"/>
            </w:tcBorders>
          </w:tcPr>
          <w:p>
            <w:pPr>
              <w:spacing w:after="0"/>
              <w:rPr>
                <w:sz w:val="22"/>
                <w:szCs w:val="22"/>
                <w:color w:val="auto"/>
              </w:rPr>
            </w:pPr>
          </w:p>
        </w:tc>
        <w:tc>
          <w:tcPr>
            <w:tcW w:w="2800" w:type="dxa"/>
            <w:vAlign w:val="bottom"/>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r>
      <w:tr>
        <w:trPr>
          <w:trHeight w:val="175"/>
        </w:trPr>
        <w:tc>
          <w:tcPr>
            <w:tcW w:w="3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6"/>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4,859,344</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4,154,547</w:t>
            </w:r>
          </w:p>
        </w:tc>
        <w:tc>
          <w:tcPr>
            <w:tcW w:w="2800" w:type="dxa"/>
            <w:vAlign w:val="bottom"/>
          </w:tcPr>
          <w:p>
            <w:pPr>
              <w:spacing w:after="0"/>
              <w:rPr>
                <w:sz w:val="18"/>
                <w:szCs w:val="18"/>
                <w:color w:val="auto"/>
              </w:rPr>
            </w:pPr>
          </w:p>
        </w:tc>
      </w:tr>
      <w:tr>
        <w:trPr>
          <w:trHeight w:val="229"/>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2,874,479</w:t>
            </w:r>
          </w:p>
        </w:tc>
        <w:tc>
          <w:tcPr>
            <w:tcW w:w="7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3,145,674</w:t>
            </w:r>
          </w:p>
        </w:tc>
        <w:tc>
          <w:tcPr>
            <w:tcW w:w="2800" w:type="dxa"/>
            <w:vAlign w:val="bottom"/>
          </w:tcPr>
          <w:p>
            <w:pPr>
              <w:spacing w:after="0"/>
              <w:rPr>
                <w:sz w:val="19"/>
                <w:szCs w:val="19"/>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7,733,823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7,300,221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funeral home and cemetery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March 31, 2026,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Gross Unrealized</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spacing w:after="0"/>
              <w:rPr>
                <w:sz w:val="20"/>
                <w:szCs w:val="20"/>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Losses</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sale, at estimated fair value: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269,363</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269,363</w:t>
            </w: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229,553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227,675</w:t>
            </w:r>
          </w:p>
        </w:tc>
      </w:tr>
      <w:tr>
        <w:trPr>
          <w:trHeight w:val="198"/>
        </w:trPr>
        <w:tc>
          <w:tcPr>
            <w:tcW w:w="3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Corporate securities including public</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51,481</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(487)</w:t>
            </w: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50,994</w:t>
            </w:r>
          </w:p>
        </w:tc>
      </w:tr>
      <w:tr>
        <w:trPr>
          <w:trHeight w:val="178"/>
        </w:trPr>
        <w:tc>
          <w:tcPr>
            <w:tcW w:w="3380" w:type="dxa"/>
            <w:vAlign w:val="bottom"/>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550,397</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(2,490)</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548,032</w:t>
            </w:r>
          </w:p>
        </w:tc>
      </w:tr>
      <w:tr>
        <w:trPr>
          <w:trHeight w:val="197"/>
        </w:trPr>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14,065,145</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2,724,027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(504,294)</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16,284,878</w:t>
            </w:r>
          </w:p>
        </w:tc>
      </w:tr>
      <w:tr>
        <w:trPr>
          <w:trHeight w:val="178"/>
        </w:trPr>
        <w:tc>
          <w:tcPr>
            <w:tcW w:w="3380" w:type="dxa"/>
            <w:vAlign w:val="bottom"/>
            <w:tcBorders>
              <w:top w:val="single" w:sz="8" w:color="CCEEFF"/>
            </w:tcBorders>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equity securities at estimated fair</w:t>
            </w:r>
          </w:p>
        </w:tc>
        <w:tc>
          <w:tcPr>
            <w:tcW w:w="1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14,065,145</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2,724,027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(504,294)</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16,284,878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788,778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787,200</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3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1,654,250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10,659,181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29,953,633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920" w:hanging="5472"/>
        <w:spacing w:after="0" w:line="657" w:lineRule="auto"/>
        <w:tabs>
          <w:tab w:leader="none" w:pos="3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$8,965,571 for the life insurance and mortgage segments.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December 31,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Gross Unrealized</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spacing w:after="0"/>
              <w:rPr>
                <w:sz w:val="20"/>
                <w:szCs w:val="20"/>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Losses</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2025:</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at estimated fair value: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895,817</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897,552</w:t>
            </w:r>
          </w:p>
        </w:tc>
      </w:tr>
      <w:tr>
        <w:trPr>
          <w:trHeight w:val="198"/>
        </w:trPr>
        <w:tc>
          <w:tcPr>
            <w:tcW w:w="3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228,512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228,628</w:t>
            </w:r>
          </w:p>
        </w:tc>
      </w:tr>
      <w:tr>
        <w:trPr>
          <w:trHeight w:val="198"/>
        </w:trPr>
        <w:tc>
          <w:tcPr>
            <w:tcW w:w="3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Corporate securities including public</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52,030</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(959)</w:t>
            </w: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51,071</w:t>
            </w:r>
          </w:p>
        </w:tc>
      </w:tr>
      <w:tr>
        <w:trPr>
          <w:trHeight w:val="178"/>
        </w:trPr>
        <w:tc>
          <w:tcPr>
            <w:tcW w:w="3380" w:type="dxa"/>
            <w:vAlign w:val="bottom"/>
            <w:gridSpan w:val="2"/>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1,176,359</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(967)</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1,177,251</w:t>
            </w: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12,582,890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2,690,346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(344,319)</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14,928,917</w:t>
            </w:r>
          </w:p>
        </w:tc>
      </w:tr>
      <w:tr>
        <w:trPr>
          <w:trHeight w:val="178"/>
        </w:trPr>
        <w:tc>
          <w:tcPr>
            <w:tcW w:w="3380" w:type="dxa"/>
            <w:vAlign w:val="bottom"/>
            <w:tcBorders>
              <w:top w:val="single" w:sz="8" w:color="CCEEFF"/>
            </w:tcBorders>
            <w:gridSpan w:val="2"/>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equity securities at estimated fair</w:t>
            </w:r>
          </w:p>
        </w:tc>
        <w:tc>
          <w:tcPr>
            <w:tcW w:w="1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12,582,890</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2,690,346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(344,319)</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14,928,917</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812,427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1,957,888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9,919,800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28,805,946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920" w:hanging="5472"/>
        <w:spacing w:after="0" w:line="657" w:lineRule="auto"/>
        <w:tabs>
          <w:tab w:leader="none" w:pos="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$8,383,847 for the life insurance and mortgage segments.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8880" w:firstLine="8"/>
        <w:spacing w:after="0" w:line="500" w:lineRule="auto"/>
        <w:tabs>
          <w:tab w:leader="none" w:pos="1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2026, and December 31, 2025.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Losses for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Less than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Twelve</w:t>
            </w:r>
          </w:p>
        </w:tc>
        <w:tc>
          <w:tcPr>
            <w:tcW w:w="12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r>
      <w:tr>
        <w:trPr>
          <w:trHeight w:val="421"/>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2,003</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$102,549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$102,549</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50,995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50,995</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153,544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153,544</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-607695</wp:posOffset>
            </wp:positionV>
            <wp:extent cx="641223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-325120</wp:posOffset>
            </wp:positionV>
            <wp:extent cx="641223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720"/>
            <w:col w:w="70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3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2025</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$103,504</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$103,504</w:t>
            </w:r>
          </w:p>
        </w:tc>
      </w:tr>
      <w:tr>
        <w:trPr>
          <w:trHeight w:val="23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51,071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51,071</w:t>
            </w:r>
          </w:p>
        </w:tc>
      </w:tr>
      <w:tr>
        <w:trPr>
          <w:trHeight w:val="223"/>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154,575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154,575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three securities with fair values aggregating 98.4% of the aggregate amortized cost as of March 31, 2026. Relevant holdings were comprised of two securities with fair values aggregating 99.4% of the aggregate amortized cost as of December 31, 2025. No credit losses have been recognized for the three-month periods ended March 31, 2026, and 2025, since the unrealized losses are primarily the result of increases in interest rates. See Note 2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2026, by contractual maturity. Actual or expected maturities may differ from contractual maturities because certain securities afford the issuer the right to call or prepay their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75,112</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156,034</w:t>
            </w:r>
          </w:p>
        </w:tc>
        <w:tc>
          <w:tcPr>
            <w:tcW w:w="26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153,544</w:t>
            </w:r>
          </w:p>
        </w:tc>
      </w:tr>
      <w:tr>
        <w:trPr>
          <w:trHeight w:val="223"/>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2 and 17 for additional information regarding restricted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March 31, 2026,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Gross Unrealized</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Losses</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Estimated Fair Value</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sale, at estimated fair value: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154,594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154,635</w:t>
            </w:r>
          </w:p>
        </w:tc>
        <w:tc>
          <w:tcPr>
            <w:tcW w:w="0" w:type="dxa"/>
            <w:vAlign w:val="bottom"/>
          </w:tcPr>
          <w:p>
            <w:pPr>
              <w:spacing w:after="0"/>
              <w:rPr>
                <w:sz w:val="1"/>
                <w:szCs w:val="1"/>
                <w:color w:val="auto"/>
              </w:rPr>
            </w:pP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119,677</w:t>
            </w:r>
          </w:p>
        </w:tc>
        <w:tc>
          <w:tcPr>
            <w:tcW w:w="8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(1,909)</w:t>
            </w:r>
          </w:p>
        </w:tc>
        <w:tc>
          <w:tcPr>
            <w:tcW w:w="5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117,768</w:t>
            </w:r>
          </w:p>
        </w:tc>
        <w:tc>
          <w:tcPr>
            <w:tcW w:w="0" w:type="dxa"/>
            <w:vAlign w:val="bottom"/>
          </w:tcPr>
          <w:p>
            <w:pPr>
              <w:spacing w:after="0"/>
              <w:rPr>
                <w:sz w:val="1"/>
                <w:szCs w:val="1"/>
                <w:color w:val="auto"/>
              </w:rPr>
            </w:pPr>
          </w:p>
        </w:tc>
      </w:tr>
      <w:tr>
        <w:trPr>
          <w:trHeight w:val="178"/>
        </w:trPr>
        <w:tc>
          <w:tcPr>
            <w:tcW w:w="338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w:t>
            </w:r>
          </w:p>
        </w:tc>
        <w:tc>
          <w:tcPr>
            <w:tcW w:w="1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274,271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272,403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5,000,830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1,687,074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(172,761)</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6,515,143</w:t>
            </w:r>
          </w:p>
        </w:tc>
        <w:tc>
          <w:tcPr>
            <w:tcW w:w="0" w:type="dxa"/>
            <w:vAlign w:val="bottom"/>
          </w:tcPr>
          <w:p>
            <w:pPr>
              <w:spacing w:after="0"/>
              <w:rPr>
                <w:sz w:val="1"/>
                <w:szCs w:val="1"/>
                <w:color w:val="auto"/>
              </w:rPr>
            </w:pPr>
          </w:p>
        </w:tc>
      </w:tr>
      <w:tr>
        <w:trPr>
          <w:trHeight w:val="178"/>
        </w:trPr>
        <w:tc>
          <w:tcPr>
            <w:tcW w:w="33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equity securities at estimated fair</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5,000,830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1,687,074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(172,761)</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6,515,143</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612,154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610,930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1,303,245</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1,317,345</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7,540</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cemetery perpetual care trust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10,026,606</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(5,998,538)</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Trust investments in excess of trust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4,028,068</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w w:val="99"/>
              </w:rPr>
              <w:t>41</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Gross Unrealized</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Losses</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Estimated Fair Value</w:t>
            </w: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2025:</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at estimated fair value: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152,738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153,580</w:t>
            </w:r>
          </w:p>
        </w:tc>
        <w:tc>
          <w:tcPr>
            <w:tcW w:w="0" w:type="dxa"/>
            <w:vAlign w:val="bottom"/>
          </w:tcPr>
          <w:p>
            <w:pPr>
              <w:spacing w:after="0"/>
              <w:rPr>
                <w:sz w:val="1"/>
                <w:szCs w:val="1"/>
                <w:color w:val="auto"/>
              </w:rPr>
            </w:pPr>
          </w:p>
        </w:tc>
      </w:tr>
      <w:tr>
        <w:trPr>
          <w:trHeight w:val="198"/>
        </w:trPr>
        <w:tc>
          <w:tcPr>
            <w:tcW w:w="3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121,423</w:t>
            </w:r>
          </w:p>
        </w:tc>
        <w:tc>
          <w:tcPr>
            <w:tcW w:w="8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(2,991)</w:t>
            </w:r>
          </w:p>
        </w:tc>
        <w:tc>
          <w:tcPr>
            <w:tcW w:w="5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118,432</w:t>
            </w:r>
          </w:p>
        </w:tc>
        <w:tc>
          <w:tcPr>
            <w:tcW w:w="0" w:type="dxa"/>
            <w:vAlign w:val="bottom"/>
          </w:tcPr>
          <w:p>
            <w:pPr>
              <w:spacing w:after="0"/>
              <w:rPr>
                <w:sz w:val="1"/>
                <w:szCs w:val="1"/>
                <w:color w:val="auto"/>
              </w:rPr>
            </w:pPr>
          </w:p>
        </w:tc>
      </w:tr>
      <w:tr>
        <w:trPr>
          <w:trHeight w:val="178"/>
        </w:trPr>
        <w:tc>
          <w:tcPr>
            <w:tcW w:w="338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w:t>
            </w:r>
          </w:p>
        </w:tc>
        <w:tc>
          <w:tcPr>
            <w:tcW w:w="1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274,161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(2,991)</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272,012</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4,835,663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1,637,554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(169,485)</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6,303,732</w:t>
            </w:r>
          </w:p>
        </w:tc>
        <w:tc>
          <w:tcPr>
            <w:tcW w:w="0" w:type="dxa"/>
            <w:vAlign w:val="bottom"/>
          </w:tcPr>
          <w:p>
            <w:pPr>
              <w:spacing w:after="0"/>
              <w:rPr>
                <w:sz w:val="1"/>
                <w:szCs w:val="1"/>
                <w:color w:val="auto"/>
              </w:rPr>
            </w:pPr>
          </w:p>
        </w:tc>
      </w:tr>
      <w:tr>
        <w:trPr>
          <w:trHeight w:val="178"/>
        </w:trPr>
        <w:tc>
          <w:tcPr>
            <w:tcW w:w="3380" w:type="dxa"/>
            <w:vAlign w:val="bottom"/>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equity securities at estimated fair</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4,835,663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1,637,554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(169,485)</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6,303,732</w:t>
            </w: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66,342</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1,935,480</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1,290,271</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4,243</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cemetery perpetual care trust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9,871,947</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(5,918,776)</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Trust investments in excess of trust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3,953,171</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w w:val="99"/>
              </w:rPr>
              <w:t>42</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5860" w:firstLine="8"/>
        <w:spacing w:after="0" w:line="500" w:lineRule="auto"/>
        <w:tabs>
          <w:tab w:leader="none" w:pos="1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2026, and December 31, 2025.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Unrealized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Less than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Twelve</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Months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89"/>
        </w:trPr>
        <w:tc>
          <w:tcPr>
            <w:tcW w:w="11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March 31, 2026</w:t>
            </w:r>
          </w:p>
        </w:tc>
        <w:tc>
          <w:tcPr>
            <w:tcW w:w="26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0"/>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117,768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1,909</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117,768</w:t>
            </w:r>
          </w:p>
        </w:tc>
      </w:tr>
      <w:tr>
        <w:trPr>
          <w:trHeight w:val="223"/>
        </w:trPr>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117,768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117,768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2,991</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118,432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2,991</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118,432</w:t>
            </w:r>
          </w:p>
        </w:tc>
      </w:tr>
      <w:tr>
        <w:trPr>
          <w:trHeight w:val="223"/>
        </w:trPr>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118,432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118,432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98.4% of the aggregate amortized cost as of March 31, 2026. Relevant holdings were comprised of two securities with fair values aggregating 97.5% of aggregate amortized cost as of December 31, 2025. No credit losses have been recognized for the three-month periods ended March 31, 2026, and 2025, since the unrealized losses are primarily the result of increases in interest rates. See Note 2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2026, by contractual maturity. Actual or expected maturities may differ from contractual maturities because certain securities afford the issuer the right to call or prepay their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68,914</w:t>
            </w:r>
          </w:p>
        </w:tc>
        <w:tc>
          <w:tcPr>
            <w:tcW w:w="2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67,151</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50,764</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50,618</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2 and 17 for additional information regarding cemetery perpetual care trust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initially records its MSRs at fair value. After being initially recorded at fair value, MSRs backed by mortgage loans are accounted for using the amortization method. Amortization expenses are included in other expenses on the condensed consolidated statements of earnings. MSR amortization is determined by amortizing the MSR balance in proportion to, and over the period of, the estimated future net servicing income of the underlying financial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2,528,459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2,939,878</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151,056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(562,475)</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than temporary impairment</w:t>
            </w:r>
          </w:p>
        </w:tc>
        <w:tc>
          <w:tcPr>
            <w:tcW w:w="20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2,460,261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than temporary impairment</w:t>
            </w:r>
          </w:p>
        </w:tc>
        <w:tc>
          <w:tcPr>
            <w:tcW w:w="20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2,460,261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2,528,459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3,994,484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4,035,635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March 31, 2026,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45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234,927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215,762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193,541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174,002</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1,391,591</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2,460,261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service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23"/>
        </w:trPr>
        <w:tc>
          <w:tcPr>
            <w:tcW w:w="46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CCEEFF"/>
            </w:tcBorders>
          </w:tcPr>
          <w:p>
            <w:pPr>
              <w:spacing w:after="0"/>
              <w:rPr>
                <w:sz w:val="19"/>
                <w:szCs w:val="19"/>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service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232,101</w:t>
            </w:r>
          </w:p>
        </w:tc>
        <w:tc>
          <w:tcPr>
            <w:tcW w:w="80" w:type="dxa"/>
            <w:vAlign w:val="bottom"/>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6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17,306</w:t>
            </w:r>
          </w:p>
        </w:tc>
        <w:tc>
          <w:tcPr>
            <w:tcW w:w="160" w:type="dxa"/>
            <w:vAlign w:val="bottom"/>
          </w:tcPr>
          <w:p>
            <w:pPr>
              <w:spacing w:after="0"/>
              <w:rPr>
                <w:sz w:val="19"/>
                <w:szCs w:val="19"/>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19,617</w:t>
            </w: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tc>
      </w:tr>
      <w:tr>
        <w:trPr>
          <w:trHeight w:val="414"/>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 2025</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358,018,607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361,632,543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Prepayment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Average</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Discount</w:t>
            </w:r>
          </w:p>
        </w:tc>
      </w:tr>
      <w:tr>
        <w:trPr>
          <w:trHeight w:val="234"/>
        </w:trPr>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Speeds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Life (Years)</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Rate</w:t>
            </w:r>
          </w:p>
        </w:tc>
      </w:tr>
      <w:tr>
        <w:trPr>
          <w:trHeight w:val="210"/>
        </w:trPr>
        <w:tc>
          <w:tcPr>
            <w:tcW w:w="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March 31,</w:t>
            </w:r>
          </w:p>
        </w:tc>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11.73</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31, 2025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11.92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2340" w:firstLine="8"/>
        <w:spacing w:after="0" w:line="498"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Deferred Policy and Pre-need Contract Acquisition Costs, Value of Business Acquired, and Unearned Premium Reserve </w:t>
      </w:r>
      <w:r>
        <w:rPr>
          <w:rFonts w:ascii="Times New Roman" w:cs="Times New Roman" w:eastAsia="Times New Roman" w:hAnsi="Times New Roman"/>
          <w:sz w:val="18"/>
          <w:szCs w:val="18"/>
          <w:color w:val="auto"/>
        </w:rPr>
        <w:t>Refer to Note 1 regarding the adoption of ASU 2018-12.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and Pre-need Contract Acquisition Costs (“DAC”)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DAC balances, along with a reconciliation to the Company’s total DAC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Accident</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Traditional</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Fixed</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Universal</w:t>
            </w: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Pre-need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Life</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Annuities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Life</w:t>
            </w:r>
          </w:p>
        </w:tc>
        <w:tc>
          <w:tcPr>
            <w:tcW w:w="10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Health</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Contracts</w:t>
            </w:r>
          </w:p>
        </w:tc>
        <w:tc>
          <w:tcPr>
            <w:tcW w:w="2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7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$127,639,286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$3,430,518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$4,337,629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$135,978,803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4,131,689</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29,139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327,701</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4,488,529</w:t>
            </w:r>
          </w:p>
        </w:tc>
        <w:tc>
          <w:tcPr>
            <w:tcW w:w="60" w:type="dxa"/>
            <w:vAlign w:val="bottom"/>
          </w:tcPr>
          <w:p>
            <w:pPr>
              <w:spacing w:after="0"/>
              <w:rPr>
                <w:sz w:val="18"/>
                <w:szCs w:val="18"/>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(2,460,830)</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(32,470)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(82,251)</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(289,944)</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(2,865,495)</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7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129,310,145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568,039</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3,348,267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4,375,386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137,601,837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2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Accident</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Traditional</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Fixed</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Universal</w:t>
            </w: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Pre-need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Life</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Annuities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Life</w:t>
            </w:r>
          </w:p>
        </w:tc>
        <w:tc>
          <w:tcPr>
            <w:tcW w:w="10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Health</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Contracts</w:t>
            </w:r>
          </w:p>
        </w:tc>
        <w:tc>
          <w:tcPr>
            <w:tcW w:w="2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$118,803,677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$535,836</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$3,754,867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$4,125,061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$127,219,907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5,299,915</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43,786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181,034</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5,524,735</w:t>
            </w:r>
          </w:p>
        </w:tc>
        <w:tc>
          <w:tcPr>
            <w:tcW w:w="60" w:type="dxa"/>
            <w:vAlign w:val="bottom"/>
          </w:tcPr>
          <w:p>
            <w:pPr>
              <w:spacing w:after="0"/>
              <w:rPr>
                <w:sz w:val="18"/>
                <w:szCs w:val="18"/>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(2,390,105)</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(33,165)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(76,061)</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(447)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(173,965)</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(2,673,743)</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7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121,713,487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546,457</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3,678,806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4,132,130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130,070,899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of Business Acquired (“VOBA”)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VOBA balances, along with a reconciliation to the Company’s total VOBA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Traditional</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Fixed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Universal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Life</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Annuities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Life</w:t>
            </w:r>
          </w:p>
        </w:tc>
        <w:tc>
          <w:tcPr>
            <w:tcW w:w="1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Health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6,968,331</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(98,289)</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(14,900)</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(113,823)</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6,870,042</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110,032</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6,995,363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Traditional</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Fixed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Universal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Life</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Annuities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Life</w:t>
            </w:r>
          </w:p>
        </w:tc>
        <w:tc>
          <w:tcPr>
            <w:tcW w:w="1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Health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7,397,519</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(106,834)</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(15,708)</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(123,256)</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7,290,685</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7,479,265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Premium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and the changes in Unearned Premium Reserve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gridSpan w:val="7"/>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Universal Life</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Universal Life</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1,824,796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2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(1)</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(47,431)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(44,487)</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 end of period</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1,777,365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1,968,758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560" w:hanging="5472"/>
        <w:spacing w:after="0" w:line="657" w:lineRule="auto"/>
        <w:tabs>
          <w:tab w:leader="none" w:pos="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premiums and other considerations on the condensed consolidated statements of earnings.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938"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the exercise of the loan commitments. Management expects these types of commitments will experience changes in fair value in contrast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color w:val="auto"/>
              </w:rPr>
              <w:t>March 31, 2026</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color w:val="auto"/>
              </w:rPr>
              <w:t>December 31, 2025</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Notional</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Fair</w:t>
            </w: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Notional</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3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Balance Sheet Location</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78"/>
        </w:trPr>
        <w:tc>
          <w:tcPr>
            <w:tcW w:w="23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2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320" w:type="dxa"/>
            <w:vAlign w:val="bottom"/>
          </w:tcPr>
          <w:p>
            <w:pPr>
              <w:spacing w:after="0"/>
              <w:rPr>
                <w:sz w:val="17"/>
                <w:szCs w:val="17"/>
                <w:color w:val="auto"/>
              </w:rPr>
            </w:pPr>
          </w:p>
        </w:tc>
        <w:tc>
          <w:tcPr>
            <w:tcW w:w="2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 assets and Other</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182,729,508</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$ 2,959,819</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$ 94,955</w:t>
            </w: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132,887,592</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$ 1,700,742</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$ 220,605</w:t>
            </w:r>
          </w:p>
        </w:tc>
      </w:tr>
      <w:tr>
        <w:trPr>
          <w:trHeight w:val="223"/>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182,729,508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$ 2,959,819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$ 94,955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132,887,592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$ 1,700,742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$ 220,605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60" w:type="dxa"/>
            <w:vAlign w:val="bottom"/>
          </w:tcPr>
          <w:p>
            <w:pPr>
              <w:spacing w:after="0"/>
              <w:rPr>
                <w:sz w:val="20"/>
                <w:szCs w:val="20"/>
                <w:color w:val="auto"/>
              </w:rPr>
            </w:pPr>
          </w:p>
        </w:tc>
      </w:tr>
      <w:tr>
        <w:trPr>
          <w:trHeight w:val="223"/>
        </w:trPr>
        <w:tc>
          <w:tcPr>
            <w:tcW w:w="26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Derivative</w:t>
            </w:r>
          </w:p>
        </w:tc>
        <w:tc>
          <w:tcPr>
            <w:tcW w:w="180" w:type="dxa"/>
            <w:vAlign w:val="bottom"/>
            <w:tcBorders>
              <w:bottom w:val="single" w:sz="8" w:color="CCEEFF"/>
            </w:tcBorders>
          </w:tcPr>
          <w:p>
            <w:pPr>
              <w:spacing w:after="0"/>
              <w:rPr>
                <w:sz w:val="19"/>
                <w:szCs w:val="19"/>
                <w:color w:val="auto"/>
              </w:rPr>
            </w:pPr>
          </w:p>
        </w:tc>
        <w:tc>
          <w:tcPr>
            <w:tcW w:w="26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Classification</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3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1,384,727</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474,540</w:t>
            </w:r>
          </w:p>
        </w:tc>
        <w:tc>
          <w:tcPr>
            <w:tcW w:w="2260" w:type="dxa"/>
            <w:vAlign w:val="bottom"/>
          </w:tcPr>
          <w:p>
            <w:pPr>
              <w:spacing w:after="0"/>
              <w:rPr>
                <w:sz w:val="20"/>
                <w:szCs w:val="20"/>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liabilities for amounts payable under insurance policies. These liabilities are comprised of traditional and limited-payment contracts and associated deferred profit liabilities, unpaid claims, and additional insurance liabilities. Also, refer to Note 1 regarding the adoption of ASU 2018-12.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future policy benefits and unpaid claims and the related receivable from reinsurers to the condensed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1680" w:type="dxa"/>
            <w:vAlign w:val="bottom"/>
          </w:tcPr>
          <w:p>
            <w:pPr>
              <w:spacing w:after="0"/>
              <w:rPr>
                <w:sz w:val="20"/>
                <w:szCs w:val="20"/>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Traditional and limited-payment life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570,378,453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581,389,399</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208,486,861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205,802,774</w:t>
            </w:r>
          </w:p>
        </w:tc>
        <w:tc>
          <w:tcPr>
            <w:tcW w:w="16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annuities</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95,436</w:t>
            </w:r>
          </w:p>
        </w:tc>
        <w:tc>
          <w:tcPr>
            <w:tcW w:w="16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502,669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505,208</w:t>
            </w:r>
          </w:p>
        </w:tc>
        <w:tc>
          <w:tcPr>
            <w:tcW w:w="16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policyholder funds</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4,487,939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4,514,783</w:t>
            </w:r>
          </w:p>
        </w:tc>
        <w:tc>
          <w:tcPr>
            <w:tcW w:w="16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3,004,213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3,299,899</w:t>
            </w:r>
          </w:p>
        </w:tc>
        <w:tc>
          <w:tcPr>
            <w:tcW w:w="1680" w:type="dxa"/>
            <w:vAlign w:val="bottom"/>
          </w:tcPr>
          <w:p>
            <w:pPr>
              <w:spacing w:after="0"/>
              <w:rPr>
                <w:sz w:val="18"/>
                <w:szCs w:val="18"/>
                <w:color w:val="auto"/>
              </w:rPr>
            </w:pPr>
          </w:p>
        </w:tc>
      </w:tr>
      <w:tr>
        <w:trPr>
          <w:trHeight w:val="22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3,993,134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4,099,447</w:t>
            </w:r>
          </w:p>
        </w:tc>
        <w:tc>
          <w:tcPr>
            <w:tcW w:w="168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future policy benefits and unpaid claims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790,945,507</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799,706,946</w:t>
            </w:r>
          </w:p>
        </w:tc>
        <w:tc>
          <w:tcPr>
            <w:tcW w:w="168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52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Traditional and limited-payment life</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9,053,706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9,186,983</w:t>
            </w:r>
          </w:p>
        </w:tc>
        <w:tc>
          <w:tcPr>
            <w:tcW w:w="16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972,336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985,258</w:t>
            </w:r>
          </w:p>
        </w:tc>
        <w:tc>
          <w:tcPr>
            <w:tcW w:w="16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70,173</w:t>
            </w:r>
          </w:p>
        </w:tc>
        <w:tc>
          <w:tcPr>
            <w:tcW w:w="16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265,754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131,712</w:t>
            </w:r>
          </w:p>
        </w:tc>
        <w:tc>
          <w:tcPr>
            <w:tcW w:w="1680" w:type="dxa"/>
            <w:vAlign w:val="bottom"/>
          </w:tcPr>
          <w:p>
            <w:pPr>
              <w:spacing w:after="0"/>
              <w:rPr>
                <w:sz w:val="18"/>
                <w:szCs w:val="18"/>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168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10,367,969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10,380,126</w:t>
            </w:r>
          </w:p>
        </w:tc>
        <w:tc>
          <w:tcPr>
            <w:tcW w:w="168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future policy benefits and unpaid claims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780,577,538</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789,326,820</w:t>
            </w:r>
          </w:p>
        </w:tc>
        <w:tc>
          <w:tcPr>
            <w:tcW w:w="168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unpaid claims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6,725,593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7,261,634</w:t>
            </w:r>
          </w:p>
        </w:tc>
        <w:tc>
          <w:tcPr>
            <w:tcW w:w="168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9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and Limited-Payment Life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the liability for future policy benefits for traditional and limited-payment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30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r>
      <w:tr>
        <w:trPr>
          <w:trHeight w:val="189"/>
        </w:trPr>
        <w:tc>
          <w:tcPr>
            <w:tcW w:w="30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Present Value of Expected Net Premiums:</w:t>
            </w:r>
          </w:p>
        </w:tc>
        <w:tc>
          <w:tcPr>
            <w:tcW w:w="224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250,450,302</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252,828,339</w:t>
            </w: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250,331,770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258,790,212</w:t>
            </w:r>
          </w:p>
        </w:tc>
      </w:tr>
      <w:tr>
        <w:trPr>
          <w:trHeight w:val="216"/>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4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(3,405,648)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(3,096,557)</w:t>
            </w:r>
          </w:p>
        </w:tc>
      </w:tr>
      <w:tr>
        <w:trPr>
          <w:trHeight w:val="209"/>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246,926,122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255,693,655</w:t>
            </w:r>
          </w:p>
        </w:tc>
        <w:tc>
          <w:tcPr>
            <w:tcW w:w="10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12,049,636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13,385,026</w:t>
            </w:r>
          </w:p>
        </w:tc>
      </w:tr>
      <w:tr>
        <w:trPr>
          <w:trHeight w:val="216"/>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4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2,951,697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3,092,598</w:t>
            </w:r>
          </w:p>
        </w:tc>
      </w:tr>
      <w:tr>
        <w:trPr>
          <w:trHeight w:val="229"/>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collected (2)</w:t>
            </w: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(12,686,388)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(12,953,003)</w:t>
            </w:r>
          </w:p>
        </w:tc>
      </w:tr>
      <w:tr>
        <w:trPr>
          <w:trHeight w:val="209"/>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249,241,067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259,218,276</w:t>
            </w:r>
          </w:p>
        </w:tc>
        <w:tc>
          <w:tcPr>
            <w:tcW w:w="100" w:type="dxa"/>
            <w:vAlign w:val="bottom"/>
          </w:tcPr>
          <w:p>
            <w:pPr>
              <w:spacing w:after="0"/>
              <w:rPr>
                <w:sz w:val="18"/>
                <w:szCs w:val="18"/>
                <w:color w:val="auto"/>
              </w:rPr>
            </w:pPr>
          </w:p>
        </w:tc>
      </w:tr>
      <w:tr>
        <w:trPr>
          <w:trHeight w:val="230"/>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(3,606,047)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(3,196,885)</w:t>
            </w:r>
          </w:p>
        </w:tc>
      </w:tr>
      <w:tr>
        <w:trPr>
          <w:trHeight w:val="263"/>
        </w:trPr>
        <w:tc>
          <w:tcPr>
            <w:tcW w:w="5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245,635,020</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256,021,391</w:t>
            </w:r>
          </w:p>
        </w:tc>
        <w:tc>
          <w:tcPr>
            <w:tcW w:w="100" w:type="dxa"/>
            <w:vAlign w:val="bottom"/>
            <w:tcBorders>
              <w:bottom w:val="single" w:sz="8" w:color="CCEEFF"/>
            </w:tcBorders>
          </w:tcPr>
          <w:p>
            <w:pPr>
              <w:spacing w:after="0"/>
              <w:rPr>
                <w:sz w:val="22"/>
                <w:szCs w:val="22"/>
                <w:color w:val="auto"/>
              </w:rPr>
            </w:pPr>
          </w:p>
        </w:tc>
      </w:tr>
      <w:tr>
        <w:trPr>
          <w:trHeight w:val="197"/>
        </w:trPr>
        <w:tc>
          <w:tcPr>
            <w:tcW w:w="3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5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Present Value of Expected Future Policy Benefits:</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0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831,839,700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800,812,826</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4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867,177,517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858,516,933</w:t>
            </w:r>
          </w:p>
        </w:tc>
      </w:tr>
      <w:tr>
        <w:trPr>
          <w:trHeight w:val="216"/>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4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(2,090,326)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(1,872,267)</w:t>
            </w:r>
          </w:p>
        </w:tc>
      </w:tr>
      <w:tr>
        <w:trPr>
          <w:trHeight w:val="209"/>
        </w:trPr>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865,087,191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856,644,666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4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12,084,657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13,473,915</w:t>
            </w:r>
          </w:p>
        </w:tc>
      </w:tr>
      <w:tr>
        <w:trPr>
          <w:trHeight w:val="216"/>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10,380,153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10,298,015</w:t>
            </w:r>
          </w:p>
        </w:tc>
      </w:tr>
      <w:tr>
        <w:trPr>
          <w:trHeight w:val="230"/>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4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(17,940,051)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(17,455,096)</w:t>
            </w:r>
          </w:p>
        </w:tc>
      </w:tr>
      <w:tr>
        <w:trPr>
          <w:trHeight w:val="210"/>
        </w:trPr>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869,611,950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862,961,500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4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(53,598,477)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(46,816,274)</w:t>
            </w:r>
          </w:p>
        </w:tc>
      </w:tr>
      <w:tr>
        <w:trPr>
          <w:trHeight w:val="223"/>
        </w:trPr>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816,013,473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816,145,226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pre-flooring</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570,379,368</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560,112,641</w:t>
            </w:r>
          </w:p>
        </w:tc>
      </w:tr>
      <w:tr>
        <w:trPr>
          <w:trHeight w:val="230"/>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Flooring impact, end of period</w:t>
            </w:r>
          </w:p>
        </w:tc>
        <w:tc>
          <w:tcPr>
            <w:tcW w:w="4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11,194</w:t>
            </w:r>
          </w:p>
        </w:tc>
      </w:tr>
      <w:tr>
        <w:trPr>
          <w:trHeight w:val="210"/>
        </w:trPr>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post-flooring</w:t>
            </w: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570,378,453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560,123,835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4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9,053,706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9,262,372</w:t>
            </w:r>
          </w:p>
        </w:tc>
      </w:tr>
      <w:tr>
        <w:trPr>
          <w:trHeight w:val="223"/>
        </w:trPr>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after reinsurance</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561,324,747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550,861,463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line="282" w:lineRule="auto"/>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the net effect of actual variances from expected experience was primarily due to lapses. Actual mortality and surrenders were close to expected.</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collected represent the portion of gross premiums collected from policyholders that is used to fund expected benefit payments.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undiscounted and discounted expected gross premiums and expected future benefit payments for traditional and limited-payment life: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8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expected future benefit payments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1,932,292,660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1,935,169,657</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original discount rate)</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869,611,949</w:t>
            </w:r>
          </w:p>
        </w:tc>
        <w:tc>
          <w:tcPr>
            <w:tcW w:w="4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862,961,500</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current discount rate)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816,013,472</w:t>
            </w: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816,145,226</w:t>
            </w:r>
          </w:p>
        </w:tc>
      </w:tr>
      <w:tr>
        <w:trPr>
          <w:trHeight w:val="216"/>
        </w:trPr>
        <w:tc>
          <w:tcPr>
            <w:tcW w:w="5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expected future gross premiums</w:t>
            </w:r>
          </w:p>
        </w:tc>
        <w:tc>
          <w:tcPr>
            <w:tcW w:w="11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809,818,009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839,169,818</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original discount rate)</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542,367,174</w:t>
            </w:r>
          </w:p>
        </w:tc>
        <w:tc>
          <w:tcPr>
            <w:tcW w:w="4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560,102,998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current discount rate)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534,520,146</w:t>
            </w: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553,195,364</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gross premiums and interest accretion recognized in insurance premiums and other considerations and policyholder benefits and claims, respectively, in the condensed consolidated statements of earnings for traditional and limited-payment life: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premiums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28,778,299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29,585,306</w:t>
            </w:r>
          </w:p>
        </w:tc>
        <w:tc>
          <w:tcPr>
            <w:tcW w:w="8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7,428,456</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7,205,417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interest rates for traditional and limited-payment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As of 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rate</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4.90%</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discount rate</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5.90%</w:t>
            </w:r>
          </w:p>
        </w:tc>
        <w:tc>
          <w:tcPr>
            <w:tcW w:w="6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duration of the liability for traditional and limited-payment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 of 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Duration of the liability in years (at original discount rate)</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15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Duration of the liability in years (at current discount rate)</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Adverse Development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respectively, there were immaterial impacts to net earnings for traditional and limited-payment life, where net premiums exceeded gross premiums for certain issue-year cohorts.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Profit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traditional and limited-payment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7"/>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2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205,802,774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4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(1,026,648)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(1,320,624)</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204,776,126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190,958,369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4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16,091,911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16,632,303</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2,553,079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2,394,251</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(14,934,255)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(14,635,574)</w:t>
            </w: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208,486,861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195,349,349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972,336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1,011,354</w:t>
            </w:r>
          </w:p>
        </w:tc>
        <w:tc>
          <w:tcPr>
            <w:tcW w:w="80" w:type="dxa"/>
            <w:vAlign w:val="bottom"/>
            <w:shd w:val="clear" w:color="auto" w:fill="CCEEFF"/>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207,514,525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194,337,995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line="282" w:lineRule="auto"/>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the net effect of actual variances from expected experience was primarily due to lapses. Actual mortality and surrenders were close to expected.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Unpaid Claims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Company’s liability for reported but unpaid claims and incurred but not reported claims, net of the related receivable from reinsurers.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Annuities</w:t>
            </w:r>
          </w:p>
        </w:tc>
        <w:tc>
          <w:tcPr>
            <w:tcW w:w="8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Health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12/31/2025</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6,941,791</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302,843</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7,261,634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15,889,797(1)</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3,602,875(2)</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19,504,047</w:t>
            </w:r>
          </w:p>
        </w:tc>
        <w:tc>
          <w:tcPr>
            <w:tcW w:w="8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(16,474,852)</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(3,563,861)</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(20,040,088)</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3/31/2026</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6,356,736</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341,857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Annuities</w:t>
            </w:r>
          </w:p>
        </w:tc>
        <w:tc>
          <w:tcPr>
            <w:tcW w:w="8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Health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12/31/2024</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6,363,243</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16,045,465(1)</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3,208,604(2)</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19,254,369</w:t>
            </w:r>
          </w:p>
        </w:tc>
        <w:tc>
          <w:tcPr>
            <w:tcW w:w="8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(15,559,375)</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(2,938,897)</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(18,498,572)</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3/31/2025</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6,849,333</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525,187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7,391,520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policyholder account balances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establishes liabilities for policyholder account balances, which are generally equal to the account value, and which include interest credited.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policyholder account balances and the related receivable from reinsurers to the condensed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103,029,371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104,233,454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fixed annuities</w:t>
            </w:r>
          </w:p>
        </w:tc>
        <w:tc>
          <w:tcPr>
            <w:tcW w:w="20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523,926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546,802</w:t>
            </w: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35,289,278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35,825,494</w:t>
            </w:r>
          </w:p>
        </w:tc>
      </w:tr>
      <w:tr>
        <w:trPr>
          <w:trHeight w:val="230"/>
        </w:trPr>
        <w:tc>
          <w:tcPr>
            <w:tcW w:w="19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policyholder account balances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138,842,575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140,605,750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2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3,092,871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3,275,247</w:t>
            </w:r>
          </w:p>
        </w:tc>
      </w:tr>
      <w:tr>
        <w:trPr>
          <w:trHeight w:val="230"/>
        </w:trPr>
        <w:tc>
          <w:tcPr>
            <w:tcW w:w="19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3,275,247</w:t>
            </w:r>
          </w:p>
        </w:tc>
        <w:tc>
          <w:tcPr>
            <w:tcW w:w="100" w:type="dxa"/>
            <w:vAlign w:val="bottom"/>
            <w:shd w:val="clear" w:color="auto" w:fill="CCEEFF"/>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policyholder account balances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135,749,704</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137,330,503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and changes in policyholder account balances for the lines of business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6"/>
          </w:tcPr>
          <w:p>
            <w:pPr>
              <w:jc w:val="right"/>
              <w:ind w:right="12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328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6"/>
          </w:tcPr>
          <w:p>
            <w:pPr>
              <w:jc w:val="right"/>
              <w:ind w:right="144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328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3"/>
        </w:trPr>
        <w:tc>
          <w:tcPr>
            <w:tcW w:w="4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Universal Life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Fixed Annuities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Universal Life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Fixed Annuities</w:t>
            </w:r>
          </w:p>
        </w:tc>
        <w:tc>
          <w:tcPr>
            <w:tcW w:w="160" w:type="dxa"/>
            <w:vAlign w:val="bottom"/>
          </w:tcPr>
          <w:p>
            <w:pPr>
              <w:spacing w:after="0"/>
              <w:rPr>
                <w:sz w:val="19"/>
                <w:szCs w:val="19"/>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104,233,454</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337,324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2,202,600</w:t>
            </w: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353,341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2,711,947</w:t>
            </w: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credited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764,992</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767,523</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 charges (1)</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(2,097)</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Surrenders, withdrawals and benefit payments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(4,169,578)</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(384,291)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(3,713,105)</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35,289,278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103,029,371</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36,951,111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104,853,296</w:t>
            </w:r>
          </w:p>
        </w:tc>
        <w:tc>
          <w:tcPr>
            <w:tcW w:w="160" w:type="dxa"/>
            <w:vAlign w:val="bottom"/>
          </w:tcPr>
          <w:p>
            <w:pPr>
              <w:spacing w:after="0"/>
              <w:rPr>
                <w:sz w:val="18"/>
                <w:szCs w:val="18"/>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3,092,871</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3,438,939</w:t>
            </w:r>
          </w:p>
        </w:tc>
      </w:tr>
      <w:tr>
        <w:trPr>
          <w:trHeight w:val="26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Policyholder account balances, net of reinsurance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35,289,278</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99,936,500</w:t>
            </w:r>
          </w:p>
        </w:tc>
        <w:tc>
          <w:tcPr>
            <w:tcW w:w="3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36,951,111</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101,414,357</w:t>
            </w:r>
          </w:p>
        </w:tc>
        <w:tc>
          <w:tcPr>
            <w:tcW w:w="160" w:type="dxa"/>
            <w:vAlign w:val="bottom"/>
            <w:tcBorders>
              <w:bottom w:val="single" w:sz="8" w:color="CCEEFF"/>
            </w:tcBorders>
          </w:tcPr>
          <w:p>
            <w:pPr>
              <w:spacing w:after="0"/>
              <w:rPr>
                <w:sz w:val="22"/>
                <w:szCs w:val="22"/>
                <w:color w:val="auto"/>
              </w:rPr>
            </w:pPr>
          </w:p>
        </w:tc>
      </w:tr>
      <w:tr>
        <w:trPr>
          <w:trHeight w:val="196"/>
        </w:trPr>
        <w:tc>
          <w:tcPr>
            <w:tcW w:w="4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crediting rate</w:t>
            </w: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at risk (2)</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130,213,794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137,245,425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w:t>
            </w:r>
          </w:p>
        </w:tc>
        <w:tc>
          <w:tcPr>
            <w:tcW w:w="16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35,289,277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102,546,622</w:t>
            </w:r>
          </w:p>
        </w:tc>
        <w:tc>
          <w:tcPr>
            <w:tcW w:w="14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36,951,111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104,493,368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280" w:hanging="209"/>
        <w:spacing w:after="0" w:line="282" w:lineRule="auto"/>
        <w:rPr>
          <w:sz w:val="20"/>
          <w:szCs w:val="20"/>
          <w:color w:val="auto"/>
        </w:rPr>
      </w:pPr>
      <w:r>
        <w:rPr>
          <w:rFonts w:ascii="Times New Roman" w:cs="Times New Roman" w:eastAsia="Times New Roman" w:hAnsi="Times New Roman"/>
          <w:sz w:val="18"/>
          <w:szCs w:val="18"/>
          <w:color w:val="auto"/>
        </w:rPr>
        <w:t>(1)Contracts included in the policyholder account balances are generally charged a premium and/or monthly assessments on the basis of the account balance. Included in premiums and other considerations on the consolidated statements of earnings.</w:t>
      </w:r>
    </w:p>
    <w:p>
      <w:pPr>
        <w:spacing w:after="0" w:line="54" w:lineRule="exact"/>
        <w:rPr>
          <w:sz w:val="20"/>
          <w:szCs w:val="20"/>
          <w:color w:val="auto"/>
        </w:rPr>
      </w:pPr>
    </w:p>
    <w:p>
      <w:pPr>
        <w:ind w:left="280" w:hanging="209"/>
        <w:spacing w:after="0" w:line="282" w:lineRule="auto"/>
        <w:rPr>
          <w:sz w:val="20"/>
          <w:szCs w:val="20"/>
          <w:color w:val="auto"/>
        </w:rPr>
      </w:pPr>
      <w:r>
        <w:rPr>
          <w:rFonts w:ascii="Times New Roman" w:cs="Times New Roman" w:eastAsia="Times New Roman" w:hAnsi="Times New Roman"/>
          <w:sz w:val="18"/>
          <w:szCs w:val="18"/>
          <w:color w:val="auto"/>
        </w:rPr>
        <w:t>(2)For those guarantees of benefits that are payable in the event of death, the net amount at risk is generally defined as the current guaranteed minimum death benefit in excess of the current account balance at the balance sheet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fixed annuities: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546,802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627,465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w:t>
            </w:r>
          </w:p>
        </w:tc>
        <w:tc>
          <w:tcPr>
            <w:tcW w:w="9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546,802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627,465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9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(22,876)</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(19,409)</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523,926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608,056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9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523,926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608,056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for the lines of business indicated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1"/>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Greater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1-50 bps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51-150 bps</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150 bps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above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above</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above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 guaranteed</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guaranteed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guaranteed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guaranteed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minimum</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minimum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90"/>
        </w:trPr>
        <w:tc>
          <w:tcPr>
            <w:tcW w:w="10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Universal Life</w:t>
            </w:r>
          </w:p>
        </w:tc>
        <w:tc>
          <w:tcPr>
            <w:tcW w:w="24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24,884,774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1,541,532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26,426,306</w:t>
            </w:r>
          </w:p>
        </w:tc>
        <w:tc>
          <w:tcPr>
            <w:tcW w:w="1140" w:type="dxa"/>
            <w:vAlign w:val="bottom"/>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4,284,184</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4,578,788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8,862,972</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29,168,958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35,289,278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Fixed Annuities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10,729,410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9,927,428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20,656,838</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5,689,266</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330,239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4,848,175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10,867,680</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47,533,902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10,286,807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58,308,257</w:t>
            </w:r>
          </w:p>
        </w:tc>
        <w:tc>
          <w:tcPr>
            <w:tcW w:w="1140" w:type="dxa"/>
            <w:vAlign w:val="bottom"/>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12,847,413</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349,183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13,196,596</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76,799,991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5,280,462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103,029,371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Greater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1-50 bps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51-150 bps</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150 bps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above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above</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above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 guaranteed</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guaranteed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guaranteed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guaranteed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minimum</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minimum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90"/>
        </w:trPr>
        <w:tc>
          <w:tcPr>
            <w:tcW w:w="10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Universal Life</w:t>
            </w:r>
          </w:p>
        </w:tc>
        <w:tc>
          <w:tcPr>
            <w:tcW w:w="24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25,948,248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1,524,901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27,473,149</w:t>
            </w:r>
          </w:p>
        </w:tc>
        <w:tc>
          <w:tcPr>
            <w:tcW w:w="1140" w:type="dxa"/>
            <w:vAlign w:val="bottom"/>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4,725,717</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4,752,245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9,477,962</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30,673,965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4,752,245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36,951,111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Fixed Annuities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11,826,448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11,168,785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22,995,233</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4,854,112</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327,727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10,236,552</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47,384,970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10,552,439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58,424,252</w:t>
            </w:r>
          </w:p>
        </w:tc>
        <w:tc>
          <w:tcPr>
            <w:tcW w:w="1140" w:type="dxa"/>
            <w:vAlign w:val="bottom"/>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12,848,005</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349,254</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13,197,259</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76,913,535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104,853,296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55"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80" w:lineRule="exact"/>
        <w:rPr>
          <w:sz w:val="20"/>
          <w:szCs w:val="20"/>
          <w:color w:val="auto"/>
        </w:rPr>
      </w:pPr>
    </w:p>
    <w:p>
      <w:pPr>
        <w:ind w:left="300" w:hanging="292"/>
        <w:spacing w:after="0"/>
        <w:tabs>
          <w:tab w:leader="none" w:pos="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OBBBA did not have a material impact on the Company’s estimated effective tax rate for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overall effective tax rate for the three-month periods ended March 31, 2026 and 2025 was 22.7% and 22.3%, respectively, which resulted in a provision for income taxes of $2,050,892 and $1,836,598, respectively. The Company’s effective tax rate is higher than the U.S. federal statutory rate of 21% due to, among other factors, state taxes as offset by certain state income tax benefits, along with certain permanent tax adjustments such as meals and entertainment and stock-based compensation. The increase in the effective tax rate when compared to the prior year was primarily due to certain permanent tax adjustments that are higher when compared to the prior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 Equity</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Class A</w:t>
            </w: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Class C</w:t>
            </w:r>
          </w:p>
        </w:tc>
      </w:tr>
      <w:tr>
        <w:trPr>
          <w:trHeight w:val="210"/>
        </w:trPr>
        <w:tc>
          <w:tcPr>
            <w:tcW w:w="5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22,428,625</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3,587,237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1,051</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3,087</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March 31, 2026</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22,432,763</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3,587,237</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2024 (1)</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22,321,559</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3,492,674</w:t>
            </w: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66,273</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95,337</w:t>
            </w:r>
          </w:p>
        </w:tc>
      </w:tr>
      <w:tr>
        <w:trPr>
          <w:trHeight w:val="229"/>
        </w:trPr>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460</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Outstanding shares at March 31, 2025</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22,388,292</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3,588,011</w:t>
            </w: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2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w w:val="98"/>
              </w:rPr>
              <w:t>(1)Adjusted retroactively for the effect</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annual stock dividends</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regarding the adoption of ASU 2018-12.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(4,167,685)</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3,988,782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4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(127,525)</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3,861,257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908,982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(811,680)</w:t>
            </w:r>
          </w:p>
        </w:tc>
      </w:tr>
      <w:tr>
        <w:trPr>
          <w:trHeight w:val="210"/>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(3,407,329</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3,049,577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cemetery perpetual care trust investments (1)</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14,536,081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(8,122,845)</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(3,052,578)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1,705,797</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11,483,503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(6,417,048</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8,073,939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(3,362,137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9" w:name="page60"/>
    <w:bookmarkEnd w:id="59"/>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March 31, 2026:</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1"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8"/>
          <w:szCs w:val="18"/>
          <w:color w:val="auto"/>
        </w:rPr>
        <w:t>Interest rate remeasurement of future policy benefits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Change for the</w:t>
            </w:r>
          </w:p>
        </w:tc>
        <w:tc>
          <w:tcPr>
            <w:tcW w:w="12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34"/>
        </w:trPr>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period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31, 2026</w:t>
            </w:r>
          </w:p>
        </w:tc>
        <w:tc>
          <w:tcPr>
            <w:tcW w:w="60" w:type="dxa"/>
            <w:vAlign w:val="bottom"/>
            <w:gridSpan w:val="2"/>
          </w:tcPr>
          <w:p>
            <w:pPr>
              <w:spacing w:after="0"/>
              <w:rPr>
                <w:sz w:val="20"/>
                <w:szCs w:val="20"/>
                <w:color w:val="auto"/>
              </w:rPr>
            </w:pPr>
          </w:p>
        </w:tc>
      </w:tr>
      <w:tr>
        <w:trPr>
          <w:trHeight w:val="39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752,551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(3,407,329)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(2,654,778)</w:t>
            </w:r>
          </w:p>
        </w:tc>
      </w:tr>
      <w:tr>
        <w:trPr>
          <w:trHeight w:val="234"/>
        </w:trPr>
        <w:tc>
          <w:tcPr>
            <w:tcW w:w="42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427"/>
        </w:trPr>
        <w:tc>
          <w:tcPr>
            <w:tcW w:w="42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4"/>
        </w:trPr>
        <w:tc>
          <w:tcPr>
            <w:tcW w:w="42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28,010,516</w:t>
            </w:r>
          </w:p>
        </w:tc>
        <w:tc>
          <w:tcPr>
            <w:tcW w:w="16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11,483,503</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39,494,019</w:t>
            </w:r>
          </w:p>
        </w:tc>
        <w:tc>
          <w:tcPr>
            <w:tcW w:w="40" w:type="dxa"/>
            <w:vAlign w:val="bottom"/>
          </w:tcPr>
          <w:p>
            <w:pPr>
              <w:spacing w:after="0"/>
              <w:rPr>
                <w:sz w:val="20"/>
                <w:szCs w:val="20"/>
                <w:color w:val="auto"/>
              </w:rPr>
            </w:pPr>
          </w:p>
        </w:tc>
      </w:tr>
      <w:tr>
        <w:trPr>
          <w:trHeight w:val="223"/>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8,073,939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36,836,062</w:t>
            </w:r>
          </w:p>
        </w:tc>
        <w:tc>
          <w:tcPr>
            <w:tcW w:w="40" w:type="dxa"/>
            <w:vAlign w:val="bottom"/>
          </w:tcPr>
          <w:p>
            <w:pPr>
              <w:spacing w:after="0"/>
              <w:rPr>
                <w:sz w:val="19"/>
                <w:szCs w:val="19"/>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-1010920</wp:posOffset>
            </wp:positionV>
            <wp:extent cx="641223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-599440</wp:posOffset>
            </wp:positionV>
            <wp:extent cx="641223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-179070</wp:posOffset>
            </wp:positionV>
            <wp:extent cx="641223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340"/>
            <w:col w:w="5279"/>
          </w:cols>
          <w:pgMar w:left="320" w:top="688"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accumulated balances of other comprehensive income (loss) as of December 31, 2025:</w:t>
      </w:r>
    </w:p>
    <w:p>
      <w:pPr>
        <w:sectPr>
          <w:pgSz w:w="11900" w:h="16838" w:orient="portrait"/>
          <w:cols w:equalWidth="0" w:num="1">
            <w:col w:w="10139"/>
          </w:cols>
          <w:pgMar w:left="320" w:top="6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1"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8"/>
          <w:szCs w:val="18"/>
          <w:color w:val="auto"/>
        </w:rPr>
        <w:t>Interest rate remeasurement of future policy benefits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18"/>
                <w:szCs w:val="18"/>
                <w:color w:val="auto"/>
              </w:rPr>
            </w:pPr>
          </w:p>
        </w:tc>
        <w:tc>
          <w:tcPr>
            <w:tcW w:w="16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Change for the</w:t>
            </w: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34"/>
        </w:trPr>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period</w:t>
            </w:r>
          </w:p>
        </w:tc>
        <w:tc>
          <w:tcPr>
            <w:tcW w:w="30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60" w:type="dxa"/>
            <w:vAlign w:val="bottom"/>
          </w:tcPr>
          <w:p>
            <w:pPr>
              <w:spacing w:after="0"/>
              <w:rPr>
                <w:sz w:val="20"/>
                <w:szCs w:val="20"/>
                <w:color w:val="auto"/>
              </w:rPr>
            </w:pPr>
          </w:p>
        </w:tc>
      </w:tr>
      <w:tr>
        <w:trPr>
          <w:trHeight w:val="39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7,899,935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752,551</w:t>
            </w:r>
          </w:p>
        </w:tc>
        <w:tc>
          <w:tcPr>
            <w:tcW w:w="6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tcPr>
          <w:p>
            <w:pPr>
              <w:spacing w:after="0"/>
              <w:rPr>
                <w:sz w:val="20"/>
                <w:szCs w:val="20"/>
                <w:color w:val="auto"/>
              </w:rPr>
            </w:pPr>
          </w:p>
        </w:tc>
        <w:tc>
          <w:tcPr>
            <w:tcW w:w="16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(5,225)</w:t>
            </w:r>
          </w:p>
        </w:tc>
        <w:tc>
          <w:tcPr>
            <w:tcW w:w="160" w:type="dxa"/>
            <w:vAlign w:val="bottom"/>
          </w:tcPr>
          <w:p>
            <w:pPr>
              <w:spacing w:after="0"/>
              <w:rPr>
                <w:sz w:val="24"/>
                <w:szCs w:val="24"/>
                <w:color w:val="auto"/>
              </w:rPr>
            </w:pPr>
          </w:p>
        </w:tc>
        <w:tc>
          <w:tcPr>
            <w:tcW w:w="16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48"/>
        </w:trPr>
        <w:tc>
          <w:tcPr>
            <w:tcW w:w="4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40,876,364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(12,865,848)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28,010,516</w:t>
            </w:r>
          </w:p>
        </w:tc>
        <w:tc>
          <w:tcPr>
            <w:tcW w:w="60" w:type="dxa"/>
            <w:vAlign w:val="bottom"/>
          </w:tcPr>
          <w:p>
            <w:pPr>
              <w:spacing w:after="0"/>
              <w:rPr>
                <w:sz w:val="21"/>
                <w:szCs w:val="21"/>
                <w:color w:val="auto"/>
              </w:rPr>
            </w:pPr>
          </w:p>
        </w:tc>
      </w:tr>
      <w:tr>
        <w:trPr>
          <w:trHeight w:val="223"/>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60" w:type="dxa"/>
            <w:vAlign w:val="bottom"/>
          </w:tcPr>
          <w:p>
            <w:pPr>
              <w:spacing w:after="0"/>
              <w:rPr>
                <w:sz w:val="19"/>
                <w:szCs w:val="19"/>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-1010920</wp:posOffset>
            </wp:positionV>
            <wp:extent cx="641223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-599440</wp:posOffset>
            </wp:positionV>
            <wp:extent cx="641223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-179070</wp:posOffset>
            </wp:positionV>
            <wp:extent cx="641223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340"/>
            <w:col w:w="5279"/>
          </w:cols>
          <w:pgMar w:left="320" w:top="688" w:right="1440" w:bottom="1440" w:gutter="0" w:footer="0" w:header="0"/>
          <w:type w:val="continuous"/>
        </w:sectPr>
      </w:pP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60" w:name="page61"/>
    <w:bookmarkEnd w:id="6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have been retroactively adjusted for the effect of annual stock dividends. In accordance with GAAP, the basic and diluted earnings per share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March 31,</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7,001,426</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6,413,735</w:t>
            </w: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24,818,596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24,699,405</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721,312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992,242</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25,540,657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25,691,647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periods ended March 31, 2026, and 2025, there were 402,994 and 382,700 anti-dilutive stock option shares, respectively, that were not included in the computation of diluted net earnings per common share as their effect would be anti-dilutive. Basic and diluted earnings per share are the same for each class of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1" w:name="page62"/>
    <w:bookmarkEnd w:id="61"/>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identified three operating and reportable business segments: life insurance, funeral home and cemetery, and mortgage. The Company’s life insurance segment revenue consists of life insurance premiums; fees earned on factored life insurance policies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funeral home and cemetery segment revenue consists of fees from the sale of at-need cemetery and funeral home merchandise, services at its funeral homes and cemeteries, pre-need sales of cemetery spaces and the net investment income from investing surplus cash. Its expenses include operating expenses to maintain funeral home and cemetery operations and commissions related to the sale of insurance products sold by the Company’s agents. The Company’s mortgage segment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and Cost Sharing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Part II, Item 8, Note 1 - Significant Accounting Policies of the Company’s Annual Report on Form 10-K for the year ended December 31, 2025.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Company’s Operating and Reportable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Chief Operating Decision Maker (“CODM”)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month-over-month and year-over-year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 Business Segment Information (Continued)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17"/>
                <w:szCs w:val="17"/>
                <w:color w:val="auto"/>
              </w:rPr>
            </w:pPr>
          </w:p>
        </w:tc>
        <w:tc>
          <w:tcPr>
            <w:tcW w:w="1260" w:type="dxa"/>
            <w:vAlign w:val="bottom"/>
            <w:gridSpan w:val="3"/>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Funeral Home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and Cemetery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28,855,254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7,733,823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23,489,659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60,078,736</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17,717,277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18,501,348</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350,748</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160,642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797,948</w:t>
            </w:r>
          </w:p>
        </w:tc>
      </w:tr>
      <w:tr>
        <w:trPr>
          <w:trHeight w:val="229"/>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1,523,146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1,679,288</w:t>
            </w:r>
          </w:p>
        </w:tc>
      </w:tr>
      <w:tr>
        <w:trPr>
          <w:trHeight w:val="210"/>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48,853,243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8,556,504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23,998,321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81,408,068</w:t>
            </w:r>
          </w:p>
        </w:tc>
        <w:tc>
          <w:tcPr>
            <w:tcW w:w="80" w:type="dxa"/>
            <w:vAlign w:val="bottom"/>
            <w:tcBorders>
              <w:bottom w:val="single" w:sz="8" w:color="CCEEFF"/>
            </w:tcBorders>
          </w:tcPr>
          <w:p>
            <w:pPr>
              <w:spacing w:after="0"/>
              <w:rPr>
                <w:sz w:val="18"/>
                <w:szCs w:val="18"/>
                <w:color w:val="auto"/>
              </w:rPr>
            </w:pPr>
          </w:p>
        </w:tc>
      </w:tr>
      <w:tr>
        <w:trPr>
          <w:trHeight w:val="209"/>
        </w:trPr>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(1,679,288)</w:t>
            </w:r>
          </w:p>
        </w:tc>
      </w:tr>
      <w:tr>
        <w:trPr>
          <w:trHeight w:val="210"/>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79,728,780</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24,539,397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2,689,374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289,944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472,826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238,209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8,082,825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8,738,857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9,129,709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689,999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354,819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4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considerations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659,615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2,349,313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1,362,050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1,873,463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156,141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1,443,058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892,777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1,233,449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1,663,288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7,001,426</w:t>
            </w:r>
          </w:p>
        </w:tc>
        <w:tc>
          <w:tcPr>
            <w:tcW w:w="80" w:type="dxa"/>
            <w:vAlign w:val="bottom"/>
          </w:tcPr>
          <w:p>
            <w:pPr>
              <w:spacing w:after="0"/>
              <w:rPr>
                <w:sz w:val="18"/>
                <w:szCs w:val="18"/>
                <w:color w:val="auto"/>
              </w:rPr>
            </w:pPr>
          </w:p>
        </w:tc>
      </w:tr>
      <w:tr>
        <w:trPr>
          <w:trHeight w:val="230"/>
        </w:trPr>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7,001,426</w:t>
            </w:r>
          </w:p>
        </w:tc>
        <w:tc>
          <w:tcPr>
            <w:tcW w:w="80" w:type="dxa"/>
            <w:vAlign w:val="bottom"/>
            <w:tcBorders>
              <w:bottom w:val="single" w:sz="8" w:color="CCEEFF"/>
            </w:tcBorders>
          </w:tcPr>
          <w:p>
            <w:pPr>
              <w:spacing w:after="0"/>
              <w:rPr>
                <w:sz w:val="22"/>
                <w:szCs w:val="22"/>
                <w:color w:val="auto"/>
              </w:rPr>
            </w:pPr>
          </w:p>
        </w:tc>
      </w:tr>
      <w:tr>
        <w:trPr>
          <w:trHeight w:val="197"/>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1,412,106,259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108,161,913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81,768,909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1,602,037,081</w:t>
            </w:r>
          </w:p>
        </w:tc>
      </w:tr>
      <w:tr>
        <w:trPr>
          <w:trHeight w:val="196"/>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(21,253,140)</w:t>
            </w:r>
          </w:p>
        </w:tc>
      </w:tr>
      <w:tr>
        <w:trPr>
          <w:trHeight w:val="223"/>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1,580,783,941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31,477,400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182,707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31,660,107</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20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ind w:left="660"/>
        <w:spacing w:after="0" w:line="250" w:lineRule="auto"/>
        <w:rPr>
          <w:sz w:val="20"/>
          <w:szCs w:val="20"/>
          <w:color w:val="auto"/>
        </w:rPr>
      </w:pPr>
      <w:r>
        <w:rPr>
          <w:rFonts w:ascii="Times New Roman" w:cs="Times New Roman" w:eastAsia="Times New Roman" w:hAnsi="Times New Roman"/>
          <w:sz w:val="18"/>
          <w:szCs w:val="18"/>
          <w:color w:val="auto"/>
        </w:rPr>
        <w:t>Funeral Home and Cemetery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For each reportable segment, intersegment expenses includes: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Life Insurance - mortgage servicing fees and interest expense.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Funeral Home and Cemetery - rent expense, data processing and IT related expenses, and interest expense.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Mortgage - rent expense and interest 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204" w:gutter="0" w:footer="0" w:header="0"/>
        </w:sectPr>
      </w:pPr>
    </w:p>
    <w:bookmarkStart w:id="63" w:name="page64"/>
    <w:bookmarkEnd w:id="63"/>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 Business Segment Information (Continued)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For the Three Months Ended March 31, 2025</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17"/>
                <w:szCs w:val="17"/>
                <w:color w:val="auto"/>
              </w:rPr>
            </w:pPr>
          </w:p>
        </w:tc>
        <w:tc>
          <w:tcPr>
            <w:tcW w:w="124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Funeral Home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and Cemetery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29,779,525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7,300,221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24,809,241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61,888,987</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18,630,945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19,202,624</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290,534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1,062,091</w:t>
            </w:r>
          </w:p>
        </w:tc>
      </w:tr>
      <w:tr>
        <w:trPr>
          <w:trHeight w:val="229"/>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1,319,923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83,836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1,525,627</w:t>
            </w:r>
          </w:p>
        </w:tc>
      </w:tr>
      <w:tr>
        <w:trPr>
          <w:trHeight w:val="210"/>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50,606,525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25,455,695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84,265,350</w:t>
            </w:r>
          </w:p>
        </w:tc>
        <w:tc>
          <w:tcPr>
            <w:tcW w:w="80" w:type="dxa"/>
            <w:vAlign w:val="bottom"/>
            <w:tcBorders>
              <w:bottom w:val="single" w:sz="8" w:color="CCEEFF"/>
            </w:tcBorders>
          </w:tcPr>
          <w:p>
            <w:pPr>
              <w:spacing w:after="0"/>
              <w:rPr>
                <w:sz w:val="18"/>
                <w:szCs w:val="18"/>
                <w:color w:val="auto"/>
              </w:rPr>
            </w:pPr>
          </w:p>
        </w:tc>
      </w:tr>
      <w:tr>
        <w:trPr>
          <w:trHeight w:val="209"/>
        </w:trPr>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(1,525,627)</w:t>
            </w:r>
          </w:p>
        </w:tc>
      </w:tr>
      <w:tr>
        <w:trPr>
          <w:trHeight w:val="210"/>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82,739,723</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25,455,174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2,623,034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9,367,618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8,526,188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2,538,026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11,118,194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151,609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242,812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4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considerations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718,071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2,624,538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1,642,444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205,558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87,441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1,232,628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1,785,207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534,844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(483,453)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6,221,599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6,413,735</w:t>
            </w:r>
          </w:p>
        </w:tc>
        <w:tc>
          <w:tcPr>
            <w:tcW w:w="80" w:type="dxa"/>
            <w:vAlign w:val="bottom"/>
          </w:tcPr>
          <w:p>
            <w:pPr>
              <w:spacing w:after="0"/>
              <w:rPr>
                <w:sz w:val="18"/>
                <w:szCs w:val="18"/>
                <w:color w:val="auto"/>
              </w:rPr>
            </w:pPr>
          </w:p>
        </w:tc>
      </w:tr>
      <w:tr>
        <w:trPr>
          <w:trHeight w:val="230"/>
        </w:trPr>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6,413,735</w:t>
            </w:r>
          </w:p>
        </w:tc>
        <w:tc>
          <w:tcPr>
            <w:tcW w:w="80" w:type="dxa"/>
            <w:vAlign w:val="bottom"/>
            <w:tcBorders>
              <w:bottom w:val="single" w:sz="8" w:color="CCEEFF"/>
            </w:tcBorders>
          </w:tcPr>
          <w:p>
            <w:pPr>
              <w:spacing w:after="0"/>
              <w:rPr>
                <w:sz w:val="22"/>
                <w:szCs w:val="22"/>
                <w:color w:val="auto"/>
              </w:rPr>
            </w:pPr>
          </w:p>
        </w:tc>
      </w:tr>
      <w:tr>
        <w:trPr>
          <w:trHeight w:val="197"/>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1,360,748,004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100,073,999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100,755,930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1,561,577,933</w:t>
            </w:r>
          </w:p>
        </w:tc>
      </w:tr>
      <w:tr>
        <w:trPr>
          <w:trHeight w:val="196"/>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(30,644,368)</w:t>
            </w:r>
          </w:p>
        </w:tc>
      </w:tr>
      <w:tr>
        <w:trPr>
          <w:trHeight w:val="223"/>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1,530,933,565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16,717,670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257,933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17,084,737</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20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ind w:left="660"/>
        <w:spacing w:after="0" w:line="250" w:lineRule="auto"/>
        <w:rPr>
          <w:sz w:val="20"/>
          <w:szCs w:val="20"/>
          <w:color w:val="auto"/>
        </w:rPr>
      </w:pPr>
      <w:r>
        <w:rPr>
          <w:rFonts w:ascii="Times New Roman" w:cs="Times New Roman" w:eastAsia="Times New Roman" w:hAnsi="Times New Roman"/>
          <w:sz w:val="18"/>
          <w:szCs w:val="18"/>
          <w:color w:val="auto"/>
        </w:rPr>
        <w:t>Funeral Home and Cemetery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For each reportable segment, intersegment expenses includes: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Life Insurance - mortgage servicing fees and interest expense.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Funeral Home and Cemetery - rent expense, data processing and IT related expenses, and interest expense.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Mortgage - rent expense and interest 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204" w:gutter="0" w:footer="0" w:header="0"/>
        </w:sectPr>
      </w:pPr>
    </w:p>
    <w:bookmarkStart w:id="64" w:name="page65"/>
    <w:bookmarkEnd w:id="64"/>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presented in its disclosures related to significant financial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right="7340" w:firstLine="8"/>
        <w:spacing w:after="0" w:line="499" w:lineRule="auto"/>
        <w:tabs>
          <w:tab w:leader="none" w:pos="2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conditions.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property with the funds required for estimated future policy benefits. Accordingly, in addition to an appraisal, the determination of fair value will generally be weighed more heavily toward the rental analysis.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net rental income over seven years. The Company also considers comparable properties in the area and property conditions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367,565,925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366,991,282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18,346,314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18,346,314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137,607,689</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137,607,689</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548,032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548,032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16,284,878</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16,284,878</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272,403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272,403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6,515,143</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6,515,143</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2,959,819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2,959,819</w:t>
            </w:r>
          </w:p>
        </w:tc>
        <w:tc>
          <w:tcPr>
            <w:tcW w:w="80" w:type="dxa"/>
            <w:vAlign w:val="bottom"/>
            <w:shd w:val="clear" w:color="auto" w:fill="CCEEFF"/>
          </w:tcPr>
          <w:p>
            <w:pPr>
              <w:spacing w:after="0"/>
              <w:rPr>
                <w:sz w:val="19"/>
                <w:szCs w:val="19"/>
                <w:color w:val="auto"/>
              </w:rPr>
            </w:pPr>
          </w:p>
        </w:tc>
      </w:tr>
      <w:tr>
        <w:trPr>
          <w:trHeight w:val="26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550,100,203</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41,146,335</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367,811,717</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141,142,151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(94,955)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(94,955)</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(94,955</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7" w:name="page68"/>
    <w:bookmarkEnd w:id="67"/>
    <w:p>
      <w:pPr>
        <w:jc w:val="center"/>
        <w:ind w:left="460" w:right="25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Identical Assets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382,777,918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382,203,275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18,050,062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18,050,062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155,968,266</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1,177,251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1,177,251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14,928,917</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14,928,917</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272,012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272,012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6,303,732</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6,303,732</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1,700,742</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1,700,742</w:t>
            </w:r>
          </w:p>
        </w:tc>
        <w:tc>
          <w:tcPr>
            <w:tcW w:w="80" w:type="dxa"/>
            <w:vAlign w:val="bottom"/>
            <w:shd w:val="clear" w:color="auto" w:fill="CCEEFF"/>
          </w:tcPr>
          <w:p>
            <w:pPr>
              <w:spacing w:after="0"/>
              <w:rPr>
                <w:sz w:val="19"/>
                <w:szCs w:val="19"/>
                <w:color w:val="auto"/>
              </w:rPr>
            </w:pPr>
          </w:p>
        </w:tc>
      </w:tr>
      <w:tr>
        <w:trPr>
          <w:trHeight w:val="26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581,178,900</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39,282,711</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383,652,538</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158,243,651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(220,605)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(220,605)</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68" w:name="page69"/>
    <w:bookmarkEnd w:id="68"/>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March 31, 2026,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20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1"/>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Valuation</w:t>
            </w:r>
          </w:p>
        </w:tc>
        <w:tc>
          <w:tcPr>
            <w:tcW w:w="200" w:type="dxa"/>
            <w:vAlign w:val="bottom"/>
          </w:tcPr>
          <w:p>
            <w:pPr>
              <w:spacing w:after="0"/>
              <w:rPr>
                <w:sz w:val="16"/>
                <w:szCs w:val="16"/>
                <w:color w:val="auto"/>
              </w:rPr>
            </w:pPr>
          </w:p>
        </w:tc>
        <w:tc>
          <w:tcPr>
            <w:tcW w:w="138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Unobservable</w:t>
            </w:r>
          </w:p>
        </w:tc>
        <w:tc>
          <w:tcPr>
            <w:tcW w:w="960" w:type="dxa"/>
            <w:vAlign w:val="bottom"/>
            <w:tcBorders>
              <w:top w:val="single" w:sz="8" w:color="auto"/>
            </w:tcBorders>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w w:val="97"/>
              </w:rPr>
              <w:t>Minimum</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Maximum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w w:val="94"/>
              </w:rPr>
              <w:t>Weighted</w:t>
            </w: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31,</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pricing</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 a percentage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unpaid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$ 137,607,689</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approach</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15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(net)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2,864,864</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approach</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rate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Initial-Value</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Servicing</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 bps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 bps</w:t>
            </w: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Fixed maturity securities available for</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574,643</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Broker quotes</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Pricing quotes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100.00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100.07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$ 100.10</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2025,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20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1"/>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Valuation</w:t>
            </w:r>
          </w:p>
        </w:tc>
        <w:tc>
          <w:tcPr>
            <w:tcW w:w="200" w:type="dxa"/>
            <w:vAlign w:val="bottom"/>
          </w:tcPr>
          <w:p>
            <w:pPr>
              <w:spacing w:after="0"/>
              <w:rPr>
                <w:sz w:val="16"/>
                <w:szCs w:val="16"/>
                <w:color w:val="auto"/>
              </w:rPr>
            </w:pPr>
          </w:p>
        </w:tc>
        <w:tc>
          <w:tcPr>
            <w:tcW w:w="138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Unobservable</w:t>
            </w:r>
          </w:p>
        </w:tc>
        <w:tc>
          <w:tcPr>
            <w:tcW w:w="960" w:type="dxa"/>
            <w:vAlign w:val="bottom"/>
            <w:tcBorders>
              <w:top w:val="single" w:sz="8" w:color="auto"/>
            </w:tcBorders>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w w:val="97"/>
              </w:rPr>
              <w:t>Minimum</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Maximum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w w:val="94"/>
              </w:rPr>
              <w:t>Weighted</w:t>
            </w:r>
          </w:p>
        </w:tc>
        <w:tc>
          <w:tcPr>
            <w:tcW w:w="114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December 31,</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1140" w:type="dxa"/>
            <w:vAlign w:val="bottom"/>
          </w:tcPr>
          <w:p>
            <w:pPr>
              <w:spacing w:after="0"/>
              <w:rPr>
                <w:sz w:val="20"/>
                <w:szCs w:val="20"/>
                <w:color w:val="auto"/>
              </w:rPr>
            </w:pPr>
          </w:p>
        </w:tc>
      </w:tr>
      <w:tr>
        <w:trPr>
          <w:trHeight w:val="191"/>
        </w:trPr>
        <w:tc>
          <w:tcPr>
            <w:tcW w:w="2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pricing</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 a percentage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unpaid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$ 155,968,266</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approach</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140" w:type="dxa"/>
            <w:vAlign w:val="bottom"/>
          </w:tcPr>
          <w:p>
            <w:pPr>
              <w:spacing w:after="0"/>
              <w:rPr>
                <w:sz w:val="20"/>
                <w:szCs w:val="20"/>
                <w:color w:val="auto"/>
              </w:rPr>
            </w:pP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15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(net)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1,480,137</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approach</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rate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140" w:type="dxa"/>
            <w:vAlign w:val="bottom"/>
          </w:tcPr>
          <w:p>
            <w:pPr>
              <w:spacing w:after="0"/>
              <w:rPr>
                <w:sz w:val="20"/>
                <w:szCs w:val="20"/>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Initial-Value</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Servicing</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 bps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 bps</w:t>
            </w:r>
          </w:p>
        </w:tc>
        <w:tc>
          <w:tcPr>
            <w:tcW w:w="1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Fixed maturity securities available for</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574,643</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Broker quotes</w:t>
            </w:r>
          </w:p>
        </w:tc>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Pricing quotes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100.00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100.77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$ 100.10</w:t>
            </w:r>
          </w:p>
        </w:tc>
        <w:tc>
          <w:tcPr>
            <w:tcW w:w="1140" w:type="dxa"/>
            <w:vAlign w:val="bottom"/>
          </w:tcPr>
          <w:p>
            <w:pPr>
              <w:spacing w:after="0"/>
              <w:rPr>
                <w:sz w:val="20"/>
                <w:szCs w:val="20"/>
                <w:color w:val="auto"/>
              </w:rPr>
            </w:pPr>
          </w:p>
        </w:tc>
      </w:tr>
      <w:tr>
        <w:trPr>
          <w:trHeight w:val="432"/>
        </w:trPr>
        <w:tc>
          <w:tcPr>
            <w:tcW w:w="2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9" w:name="page70"/>
    <w:bookmarkEnd w:id="69"/>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three-month period ended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Net Loan</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7"/>
              </w:rPr>
              <w:t>Securities Available</w:t>
            </w: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Commitments</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Sale</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1,480,137</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488,560,300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(516,712,505)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1,384,727(1)</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9,791,628(1)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r>
      <w:tr>
        <w:trPr>
          <w:trHeight w:val="229"/>
        </w:trPr>
        <w:tc>
          <w:tcPr>
            <w:tcW w:w="4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2,864,864</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137,607,689</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three-month period ended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Net Loan</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7"/>
              </w:rPr>
              <w:t>Securities Available</w:t>
            </w:r>
          </w:p>
        </w:tc>
      </w:tr>
      <w:tr>
        <w:trPr>
          <w:trHeight w:val="234"/>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Commitments</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517,886,377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(521,382,576)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474,540(1)</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12,149,277(1)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4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2,787,750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139,834,226</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1,150,304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March 31, 2026, or as of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March 31, 2026, and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March 31, 2026:</w:t>
      </w:r>
    </w:p>
    <w:tbl>
      <w:tblPr>
        <w:tblLayout w:type="fixed"/>
        <w:tblInd w:w="0" w:type="dxa"/>
        <w:tblCellMar>
          <w:top w:w="0" w:type="dxa"/>
          <w:left w:w="0" w:type="dxa"/>
          <w:bottom w:w="0" w:type="dxa"/>
          <w:right w:w="0" w:type="dxa"/>
        </w:tblCellMar>
      </w:tblPr>
      <w:tr>
        <w:trPr>
          <w:trHeight w:val="198"/>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83,307,187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85,877,780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85,877,780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149,053,960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149,053,960</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149,053,960</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72,907,293</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74,030,925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74,030,925</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305,268,440</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308,962,665</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308,962,665</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 (1)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14,536,305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14,536,305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14,536,305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44,797,734</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44,797,734</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44,797,734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787,200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787,200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787,200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610,930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610,930</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610,930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2,460,261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3,994,484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3,994,484</w:t>
            </w: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(108,760,032)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(97,468,978)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(97,468,978)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(35,289,278)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(35,358,733)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(35,358,733)</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(103,553,297)</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(103,199,369)</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(103,199,369)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88,348,354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89,318,434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89,318,434</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156,744,272</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156,744,272</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156,744,272</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77,342,759</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78,683,341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78,683,341</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 (1)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14,467,357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14,467,357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14,467,357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44,507,531</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44,507,531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44,507,531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810,802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810,802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810,802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66,209</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66,209</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66,209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2,528,459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4,035,635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4,035,635</w:t>
            </w: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(98,387,919)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(87,490,315)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(87,490,315)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(35,825,494)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(35,986,392)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(35,986,392)</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(104,780,256)</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(103,880,576)</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(103,880,576)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These loans are fully collateralized by the cash surrender value of the underlying policy. Accordingly, the carrying amounts reported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condensed consolidated balance sheet approximates their fair values.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approximates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w:t>
      </w:r>
      <w:r>
        <w:rPr>
          <w:rFonts w:ascii="Times New Roman" w:cs="Times New Roman" w:eastAsia="Times New Roman" w:hAnsi="Times New Roman"/>
          <w:sz w:val="18"/>
          <w:szCs w:val="18"/>
          <w:color w:val="auto"/>
        </w:rPr>
        <w:t>: Policyholder account balances for interest-sensitive insurance products are computed under a retrospective deposit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policies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policies.</w:t>
      </w:r>
    </w:p>
    <w:p>
      <w:pPr>
        <w:spacing w:after="0" w:line="185"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active equity incentive plans (the “2013 Plan”, the “2014 Director Plan” and the “2022 Plan” or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$463,699 and $299,272 has been recognized for these Plans for the three-month periods ended March 31, 2026, and 2025, respectively, and is included in personnel expenses on the condensed consolidated statements of earnings. As of March 31, 2026, the total unrecognized compensation expense related to the options issued was $1,233,463 which is expected to be recognized over the remaining vesting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ind w:left="300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Plans during the three-month period ended March 31, 2026, is summarized as follows:</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March 31, 2026</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March 31, 2026</w:t>
      </w:r>
    </w:p>
    <w:p>
      <w:pPr>
        <w:spacing w:after="0" w:line="162" w:lineRule="exact"/>
        <w:rPr>
          <w:sz w:val="20"/>
          <w:szCs w:val="20"/>
          <w:color w:val="auto"/>
        </w:rPr>
      </w:pPr>
    </w:p>
    <w:p>
      <w:pPr>
        <w:ind w:right="126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outstanding at March 31, 2026 (1)</w:t>
      </w:r>
    </w:p>
    <w:p>
      <w:pPr>
        <w:spacing w:after="0" w:line="207" w:lineRule="exact"/>
        <w:rPr>
          <w:sz w:val="20"/>
          <w:szCs w:val="20"/>
          <w:color w:val="auto"/>
        </w:rPr>
      </w:pPr>
    </w:p>
    <w:p>
      <w:pPr>
        <w:ind w:right="126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exercisable at March 31, 2026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34"/>
        </w:trPr>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760,838</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(6,598)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760,689</w:t>
            </w:r>
          </w:p>
        </w:tc>
        <w:tc>
          <w:tcPr>
            <w:tcW w:w="1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557,659</w:t>
            </w:r>
          </w:p>
        </w:tc>
        <w:tc>
          <w:tcPr>
            <w:tcW w:w="18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1,896,335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0" w:type="dxa"/>
            <w:vAlign w:val="bottom"/>
          </w:tcPr>
          <w:p>
            <w:pPr>
              <w:spacing w:after="0"/>
              <w:rPr>
                <w:sz w:val="24"/>
                <w:szCs w:val="24"/>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6.64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5.54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2,136,093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1,952,408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-3376930</wp:posOffset>
            </wp:positionV>
            <wp:extent cx="641223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-3102610</wp:posOffset>
            </wp:positionV>
            <wp:extent cx="641223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-2502535</wp:posOffset>
            </wp:positionV>
            <wp:extent cx="64122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-1593850</wp:posOffset>
            </wp:positionV>
            <wp:extent cx="64122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-1319530</wp:posOffset>
            </wp:positionV>
            <wp:extent cx="641223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-1045210</wp:posOffset>
            </wp:positionV>
            <wp:extent cx="641223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-770890</wp:posOffset>
            </wp:positionV>
            <wp:extent cx="641223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-179070</wp:posOffset>
            </wp:positionV>
            <wp:extent cx="641223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-471170</wp:posOffset>
            </wp:positionV>
            <wp:extent cx="641223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-1910715</wp:posOffset>
            </wp:positionV>
            <wp:extent cx="641223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-2202815</wp:posOffset>
            </wp:positionV>
            <wp:extent cx="64122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-2819400</wp:posOffset>
            </wp:positionV>
            <wp:extent cx="641223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Class C Shares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2,366,291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2,366,291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02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6.75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5.99 years</w:t>
      </w:r>
    </w:p>
    <w:p>
      <w:pPr>
        <w:spacing w:after="0" w:line="200" w:lineRule="exact"/>
        <w:rPr>
          <w:sz w:val="20"/>
          <w:szCs w:val="20"/>
          <w:color w:val="auto"/>
        </w:rPr>
      </w:pPr>
    </w:p>
    <w:p>
      <w:pPr>
        <w:spacing w:after="0" w:line="268" w:lineRule="exact"/>
        <w:rPr>
          <w:sz w:val="20"/>
          <w:szCs w:val="20"/>
          <w:color w:val="auto"/>
        </w:rPr>
      </w:pPr>
    </w:p>
    <w:p>
      <w:pPr>
        <w:ind w:left="400" w:hanging="393"/>
        <w:spacing w:after="0"/>
        <w:tabs>
          <w:tab w:leader="none" w:pos="40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5,659,342</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400" w:hanging="393"/>
        <w:spacing w:after="0"/>
        <w:tabs>
          <w:tab w:leader="none" w:pos="40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5,192,461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left="22" w:right="137"/>
        <w:spacing w:after="0" w:line="261" w:lineRule="auto"/>
        <w:rPr>
          <w:sz w:val="20"/>
          <w:szCs w:val="20"/>
          <w:color w:val="auto"/>
        </w:rPr>
      </w:pPr>
      <w:r>
        <w:rPr>
          <w:rFonts w:ascii="Times New Roman" w:cs="Times New Roman" w:eastAsia="Times New Roman" w:hAnsi="Times New Roman"/>
          <w:sz w:val="18"/>
          <w:szCs w:val="18"/>
          <w:color w:val="auto"/>
        </w:rPr>
        <w:t>Weighted Average Exercise Price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940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73" w:lineRule="exact"/>
        <w:rPr>
          <w:sz w:val="20"/>
          <w:szCs w:val="20"/>
          <w:color w:val="auto"/>
        </w:rPr>
      </w:pPr>
    </w:p>
    <w:p>
      <w:pPr>
        <w:ind w:left="782" w:hanging="782"/>
        <w:spacing w:after="0"/>
        <w:tabs>
          <w:tab w:leader="none" w:pos="7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2" w:hanging="782"/>
        <w:spacing w:after="0"/>
        <w:tabs>
          <w:tab w:leader="none" w:pos="7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782" w:hanging="782"/>
        <w:spacing w:after="0"/>
        <w:tabs>
          <w:tab w:leader="none" w:pos="7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7.26</w:t>
      </w:r>
    </w:p>
    <w:p>
      <w:pPr>
        <w:spacing w:after="0" w:line="3737" w:lineRule="exact"/>
        <w:rPr>
          <w:sz w:val="20"/>
          <w:szCs w:val="20"/>
          <w:color w:val="auto"/>
        </w:rPr>
      </w:pPr>
    </w:p>
    <w:p>
      <w:pPr>
        <w:sectPr>
          <w:pgSz w:w="11900" w:h="16838" w:orient="portrait"/>
          <w:cols w:equalWidth="0" w:num="4">
            <w:col w:w="3940" w:space="720"/>
            <w:col w:w="2560" w:space="300"/>
            <w:col w:w="1120" w:space="278"/>
            <w:col w:w="1221"/>
          </w:cols>
          <w:pgMar w:left="320" w:top="688" w:right="1440"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used a stock price of $9.48 as of March 31, 2026 to derive intrinsic value.</w:t>
      </w:r>
    </w:p>
    <w:p>
      <w:pPr>
        <w:spacing w:after="0" w:line="38"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74" w:name="page75"/>
    <w:bookmarkEnd w:id="74"/>
    <w:p>
      <w:pPr>
        <w:jc w:val="center"/>
        <w:ind w:left="300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Plans during the three-month period ended March 31, 2025,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Exercise Price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34"/>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Class C Shares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407"/>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646,594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1,724,400</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(113,023)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6.24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557,859</w:t>
            </w:r>
          </w:p>
        </w:tc>
        <w:tc>
          <w:tcPr>
            <w:tcW w:w="20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1,611,377</w:t>
            </w:r>
          </w:p>
        </w:tc>
        <w:tc>
          <w:tcPr>
            <w:tcW w:w="2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5.51</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line="20" w:lineRule="exact"/>
              <w:rPr>
                <w:sz w:val="1"/>
                <w:szCs w:val="1"/>
                <w:color w:val="auto"/>
              </w:rPr>
            </w:pPr>
          </w:p>
        </w:tc>
      </w:tr>
      <w:tr>
        <w:trPr>
          <w:trHeight w:val="655"/>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501,834</w:t>
            </w:r>
          </w:p>
        </w:tc>
        <w:tc>
          <w:tcPr>
            <w:tcW w:w="280" w:type="dxa"/>
            <w:vAlign w:val="bottom"/>
            <w:gridSpan w:val="2"/>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1,363,881</w:t>
            </w:r>
          </w:p>
        </w:tc>
        <w:tc>
          <w:tcPr>
            <w:tcW w:w="2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-1191260</wp:posOffset>
            </wp:positionV>
            <wp:extent cx="641223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-916305</wp:posOffset>
            </wp:positionV>
            <wp:extent cx="64122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-633730</wp:posOffset>
            </wp:positionV>
            <wp:extent cx="641223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-316865</wp:posOffset>
            </wp:positionV>
            <wp:extent cx="64122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-16510</wp:posOffset>
            </wp:positionV>
            <wp:extent cx="641223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40" w:space="720"/>
            <w:col w:w="65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w:t>
            </w:r>
          </w:p>
        </w:tc>
        <w:tc>
          <w:tcPr>
            <w:tcW w:w="30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6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3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53,718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41223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p>
      <w:pPr>
        <w:spacing w:after="0" w:line="238" w:lineRule="exact"/>
        <w:rPr>
          <w:sz w:val="20"/>
          <w:szCs w:val="20"/>
          <w:color w:val="auto"/>
        </w:rPr>
      </w:pPr>
    </w:p>
    <w:p>
      <w:pPr>
        <w:ind w:right="665"/>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March 31, 2025</w:t>
      </w:r>
    </w:p>
    <w:p>
      <w:pPr>
        <w:spacing w:after="0" w:line="162" w:lineRule="exact"/>
        <w:rPr>
          <w:sz w:val="20"/>
          <w:szCs w:val="20"/>
          <w:color w:val="auto"/>
        </w:rPr>
      </w:pPr>
    </w:p>
    <w:p>
      <w:pPr>
        <w:ind w:right="665"/>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March 31, 2025</w:t>
      </w:r>
    </w:p>
    <w:p>
      <w:pPr>
        <w:spacing w:after="0" w:line="162" w:lineRule="exact"/>
        <w:rPr>
          <w:sz w:val="20"/>
          <w:szCs w:val="20"/>
          <w:color w:val="auto"/>
        </w:rPr>
      </w:pPr>
    </w:p>
    <w:p>
      <w:pPr>
        <w:ind w:right="1265"/>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outstanding at March 31, 2025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645"/>
        <w:spacing w:after="0"/>
        <w:rPr>
          <w:sz w:val="20"/>
          <w:szCs w:val="20"/>
          <w:color w:val="auto"/>
        </w:rPr>
      </w:pPr>
      <w:r>
        <w:rPr>
          <w:rFonts w:ascii="Times New Roman" w:cs="Times New Roman" w:eastAsia="Times New Roman" w:hAnsi="Times New Roman"/>
          <w:sz w:val="17"/>
          <w:szCs w:val="17"/>
          <w:color w:val="auto"/>
        </w:rPr>
        <w:t>5.38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-248920</wp:posOffset>
            </wp:positionV>
            <wp:extent cx="64122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24765</wp:posOffset>
            </wp:positionV>
            <wp:extent cx="64122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645"/>
        <w:spacing w:after="0"/>
        <w:rPr>
          <w:sz w:val="20"/>
          <w:szCs w:val="20"/>
          <w:color w:val="auto"/>
        </w:rPr>
      </w:pPr>
      <w:r>
        <w:rPr>
          <w:rFonts w:ascii="Times New Roman" w:cs="Times New Roman" w:eastAsia="Times New Roman" w:hAnsi="Times New Roman"/>
          <w:sz w:val="17"/>
          <w:szCs w:val="17"/>
          <w:color w:val="auto"/>
        </w:rPr>
        <w:t>5.02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-111760</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161925</wp:posOffset>
            </wp:positionV>
            <wp:extent cx="641223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95" w:hanging="395"/>
        <w:spacing w:after="0"/>
        <w:tabs>
          <w:tab w:leader="none" w:pos="395" w:val="left"/>
        </w:tabs>
        <w:numPr>
          <w:ilvl w:val="0"/>
          <w:numId w:val="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3,269,071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26035</wp:posOffset>
            </wp:positionV>
            <wp:extent cx="641223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6.64 years</w:t>
      </w:r>
    </w:p>
    <w:p>
      <w:pPr>
        <w:spacing w:after="0" w:line="200" w:lineRule="exact"/>
        <w:rPr>
          <w:sz w:val="20"/>
          <w:szCs w:val="20"/>
          <w:color w:val="auto"/>
        </w:rPr>
      </w:pPr>
    </w:p>
    <w:p>
      <w:pPr>
        <w:spacing w:after="0" w:line="241"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6.16 years</w:t>
      </w:r>
    </w:p>
    <w:p>
      <w:pPr>
        <w:spacing w:after="0" w:line="200" w:lineRule="exact"/>
        <w:rPr>
          <w:sz w:val="20"/>
          <w:szCs w:val="20"/>
          <w:color w:val="auto"/>
        </w:rPr>
      </w:pPr>
    </w:p>
    <w:p>
      <w:pPr>
        <w:spacing w:after="0" w:line="268" w:lineRule="exact"/>
        <w:rPr>
          <w:sz w:val="20"/>
          <w:szCs w:val="20"/>
          <w:color w:val="auto"/>
        </w:rPr>
      </w:pPr>
    </w:p>
    <w:p>
      <w:pPr>
        <w:ind w:left="400" w:hanging="393"/>
        <w:spacing w:after="0"/>
        <w:tabs>
          <w:tab w:leader="none" w:pos="400" w:val="left"/>
        </w:tabs>
        <w:numPr>
          <w:ilvl w:val="0"/>
          <w:numId w:val="9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7,406,757</w:t>
      </w:r>
    </w:p>
    <w:p>
      <w:pPr>
        <w:spacing w:after="0" w:line="258" w:lineRule="exact"/>
        <w:rPr>
          <w:sz w:val="20"/>
          <w:szCs w:val="20"/>
          <w:color w:val="auto"/>
        </w:rPr>
      </w:pPr>
    </w:p>
    <w:p>
      <w:pPr>
        <w:sectPr>
          <w:pgSz w:w="11900" w:h="16838" w:orient="portrait"/>
          <w:cols w:equalWidth="0" w:num="3">
            <w:col w:w="3945" w:space="720"/>
            <w:col w:w="2135" w:space="720"/>
            <w:col w:w="3720"/>
          </w:cols>
          <w:pgMar w:left="320" w:top="688"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1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 (1)</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740" w:type="dxa"/>
            <w:vAlign w:val="bottom"/>
          </w:tcPr>
          <w:p>
            <w:pPr>
              <w:jc w:val="right"/>
              <w:ind w:right="790"/>
              <w:spacing w:after="0"/>
              <w:rPr>
                <w:sz w:val="20"/>
                <w:szCs w:val="20"/>
                <w:color w:val="auto"/>
              </w:rPr>
            </w:pPr>
            <w:r>
              <w:rPr>
                <w:rFonts w:ascii="Times New Roman" w:cs="Times New Roman" w:eastAsia="Times New Roman" w:hAnsi="Times New Roman"/>
                <w:sz w:val="18"/>
                <w:szCs w:val="18"/>
                <w:u w:val="single" w:color="auto"/>
                <w:color w:val="auto"/>
              </w:rPr>
              <w:t>3,305,118</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7,676,614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41223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$12.10 as of March 31, 2025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three-month periods ended March 31, 2026, and 2025 were $2,449 and $1,357,776,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5" w:name="page76"/>
    <w:bookmarkEnd w:id="75"/>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RSUs issued of $5,431 and $9,988 has been recognized under these plans for the three-month periods ended March 31, 2026, and 2025, respectively, and is included in personnel expenses on the condensed consolidated statements of earnings. The fair value of each RSU granted is determined by the Company’s stock price on the date of the grant. As of March 31, 2026, the total unrecognized compensation expense related to the RSUs issued was $21,194, which is expected to be recognized over the remaining vesting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three-month period ended March 31, 2026,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5400" w:type="dxa"/>
            <w:vAlign w:val="bottom"/>
          </w:tcPr>
          <w:p>
            <w:pPr>
              <w:spacing w:after="0"/>
              <w:rPr>
                <w:sz w:val="20"/>
                <w:szCs w:val="20"/>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00" w:type="dxa"/>
            <w:vAlign w:val="bottom"/>
          </w:tcPr>
          <w:p>
            <w:pPr>
              <w:spacing w:after="0"/>
              <w:rPr>
                <w:sz w:val="20"/>
                <w:szCs w:val="20"/>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Grant Date Fair Value</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6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r>
      <w:tr>
        <w:trPr>
          <w:trHeight w:val="197"/>
        </w:trPr>
        <w:tc>
          <w:tcPr>
            <w:tcW w:w="5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489,706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three-month period ended March 31,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Weighted Average</w:t>
            </w:r>
          </w:p>
        </w:tc>
        <w:tc>
          <w:tcPr>
            <w:tcW w:w="226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20"/>
                <w:szCs w:val="20"/>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Grant Date Fair Value</w:t>
            </w:r>
          </w:p>
        </w:tc>
        <w:tc>
          <w:tcPr>
            <w:tcW w:w="2260" w:type="dxa"/>
            <w:vAlign w:val="bottom"/>
          </w:tcPr>
          <w:p>
            <w:pPr>
              <w:spacing w:after="0"/>
              <w:rPr>
                <w:sz w:val="20"/>
                <w:szCs w:val="20"/>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w:t>
            </w:r>
          </w:p>
        </w:tc>
        <w:tc>
          <w:tcPr>
            <w:tcW w:w="2260" w:type="dxa"/>
            <w:vAlign w:val="bottom"/>
          </w:tcPr>
          <w:p>
            <w:pPr>
              <w:spacing w:after="0"/>
              <w:rPr>
                <w:sz w:val="22"/>
                <w:szCs w:val="22"/>
                <w:color w:val="auto"/>
              </w:rPr>
            </w:pPr>
          </w:p>
        </w:tc>
      </w:tr>
      <w:tr>
        <w:trPr>
          <w:trHeight w:val="197"/>
        </w:trPr>
        <w:tc>
          <w:tcPr>
            <w:tcW w:w="5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6" w:name="page77"/>
    <w:bookmarkEnd w:id="76"/>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3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three lines of credit agreements for funding mortgage loans held for sale: one through U.S. Bank, a second through Western Alliance Bank, and a third through JPMorgan Chase Bank. The Company anticipates renewing all agreements in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Bank warehouse line of credit agreement allows SecurityNational Mortgage to borrow up to $15,000,000. The relevant agreement contemplates interest at 2.10% plus the greater of (i) 0%, and (ii) the one-month forward-looking term rate based on SOFR on drawn amounts and matures on July 17, 2026. The Company is required to comply with covenants for adjusted tangible net worth, unrestricted cash balance, and a minimum net loss of $2.5 million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Western Alliance Bank warehouse line of credit agreement allows SecurityNational Mortgage to borrow up to $25,000,000. The relevant agreement contemplates interest at the 1-Month SOFR rate plus 2.0% on drawn amounts and matures on August 15, 2026. The Company is required to comply with covenants for adjusted tangible net worth, unrestricted cash balance, and a minimum pre-tax loss of $2.5 million for the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JPMorgan Chase Bank warehouse line of credit agreement allows SecurityNational Mortgage to borrow up to $35,000,000. The relevant agreement contemplates interest at the 1-Month SOFR rate plus 1.95%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for US Bank and JP Morgan Chase Bank warehouse lines of credit include a cross-default provision where certain events of default under other of SecurityNational Mortgage’s obligations constitute events of default under the warehouse lines of credit. As of March 31, 2026, SecurityNational Mortgage was in compliance with all covenants under its warehouse lines of credit.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2026 (Unaudited)</w:t>
      </w:r>
    </w:p>
    <w:p>
      <w:pPr>
        <w:spacing w:after="0" w:line="176" w:lineRule="exact"/>
        <w:rPr>
          <w:sz w:val="20"/>
          <w:szCs w:val="20"/>
          <w:color w:val="auto"/>
        </w:rPr>
      </w:pPr>
    </w:p>
    <w:p>
      <w:pPr>
        <w:ind w:left="300" w:hanging="292"/>
        <w:spacing w:after="0"/>
        <w:tabs>
          <w:tab w:leader="none" w:pos="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revolving line of credit agreements contain debt covenants requiring the Company to maintain minimum operating cash flow ratios and minimum net worth requirements for each of its business segments. The Company is also subject to debt covenants under one of its real estate loans which require maintenance of a minimum consolidated operating cash flow ratio, minimum liquidity amounts, and minimum consolidated net worth value. In addition to these financial debt covenants, the Company is required to provide segment specific financial statements and building specific financial statements under the agreements for each of its bank loans. As of March 31, 2026, the Company was in compliance with all of those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funeral home and cemetery business; and (iii) capitalizing on the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three-month periods ended March 31, 2026, and 2025. See Note 16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28,855</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29,780</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18,631</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7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5,938</w:t>
            </w: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6,222</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for the three-month period ended March 31, 2026 decreased due to (a) a $924,000 decrease in insurance premiums and other considerations,</w:t>
      </w:r>
    </w:p>
    <w:p>
      <w:pPr>
        <w:spacing w:after="0" w:line="27" w:lineRule="exact"/>
        <w:rPr>
          <w:sz w:val="20"/>
          <w:szCs w:val="20"/>
          <w:color w:val="auto"/>
        </w:rPr>
      </w:pPr>
    </w:p>
    <w:p>
      <w:pPr>
        <w:jc w:val="both"/>
        <w:ind w:firstLine="8"/>
        <w:spacing w:after="0" w:line="253"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$914,000 decrease in net investment income, (c) a $211,000 decrease in other revenues, and (d) a $66,000 increase in amortization of deferred policy acquisition costs, which were partially offset by (i) a $916,000 decrease in policyholder benefits and claims, (ii) a $435,000 decrease in selling, general and administrative expenses, (iii) a $203,000 increase in intersegment revenue, (iv) a $122,000 decrease in income tax expense, (v) a $92,000 increase in gains on investments and other assets, (vi) a $49,000 decrease in intersegment expenses, and (vii) a $14,000 decrease in interest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Funeral Home and Cemetery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funeral home services and products through its eleven funeral homes in Utah and four funeral homes in New Mexico. The Company also sells cemetery services, products and land (burial plots) through its five cemeteries in Utah, one cemetery in San Diego County, California, and one cemetery in Santa Fe, New Mexico. At-need funeral home and cemetery product sales and services are recognized as revenue when the services are performed or when the products are delivered. Pre-need funeral home and cemetery product sales and services are deferred until the merchandise is delivered, or services are performed. Revenue for pre-need cemetery land sales is recognized at the time of sale, and land is removed from inventory.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funeral home and cemetery operations for the three-month periods ended March 31, 2026, and 2025. See Note 16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Funeral home revenues</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9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9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Interesegment revenues</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w:t>
            </w:r>
          </w:p>
        </w:tc>
        <w:tc>
          <w:tcPr>
            <w:tcW w:w="900" w:type="dxa"/>
            <w:vAlign w:val="bottom"/>
            <w:tcBorders>
              <w:bottom w:val="single" w:sz="8" w:color="auto"/>
            </w:tcBorders>
            <w:shd w:val="clear" w:color="auto" w:fill="CCEEFF"/>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1,631</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1,703</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three-month period ended March 31, 2026 decreased due to (a) a $353,000 increase in selling, general and administrative expenses, primarily attributable to a $195,000 increase in personnel expenses, (b) a $284,000 decrease in gains on investments and other assets, (c) a $116,000 increase in amortization of deferred policy acquisition costs, (d) a $27,000 decrease in other revenues, and (e) a $4,000 decrease in funeral home at-need sales, which were partially offset by (i) a $305,000 increase in cemetery pre-need sales, (ii) a $231,000 increase in net investment income, (iii) a $133,000 increase in cemetery at-need sales, (iv) a $20,000 decrease in cost of goods and services sold, and (v) a $16,000 decrease in income tax expense, (vi) a $7,000 decrease in intersegment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2.04% of its loan origination volume. These mortgage loans are serviced by either SecurityNational Mortgage or an approved third-party sub-servicer.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Mortgage rates have followed the US Treasury yields in response to inflation and slowing new home sales. As expected, the lack of mortgage rate reductions has resulted in a decrease in loan originations classified as ‘refinance.’ Higher than anticipated mortgage rates have also had a negative effect on loan originations classified as ‘purchases’ although not as significant as those in the refinance classification.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periods ended March 31, 2026, and 2025, SecurityNational Mortgage originated 1,415 loans ($488,560,000 total loan volume principal amount) and 1,508 loans ($517,886,000 total loan volume principal amount),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three-month periods ended March 31, 2026, and 2025. See Note 16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16,415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16,955</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6,738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197"/>
        </w:trPr>
        <w:tc>
          <w:tcPr>
            <w:tcW w:w="37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loss</w:t>
            </w: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Losses for the three-month period ended March 31, 2026 decreased due to (a) a $1,988,000 decrease in personnel expenses, (b) a $1,285,000 decrease in commissions, (c) a $910,000 increase in the fair value of loan commitments, (d) a $556,000 increase in income from loan originations, (e) a $161,000 decrease in rent and rent related expenses, (f) a $110,000 decrease in interest expense, (g) a $35,000 decrease in depreciation on property and equipment, and (h) a $28,000 decrease in advertising expenses, which were partially offset by (i) a $2,245,000 decrease in the fair value of loans held for sale, (ii) a $540,000 decrease in secondary gains from investors, (iii) a $352,000 decrease in income tax benefit, (iv) a $259,000 increase in costs related to funding mortgage loans, (v) a $231,000 increase in other expenses, (vi) a $210,000 increase in intersegment expenses, (vii) a $153,000 increase in data processing and IT related expenses, (viii) a $50,000 decrease in intersegment revenues, (ix) a $43,000 decrease in gains on investments and other assets, (x) a $26,000 decrease in other revenues, and (xi) a $19,000 decrease in net investment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2026, Compared to Three-month period ended March 31,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$3,011,000, or 3.6%, to $79,729,000 for the three-month period ended March 31, 2026, from $82,740,000 for the comparable period in 2025. Contributing to this decrease in total revenues was a $1,319,000 decrease in mortgage fee income, a $924,000 decrease in insurance premiums and other considerations, a $701,000 decrease in net investment income, a $264,000 decrease in other revenues, and a $235,000 decrease in gains on investments and other assets, which were partially offset by a $434,000 increase in net funeral home and cemetery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$1,319,000, or 5.3%, to $23,490,000, for the three-month period ended March 31, 2026, from $24,809,000 for the comparable period in 2025. This decrease was primarily due to a $2,245,000 decrease in the fair value of loans held for sale and a $540,000 decrease in secondary gains from mortgage loans sold to third-party investors into the secondary market, which were partially offset by a $910,000 increase in the fair value of loan commitments and a $556,000 increase in income from loan originations.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decreased by $924,000, or 3.1%, to $28,855,000 for the three-month period ended March 31, 2026, from $29,779,000 for the comparable period in 2025. This decrease was primarily due to a decrease of $966,000 in first year premiums, which was partially offset by an increase of $42,000 in renewal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$701,000, or 3.7%, to $18,501,000 for the three-month period ended March 31, 2026, from $19,202,000 for the comparable period in 2025. This decrease was primarily attributable to a $560,000 increase in investment expenses, a $355,000 decrease in interest on cash and cash equivalents, a $288,000 decrease in insurance assignment income, a $22,000 decrease in real estate income, and a $3,000 decrease in policy loan interest, which were partially offset by a $310,000 increase in mortgage loan interest, a $154,000 increase in other investment income, a $48,000 increase in fixed maturity securities income, and a $15,000 increase in equity securities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funeral home and cemetery sales increased by $434,000, or 5.9%, to $7,734,000 for the three-month period ended March 31, 2026, from $7,300,000 for the comparable period in 2025. This increase was primarily due to a $305,000 increase in cemetery pre-need sales and a $133,000 increase in cemetery at-need sales, which were partially offset by a $4,000 decrease in funeral home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decreased by $235,000 to $351,000 in net gains for the three-month period ended March 31, 2026, from $586,000 in net gains for the comparable period in 2025. This decrease in gains on investments and other assets was primarily due to a $426,000 decrease in gains on equity securities primarily attributable to decreases in the fair value of these equity securities and a $21,000 decrease in gains on fixed maturity securities, which were partially offset by a $157,000 increase in gains on real estate and a $55,000 increase in gains on other assets.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revenues decreased by $264,000, or 24.9%, to $798,000 for the three-month period ended March 31, 2026, from $1,062,000 for the comparable period in 2025. This decrease was primarily due to a decrease of $264,000 in other miscellaneous revenues.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Policyholder benefits and claims decreased by $916,000 or 3.6%, to $24,539,000 for the three-month period ended March 31, 2026, from $25,455,000 for the comparable period in 2025. This decrease was primarily the result of a $679,000 decrease in future policy benefits, a $156,000 decrease in death benefits, and an $81,000 decrease in surrender and other policy benefits.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$182,000, or 6.5%, to $2,979,000 for the three-month period ended March 31, 2026, from $2,797,000 for the comparable period in 2025. This increase is due to a $192,000 increase in the amortization of deferred policy and pre-need acquisition costs due to an increase in the average outstanding balance. This increase was partially offset by a $10,000 decrease in the amortization of value of business acquired due to no new deferrals and a decreasing average outstanding balance.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$2,936,000, or 6.7%, to $40,928,000 for the three-month period ended March 31, 2026, from $43,864,000 for the comparable period in 2025. This decrease was primarily the result of a $1,645,000 decrease in commissions, a $1,581,000 decrease in personnel expenses, a $166,000 decrease in rent and rent related expenses, an $87,000 decrease in advertising expense, and a $35,000 decrease in depreciation on property and equipment, which were partially offset by a $319,000 increase in other expenses and a $259,000 increase in costs related to funding mortgage loans.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$123,000, or 11.0%, to $996,000 for the three-month period ended March 31, 2026, from $1,119,000 for the comparable period in 2025. This decrease was primarily due to a decrease of $110,000 in interest expense on mortgage warehouse lines of credit for loans held for sale and a decrease of $13,000 in interest expense on bank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Funeral home and cemetery cost of goods and services sold decreased by $20,000, or 1.6%, to $1,233,000 for the three-month period ended March 31, 2026, from $1,253,000 for the comparable period in 2025. This decrease was primarily due to a decrease of $18,000 in at-need sales and decrease of $2,000 in pre-need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increased by $214,000, or 11.7%, to $2,051,000 for the three-month period ended March 31, 2026, from $1,837,000 for the comparable period in 2025. This increase was primarily due to an increase in earnings before income taxes for 2026 compared to 2025. The Company’s overall effective tax rate increased from 22.3% for 2025 to 22.7% in 2026, a 0.4% increase in the effective tax rate or a 1.8% change. This increase was primarily due to certain permanent tax adjustments that are higher when compared to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funeral home and cemetery subsidiaries realize cash flow from premiums, contract payments and sales on personal services rendered for funeral home and cemetery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funeral home and cemetery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Company’s operations provided cash of approximately $32,940,000 and of approximately $9,586,000, respectively. The increase in cash provided by operations was due primarily to a decrease in originations of loans held for sale and an increase in net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funeral home and cemetery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funeral home and cemetery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$350,683,000 (at estimated fair value) and $365,986,000 (at estimated fair value) as of March 31, 2026, and December 31, 2025, respectively. This represented 34.2% and 35.2% of the total investments of the Company as of March 31, 2026, and December 31, 2025, respectively. Generally, all bonds owned by the life insurance subsidiaries are rated by the National Association of Insurance Commissioners. Under this rating system, there are six categories used for the rating of bonds. As of March 31, 2026, 1.7% (or $5,945,000) and as of December 31, 2025, 1.6% (or $5,825,000)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March 31, 2026, and December 31, 2025,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$534,276,000 as of March 31, 2026, as compared to $508,757,000 as of December 31, 2025. This increase was primarily due to an increase of $15,147,000 in stockholders’ equity and an increase of $10,372,000 in bank loans and other loans payable. Stockholders’ equity as a percentage of total capitalization was 79.6% and 80.7% as of March 31, 2026, and December 31, 2025,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2025 was 7.2% as compared to a lapse rate of 7.0% for 2024. The 2026 lapse rate to date has been approximately the same as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approximately $140,204,000 and $139,068,000 as of March 31, 2026, and December 31, 2025,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 has designed these controls and procedures to ensure that information the Company is required to disclose in reports filed under the Exchange Act is recorded, processed, summarized, and reported within the time periods specified in the SEC’s rules and forms, and is accumulated and communicated to Company management, including the Company’s CEO and CFO, as appropriate, to allow timely decisions regarding required disclosure.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executive officers have concluded that the Company’s disclosure controls and procedures were not effective as of March 31, 2026, because of the material weakness in the Company’s internal control over financial reporting described below. This material weakness was also identified during the fourth quarter of 2025 and is disclosed in the Company’s Annual Report on Form 10-K along with the report of the Company’s registered public accounting firm.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a material weakness related to information technology general controls (“ITGCs”) because the Company did not design and maintain effective ITGCs for information systems that are relevant to the preparation of the financial statements. Specifically, deficiencies were identified related to user access controls and program change management controls for financial systems. These deficiencies resulted in related control deficiencies with respect to information generated from the impacted systems and used in the performance of controls relevant to the preparation of the financial statements. The material weakness related to the ITGCs did not result in adjustments to the financial statements for the quarter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taking actions to remediate the material weakness relating to its internal control over financial reporting. Other than the changes to the Company’s internal control over financial reporting described in “Remediation Plan and Status” below, there were no changes to the Company’s internal control over financial reporting as defined by Rule 13a-15(f) under the Exchange Act during the quarter ended March 31, 2026 that have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Plan and Status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remediating its material weaknesses as promptly as possible. Management is in the process of implementing its remediation plan. Management will test the ongoing operating effectiveness of the new and existing controls in future periods. The material weaknesses cannot be considered completely remediated until the applicable controls have operated for a sufficient period of time and management has concluded, through testing, that these controls are operating effectively.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2026, the Company executed a 10b5-1 agreement with a broker to repurchase shares of the Company’s Class A Common Stock. Under the terms of the agreement, the broker is permitted to repurchase up to $1,000,000 of the Company’s Class A Common Stock. Purchases commenced on March 16, 2026. The agreement is subject to the daily time, price, and volume conditions of Rule 10b-18. The agreement expires on December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three-month period ended March 31, 2026, under the 10b5-1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(c) 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(or</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Number of</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Approximate</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Dollar Value)</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Purchased as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Class A</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Part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Shares that</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 Total</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 Average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Publicly</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Number of</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Price Paid per</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Announced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Class A Shares</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Share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Plan or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34"/>
        </w:trPr>
        <w:tc>
          <w:tcPr>
            <w:tcW w:w="4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Period</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3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Program</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or Program (2)</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1/1/2026-1/31/2026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2/1/2026-2/28/2026</w:t>
            </w:r>
          </w:p>
        </w:tc>
        <w:tc>
          <w:tcPr>
            <w:tcW w:w="2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99,028</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3/1/2026-3/31/2026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45,193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53,835</w:t>
            </w:r>
          </w:p>
        </w:tc>
      </w:tr>
      <w:tr>
        <w:trPr>
          <w:trHeight w:val="230"/>
        </w:trPr>
        <w:tc>
          <w:tcPr>
            <w:tcW w:w="4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45,193</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informed us of the adoption or termination of a “Rule 10b5-1 trading arrangement” or “non-Rule 10b5-1 trading arrangement,” as those terms are defined in Item 408 of Regulation S-K, during the three-month period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3.1</w:t>
            </w:r>
          </w:p>
        </w:tc>
        <w:tc>
          <w:tcPr>
            <w:tcW w:w="3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Amended and Restated Articles of Incorporation (1)</w:t>
              </w:r>
            </w:hyperlink>
          </w:p>
        </w:tc>
      </w:tr>
      <w:tr>
        <w:trPr>
          <w:trHeight w:val="196"/>
        </w:trPr>
        <w:tc>
          <w:tcPr>
            <w:tcW w:w="960" w:type="dxa"/>
            <w:vAlign w:val="bottom"/>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3.2</w:t>
            </w:r>
          </w:p>
        </w:tc>
        <w:tc>
          <w:tcPr>
            <w:tcW w:w="2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Amended and Restated Bylaws (2)</w:t>
              </w:r>
            </w:hyperlink>
          </w:p>
        </w:tc>
        <w:tc>
          <w:tcPr>
            <w:tcW w:w="1240" w:type="dxa"/>
            <w:vAlign w:val="bottom"/>
          </w:tcPr>
          <w:p>
            <w:pPr>
              <w:spacing w:after="0"/>
              <w:rPr>
                <w:sz w:val="17"/>
                <w:szCs w:val="17"/>
                <w:color w:val="auto"/>
              </w:rPr>
            </w:pPr>
          </w:p>
        </w:tc>
      </w:tr>
    </w:tbl>
    <w:p>
      <w:pPr>
        <w:spacing w:after="0" w:line="9" w:lineRule="exact"/>
        <w:rPr>
          <w:sz w:val="20"/>
          <w:szCs w:val="20"/>
          <w:color w:val="auto"/>
        </w:rPr>
      </w:pPr>
    </w:p>
    <w:p>
      <w:pPr>
        <w:ind w:left="1620" w:hanging="964"/>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2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106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4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4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4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10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4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4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45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1240"/>
          </w:cols>
          <w:pgMar w:left="320" w:top="68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SNA-HL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SNA-LR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Elkhorn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SNS-IV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Source Center, Inc. dba Security National Travel Services</w:t>
      </w:r>
    </w:p>
    <w:p>
      <w:pPr>
        <w:spacing w:after="0" w:line="9"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Endowment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MEM-JK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Oquirrh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Towns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89" w:name="page90"/>
    <w:bookmarkEnd w:id="8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0" w:name="page91"/>
    <w:bookmarkEnd w:id="9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1" w:name="page92"/>
    <w:bookmarkEnd w:id="9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2026,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2" w:name="page93"/>
    <w:bookmarkEnd w:id="9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2026,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Dated: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2"/>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2"/>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2"/>
    </w:lvl>
  </w:abstractNum>
  <w:abstractNum w:abstractNumId="11">
    <w:nsid w:val="235BA861"/>
    <w:multiLevelType w:val="hybridMultilevel"/>
    <w:lvl w:ilvl="0">
      <w:lvlJc w:val="left"/>
      <w:lvlText w:val="%1)"/>
      <w:numFmt w:val="decimal"/>
      <w:start w:val="2"/>
    </w:lvl>
  </w:abstractNum>
  <w:abstractNum w:abstractNumId="12">
    <w:nsid w:val="47398C89"/>
    <w:multiLevelType w:val="hybridMultilevel"/>
    <w:lvl w:ilvl="0">
      <w:lvlJc w:val="left"/>
      <w:lvlText w:val="%1)"/>
      <w:numFmt w:val="decimal"/>
      <w:start w:val="2"/>
    </w:lvl>
  </w:abstractNum>
  <w:abstractNum w:abstractNumId="13">
    <w:nsid w:val="354FE9F9"/>
    <w:multiLevelType w:val="hybridMultilevel"/>
    <w:lvl w:ilvl="0">
      <w:lvlJc w:val="left"/>
      <w:lvlText w:val="%1)"/>
      <w:numFmt w:val="decimal"/>
      <w:start w:val="2"/>
    </w:lvl>
  </w:abstractNum>
  <w:abstractNum w:abstractNumId="14">
    <w:nsid w:val="15B5AF5C"/>
    <w:multiLevelType w:val="hybridMultilevel"/>
    <w:lvl w:ilvl="0">
      <w:lvlJc w:val="left"/>
      <w:lvlText w:val="%1)"/>
      <w:numFmt w:val="decimal"/>
      <w:start w:val="2"/>
    </w:lvl>
  </w:abstractNum>
  <w:abstractNum w:abstractNumId="15">
    <w:nsid w:val="741226BB"/>
    <w:multiLevelType w:val="hybridMultilevel"/>
    <w:lvl w:ilvl="0">
      <w:lvlJc w:val="left"/>
      <w:lvlText w:val="%1)"/>
      <w:numFmt w:val="decimal"/>
      <w:start w:val="2"/>
    </w:lvl>
  </w:abstractNum>
  <w:abstractNum w:abstractNumId="16">
    <w:nsid w:val="D34B6A8"/>
    <w:multiLevelType w:val="hybridMultilevel"/>
    <w:lvl w:ilvl="0">
      <w:lvlJc w:val="left"/>
      <w:lvlText w:val="(%1)"/>
      <w:numFmt w:val="decimal"/>
      <w:start w:val="1"/>
    </w:lvl>
  </w:abstractNum>
  <w:abstractNum w:abstractNumId="17">
    <w:nsid w:val="10233C99"/>
    <w:multiLevelType w:val="hybridMultilevel"/>
    <w:lvl w:ilvl="0">
      <w:lvlJc w:val="left"/>
      <w:lvlText w:val="%1)"/>
      <w:numFmt w:val="decimal"/>
      <w:start w:val="2"/>
    </w:lvl>
  </w:abstractNum>
  <w:abstractNum w:abstractNumId="18">
    <w:nsid w:val="3F6AB60F"/>
    <w:multiLevelType w:val="hybridMultilevel"/>
    <w:lvl w:ilvl="0">
      <w:lvlJc w:val="left"/>
      <w:lvlText w:val="%1)"/>
      <w:numFmt w:val="decimal"/>
      <w:start w:val="2"/>
    </w:lvl>
  </w:abstractNum>
  <w:abstractNum w:abstractNumId="19">
    <w:nsid w:val="61574095"/>
    <w:multiLevelType w:val="hybridMultilevel"/>
    <w:lvl w:ilvl="0">
      <w:lvlJc w:val="left"/>
      <w:lvlText w:val="%1)"/>
      <w:numFmt w:val="decimal"/>
      <w:start w:val="2"/>
    </w:lvl>
  </w:abstractNum>
  <w:abstractNum w:abstractNumId="20">
    <w:nsid w:val="7E0C57B1"/>
    <w:multiLevelType w:val="hybridMultilevel"/>
    <w:lvl w:ilvl="0">
      <w:lvlJc w:val="left"/>
      <w:lvlText w:val="%1)"/>
      <w:numFmt w:val="decimal"/>
      <w:start w:val="2"/>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2"/>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2"/>
    </w:lvl>
  </w:abstractNum>
  <w:abstractNum w:abstractNumId="25">
    <w:nsid w:val="2F305DEF"/>
    <w:multiLevelType w:val="hybridMultilevel"/>
    <w:lvl w:ilvl="0">
      <w:lvlJc w:val="left"/>
      <w:lvlText w:val="%1)"/>
      <w:numFmt w:val="decimal"/>
      <w:start w:val="2"/>
    </w:lvl>
  </w:abstractNum>
  <w:abstractNum w:abstractNumId="26">
    <w:nsid w:val="25A70BF7"/>
    <w:multiLevelType w:val="hybridMultilevel"/>
    <w:lvl w:ilvl="0">
      <w:lvlJc w:val="left"/>
      <w:lvlText w:val="%1)"/>
      <w:numFmt w:val="decimal"/>
      <w:start w:val="2"/>
    </w:lvl>
  </w:abstractNum>
  <w:abstractNum w:abstractNumId="27">
    <w:nsid w:val="1DBABF00"/>
    <w:multiLevelType w:val="hybridMultilevel"/>
    <w:lvl w:ilvl="0">
      <w:lvlJc w:val="left"/>
      <w:lvlText w:val="%1)"/>
      <w:numFmt w:val="decimal"/>
      <w:start w:val="2"/>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2"/>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2"/>
    </w:lvl>
  </w:abstractNum>
  <w:abstractNum w:abstractNumId="32">
    <w:nsid w:val="100F8FCA"/>
    <w:multiLevelType w:val="hybridMultilevel"/>
    <w:lvl w:ilvl="0">
      <w:lvlJc w:val="left"/>
      <w:lvlText w:val="%1)"/>
      <w:numFmt w:val="decimal"/>
      <w:start w:val="3"/>
    </w:lvl>
  </w:abstractNum>
  <w:abstractNum w:abstractNumId="33">
    <w:nsid w:val="6590700B"/>
    <w:multiLevelType w:val="hybridMultilevel"/>
    <w:lvl w:ilvl="0">
      <w:lvlJc w:val="left"/>
      <w:lvlText w:val="%1)"/>
      <w:numFmt w:val="decimal"/>
      <w:start w:val="3"/>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4"/>
    </w:lvl>
  </w:abstractNum>
  <w:abstractNum w:abstractNumId="37">
    <w:nsid w:val="799D0247"/>
    <w:multiLevelType w:val="hybridMultilevel"/>
    <w:lvl w:ilvl="0">
      <w:lvlJc w:val="left"/>
      <w:lvlText w:val="%1)"/>
      <w:numFmt w:val="decimal"/>
      <w:start w:val="5"/>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5"/>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5"/>
    </w:lvl>
  </w:abstractNum>
  <w:abstractNum w:abstractNumId="42">
    <w:nsid w:val="661E3F1E"/>
    <w:multiLevelType w:val="hybridMultilevel"/>
    <w:lvl w:ilvl="0">
      <w:lvlJc w:val="left"/>
      <w:lvlText w:val="%1)"/>
      <w:numFmt w:val="decimal"/>
      <w:start w:val="6"/>
    </w:lvl>
  </w:abstractNum>
  <w:abstractNum w:abstractNumId="43">
    <w:nsid w:val="5DC79EA8"/>
    <w:multiLevelType w:val="hybridMultilevel"/>
    <w:lvl w:ilvl="0">
      <w:lvlJc w:val="left"/>
      <w:lvlText w:val="%1)"/>
      <w:numFmt w:val="decimal"/>
      <w:start w:val="6"/>
    </w:lvl>
  </w:abstractNum>
  <w:abstractNum w:abstractNumId="44">
    <w:nsid w:val="540A471C"/>
    <w:multiLevelType w:val="hybridMultilevel"/>
    <w:lvl w:ilvl="0">
      <w:lvlJc w:val="left"/>
      <w:lvlText w:val="%1)"/>
      <w:numFmt w:val="decimal"/>
      <w:start w:val="6"/>
    </w:lvl>
  </w:abstractNum>
  <w:abstractNum w:abstractNumId="45">
    <w:nsid w:val="7BD3EE7B"/>
    <w:multiLevelType w:val="hybridMultilevel"/>
    <w:lvl w:ilvl="0">
      <w:lvlJc w:val="left"/>
      <w:lvlText w:val="%1)"/>
      <w:numFmt w:val="decimal"/>
      <w:start w:val="7"/>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7"/>
    </w:lvl>
  </w:abstractNum>
  <w:abstractNum w:abstractNumId="48">
    <w:nsid w:val="BF72B14"/>
    <w:multiLevelType w:val="hybridMultilevel"/>
    <w:lvl w:ilvl="0">
      <w:lvlJc w:val="left"/>
      <w:lvlText w:val="(%1)"/>
      <w:numFmt w:val="decimal"/>
      <w:start w:val="8"/>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9"/>
    </w:lvl>
  </w:abstractNum>
  <w:abstractNum w:abstractNumId="51">
    <w:nsid w:val="A0382C5"/>
    <w:multiLevelType w:val="hybridMultilevel"/>
    <w:lvl w:ilvl="0">
      <w:lvlJc w:val="left"/>
      <w:lvlText w:val="%1)"/>
      <w:numFmt w:val="decimal"/>
      <w:start w:val="9"/>
    </w:lvl>
  </w:abstractNum>
  <w:abstractNum w:abstractNumId="52">
    <w:nsid w:val="8F2B15E"/>
    <w:multiLevelType w:val="hybridMultilevel"/>
    <w:lvl w:ilvl="0">
      <w:lvlJc w:val="left"/>
      <w:lvlText w:val="%1)"/>
      <w:numFmt w:val="decimal"/>
      <w:start w:val="10"/>
    </w:lvl>
  </w:abstractNum>
  <w:abstractNum w:abstractNumId="53">
    <w:nsid w:val="1A32234B"/>
    <w:multiLevelType w:val="hybridMultilevel"/>
    <w:lvl w:ilvl="0">
      <w:lvlJc w:val="left"/>
      <w:lvlText w:val="%1)"/>
      <w:numFmt w:val="decimal"/>
      <w:start w:val="10"/>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10"/>
    </w:lvl>
  </w:abstractNum>
  <w:abstractNum w:abstractNumId="56">
    <w:nsid w:val="4962813B"/>
    <w:multiLevelType w:val="hybridMultilevel"/>
    <w:lvl w:ilvl="0">
      <w:lvlJc w:val="left"/>
      <w:lvlText w:val="%1)"/>
      <w:numFmt w:val="decimal"/>
      <w:start w:val="10"/>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1"/>
    </w:lvl>
  </w:abstractNum>
  <w:abstractNum w:abstractNumId="60">
    <w:nsid w:val="7FFFCA11"/>
    <w:multiLevelType w:val="hybridMultilevel"/>
    <w:lvl w:ilvl="0">
      <w:lvlJc w:val="left"/>
      <w:lvlText w:val="%1)"/>
      <w:numFmt w:val="decimal"/>
      <w:start w:val="11"/>
    </w:lvl>
  </w:abstractNum>
  <w:abstractNum w:abstractNumId="61">
    <w:nsid w:val="1A27709E"/>
    <w:multiLevelType w:val="hybridMultilevel"/>
    <w:lvl w:ilvl="0">
      <w:lvlJc w:val="left"/>
      <w:lvlText w:val="%1)"/>
      <w:numFmt w:val="decimal"/>
      <w:start w:val="12"/>
    </w:lvl>
  </w:abstractNum>
  <w:abstractNum w:abstractNumId="62">
    <w:nsid w:val="71EA1109"/>
    <w:multiLevelType w:val="hybridMultilevel"/>
    <w:lvl w:ilvl="0">
      <w:lvlJc w:val="left"/>
      <w:lvlText w:val="%1)"/>
      <w:numFmt w:val="decimal"/>
      <w:start w:val="13"/>
    </w:lvl>
  </w:abstractNum>
  <w:abstractNum w:abstractNumId="63">
    <w:nsid w:val="100F59DC"/>
    <w:multiLevelType w:val="hybridMultilevel"/>
    <w:lvl w:ilvl="0">
      <w:lvlJc w:val="left"/>
      <w:lvlText w:val="%1)"/>
      <w:numFmt w:val="decimal"/>
      <w:start w:val="15"/>
    </w:lvl>
  </w:abstractNum>
  <w:abstractNum w:abstractNumId="64">
    <w:nsid w:val="7FB7E0AA"/>
    <w:multiLevelType w:val="hybridMultilevel"/>
    <w:lvl w:ilvl="0">
      <w:lvlJc w:val="left"/>
      <w:lvlText w:val="%1)"/>
      <w:numFmt w:val="decimal"/>
      <w:start w:val="16"/>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7"/>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decimal"/>
      <w:start w:val="17"/>
    </w:lvl>
  </w:abstractNum>
  <w:abstractNum w:abstractNumId="70">
    <w:nsid w:val="4C04A8AF"/>
    <w:multiLevelType w:val="hybridMultilevel"/>
    <w:lvl w:ilvl="0">
      <w:lvlJc w:val="left"/>
      <w:lvlText w:val="%1)"/>
      <w:numFmt w:val="decimal"/>
      <w:start w:val="17"/>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17"/>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17"/>
    </w:lvl>
  </w:abstractNum>
  <w:abstractNum w:abstractNumId="75">
    <w:nsid w:val="68EBC550"/>
    <w:multiLevelType w:val="hybridMultilevel"/>
    <w:lvl w:ilvl="0">
      <w:lvlJc w:val="left"/>
      <w:lvlText w:val="%1)"/>
      <w:numFmt w:val="decimal"/>
      <w:start w:val="17"/>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7"/>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17"/>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7"/>
    </w:lvl>
  </w:abstractNum>
  <w:abstractNum w:abstractNumId="83">
    <w:nsid w:val="60EF0119"/>
    <w:multiLevelType w:val="hybridMultilevel"/>
    <w:lvl w:ilvl="0">
      <w:lvlJc w:val="left"/>
      <w:lvlText w:val="%1)"/>
      <w:numFmt w:val="decimal"/>
      <w:start w:val="18"/>
    </w:lvl>
  </w:abstractNum>
  <w:abstractNum w:abstractNumId="84">
    <w:nsid w:val="26F324BA"/>
    <w:multiLevelType w:val="hybridMultilevel"/>
    <w:lvl w:ilvl="0">
      <w:lvlJc w:val="left"/>
      <w:lvlText w:val="%1)"/>
      <w:numFmt w:val="decimal"/>
      <w:start w:val="18"/>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8"/>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18"/>
    </w:lvl>
  </w:abstractNum>
  <w:abstractNum w:abstractNumId="94">
    <w:nsid w:val="6FC75AF8"/>
    <w:multiLevelType w:val="hybridMultilevel"/>
    <w:lvl w:ilvl="0">
      <w:lvlJc w:val="left"/>
      <w:lvlText w:val="%1)"/>
      <w:numFmt w:val="decimal"/>
      <w:start w:val="19"/>
    </w:lvl>
  </w:abstractNum>
  <w:abstractNum w:abstractNumId="95">
    <w:nsid w:val="6A5F7029"/>
    <w:multiLevelType w:val="hybridMultilevel"/>
    <w:lvl w:ilvl="0">
      <w:lvlJc w:val="left"/>
      <w:lvlText w:val="%1)"/>
      <w:numFmt w:val="decimal"/>
      <w:start w:val="19"/>
    </w:lvl>
  </w:abstractNum>
  <w:abstractNum w:abstractNumId="96">
    <w:nsid w:val="7D5E18F8"/>
    <w:multiLevelType w:val="hybridMultilevel"/>
    <w:lvl w:ilvl="0">
      <w:lvlJc w:val="left"/>
      <w:lvlText w:val="(%1)"/>
      <w:numFmt w:val="lowerLetter"/>
      <w:start w:val="2"/>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2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0" Type="http://schemas.openxmlformats.org/officeDocument/2006/relationships/hyperlink" Target="https://www.sec.gov/Archives/edgar/data/318673/000109690617000214/exh3_1.pdf" TargetMode="External"/><Relationship Id="rId151"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2026-05-11T14:06:56Z</dcterms:created>
  <dcterms:modified xsi:type="dcterms:W3CDTF">2026-05-11T14:06:56Z</dcterms:modified>
</cp:coreProperties>
</file>