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right="1900" w:firstLine="8"/>
        <w:spacing w:after="0" w:line="500" w:lineRule="auto"/>
        <w:tabs>
          <w:tab w:leader="none" w:pos="20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 to 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000-09341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SECURITY NATIONAL FINANCIAL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46" w:right="339" w:bottom="1158" w:gutter="0" w:footer="0" w:header="0"/>
        </w:sectPr>
      </w:pPr>
    </w:p>
    <w:p>
      <w:pPr>
        <w:spacing w:after="0" w:line="20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UTAH</w:t>
      </w:r>
    </w:p>
    <w:p>
      <w:pPr>
        <w:spacing w:after="0" w:line="27" w:lineRule="exact"/>
        <w:rPr>
          <w:sz w:val="24"/>
          <w:szCs w:val="24"/>
          <w:color w:val="auto"/>
        </w:rPr>
      </w:pPr>
    </w:p>
    <w:p>
      <w:pPr>
        <w:jc w:val="center"/>
        <w:ind w:right="1580"/>
        <w:spacing w:after="0"/>
        <w:rPr>
          <w:sz w:val="20"/>
          <w:szCs w:val="20"/>
          <w:color w:val="auto"/>
        </w:rPr>
      </w:pPr>
      <w:r>
        <w:rPr>
          <w:rFonts w:ascii="Arial" w:cs="Arial" w:eastAsia="Arial" w:hAnsi="Arial"/>
          <w:sz w:val="18"/>
          <w:szCs w:val="18"/>
          <w:i w:val="1"/>
          <w:iCs w:val="1"/>
          <w:color w:val="auto"/>
        </w:rPr>
        <w:t>(State or other jurisdiction</w:t>
      </w:r>
    </w:p>
    <w:p>
      <w:pPr>
        <w:spacing w:after="0" w:line="9" w:lineRule="exact"/>
        <w:rPr>
          <w:sz w:val="24"/>
          <w:szCs w:val="24"/>
          <w:color w:val="auto"/>
        </w:rPr>
      </w:pPr>
    </w:p>
    <w:p>
      <w:pPr>
        <w:jc w:val="center"/>
        <w:ind w:right="1580"/>
        <w:spacing w:after="0"/>
        <w:rPr>
          <w:sz w:val="20"/>
          <w:szCs w:val="20"/>
          <w:color w:val="auto"/>
        </w:rPr>
      </w:pPr>
      <w:r>
        <w:rPr>
          <w:rFonts w:ascii="Arial" w:cs="Arial" w:eastAsia="Arial" w:hAnsi="Arial"/>
          <w:sz w:val="16"/>
          <w:szCs w:val="16"/>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87-0345941</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6" w:right="339" w:bottom="1158" w:gutter="0" w:footer="0" w:header="0"/>
          <w:type w:val="continuous"/>
        </w:sectPr>
      </w:pPr>
    </w:p>
    <w:p>
      <w:pPr>
        <w:spacing w:after="0" w:line="16"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433 Ascension Way, 6</w:t>
      </w:r>
      <w:r>
        <w:rPr>
          <w:rFonts w:ascii="Arial" w:cs="Arial" w:eastAsia="Arial" w:hAnsi="Arial"/>
          <w:sz w:val="12"/>
          <w:szCs w:val="12"/>
          <w:b w:val="1"/>
          <w:bCs w:val="1"/>
          <w:color w:val="auto"/>
        </w:rPr>
        <w:t>th</w:t>
      </w:r>
      <w:r>
        <w:rPr>
          <w:rFonts w:ascii="Arial" w:cs="Arial" w:eastAsia="Arial" w:hAnsi="Arial"/>
          <w:sz w:val="16"/>
          <w:szCs w:val="16"/>
          <w:b w:val="1"/>
          <w:bCs w:val="1"/>
          <w:color w:val="auto"/>
        </w:rPr>
        <w:t xml:space="preserve"> Floor, Salt Lake City, Utah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84123</w:t>
      </w:r>
    </w:p>
    <w:p>
      <w:pPr>
        <w:spacing w:after="0" w:line="97" w:lineRule="exact"/>
        <w:rPr>
          <w:sz w:val="24"/>
          <w:szCs w:val="24"/>
          <w:color w:val="auto"/>
        </w:rPr>
      </w:pPr>
    </w:p>
    <w:p>
      <w:pPr>
        <w:sectPr>
          <w:pgSz w:w="11900" w:h="16838" w:orient="portrait"/>
          <w:cols w:equalWidth="0" w:num="2">
            <w:col w:w="7540" w:space="720"/>
            <w:col w:w="2980"/>
          </w:cols>
          <w:pgMar w:left="320" w:top="746" w:right="339" w:bottom="1158" w:gutter="0" w:footer="0" w:header="0"/>
          <w:type w:val="continuous"/>
        </w:sectPr>
      </w:pPr>
    </w:p>
    <w:p>
      <w:pPr>
        <w:ind w:left="13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158" w:gutter="0" w:footer="0" w:header="0"/>
          <w:type w:val="continuous"/>
        </w:sectPr>
      </w:pP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264-1060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746" w:right="339" w:bottom="1158" w:gutter="0" w:footer="0" w:header="0"/>
          <w:type w:val="continuous"/>
        </w:sectPr>
      </w:pPr>
    </w:p>
    <w:p>
      <w:pPr>
        <w:spacing w:after="0" w:line="248" w:lineRule="exact"/>
        <w:rPr>
          <w:sz w:val="24"/>
          <w:szCs w:val="24"/>
          <w:color w:val="auto"/>
        </w:rPr>
      </w:pPr>
    </w:p>
    <w:p>
      <w:pPr>
        <w:jc w:val="center"/>
        <w:ind w:left="1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100"/>
        <w:spacing w:after="0"/>
        <w:rPr>
          <w:sz w:val="20"/>
          <w:szCs w:val="20"/>
          <w:color w:val="auto"/>
        </w:rPr>
      </w:pPr>
      <w:r>
        <w:rPr>
          <w:rFonts w:ascii="Arial" w:cs="Arial" w:eastAsia="Arial" w:hAnsi="Arial"/>
          <w:sz w:val="16"/>
          <w:szCs w:val="16"/>
          <w:color w:val="auto"/>
        </w:rPr>
        <w:t>Class A Common Stock</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SNFCA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right="1020" w:hanging="1021"/>
        <w:spacing w:after="0" w:line="347" w:lineRule="auto"/>
        <w:rPr>
          <w:sz w:val="20"/>
          <w:szCs w:val="20"/>
          <w:color w:val="auto"/>
        </w:rPr>
      </w:pPr>
      <w:r>
        <w:rPr>
          <w:rFonts w:ascii="Arial" w:cs="Arial" w:eastAsia="Arial" w:hAnsi="Arial"/>
          <w:sz w:val="16"/>
          <w:szCs w:val="16"/>
          <w:b w:val="1"/>
          <w:bCs w:val="1"/>
          <w:color w:val="auto"/>
        </w:rPr>
        <w:t xml:space="preserve">Name of each exchange on which registered </w:t>
      </w:r>
      <w:r>
        <w:rPr>
          <w:rFonts w:ascii="Arial" w:cs="Arial" w:eastAsia="Arial" w:hAnsi="Arial"/>
          <w:sz w:val="16"/>
          <w:szCs w:val="16"/>
          <w:color w:val="auto"/>
        </w:rPr>
        <w:t>The Nasdaq Global Select Market</w:t>
      </w:r>
    </w:p>
    <w:p>
      <w:pPr>
        <w:spacing w:after="0" w:line="120" w:lineRule="exact"/>
        <w:rPr>
          <w:sz w:val="24"/>
          <w:szCs w:val="24"/>
          <w:color w:val="auto"/>
        </w:rPr>
      </w:pPr>
    </w:p>
    <w:p>
      <w:pPr>
        <w:sectPr>
          <w:pgSz w:w="11900" w:h="16838" w:orient="portrait"/>
          <w:cols w:equalWidth="0" w:num="3">
            <w:col w:w="4180" w:space="720"/>
            <w:col w:w="2140" w:space="720"/>
            <w:col w:w="3480"/>
          </w:cols>
          <w:pgMar w:left="320" w:top="746" w:right="339" w:bottom="1158" w:gutter="0" w:footer="0" w:header="0"/>
          <w:type w:val="continuous"/>
        </w:sect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9" w:lineRule="exact"/>
        <w:rPr>
          <w:sz w:val="24"/>
          <w:szCs w:val="24"/>
          <w:color w:val="auto"/>
        </w:rPr>
      </w:pPr>
    </w:p>
    <w:p>
      <w:pPr>
        <w:ind w:left="10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9" w:lineRule="exact"/>
        <w:rPr>
          <w:sz w:val="24"/>
          <w:szCs w:val="24"/>
          <w:color w:val="auto"/>
        </w:rPr>
      </w:pPr>
    </w:p>
    <w:p>
      <w:pPr>
        <w:ind w:left="10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158" w:gutter="0" w:footer="0" w:header="0"/>
          <w:type w:val="continuous"/>
        </w:sectPr>
      </w:pPr>
    </w:p>
    <w:p>
      <w:pPr>
        <w:spacing w:after="0" w:line="139"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160" w:space="720"/>
            <w:col w:w="3360"/>
          </w:cols>
          <w:pgMar w:left="320" w:top="746" w:right="339" w:bottom="1158" w:gutter="0" w:footer="0" w:header="0"/>
          <w:type w:val="continuous"/>
        </w:sectPr>
      </w:pPr>
    </w:p>
    <w:p>
      <w:pPr>
        <w:spacing w:after="0" w:line="32"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0" w:lineRule="exact"/>
        <w:rPr>
          <w:sz w:val="24"/>
          <w:szCs w:val="24"/>
          <w:color w:val="auto"/>
        </w:rPr>
      </w:pPr>
    </w:p>
    <w:p>
      <w:pPr>
        <w:ind w:left="10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As of May 5, 2023, the registrant had 18,870,913 shares of Class A Common Stock, $2.00 par value, outstanding and 2,888,923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15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SECURITY NATIONAL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80" w:type="dxa"/>
            <w:vAlign w:val="bottom"/>
            <w:gridSpan w:val="14"/>
          </w:tcPr>
          <w:p>
            <w:pPr>
              <w:jc w:val="center"/>
              <w:ind w:right="2180"/>
              <w:spacing w:after="0"/>
              <w:rPr>
                <w:sz w:val="20"/>
                <w:szCs w:val="20"/>
                <w:color w:val="auto"/>
              </w:rPr>
            </w:pPr>
            <w:r>
              <w:rPr>
                <w:rFonts w:ascii="Arial" w:cs="Arial" w:eastAsia="Arial" w:hAnsi="Arial"/>
                <w:sz w:val="18"/>
                <w:szCs w:val="18"/>
                <w:b w:val="1"/>
                <w:bCs w:val="1"/>
                <w:color w:val="auto"/>
                <w:w w:val="97"/>
              </w:rPr>
              <w:t>QUARTER ENDED MARCH 31, 2023</w:t>
            </w:r>
          </w:p>
        </w:tc>
        <w:tc>
          <w:tcPr>
            <w:tcW w:w="7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2"/>
          </w:tcPr>
          <w:p>
            <w:pPr>
              <w:jc w:val="center"/>
              <w:ind w:right="366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4"/>
                <w:szCs w:val="24"/>
                <w:color w:val="auto"/>
              </w:rPr>
            </w:pPr>
          </w:p>
        </w:tc>
      </w:tr>
      <w:tr>
        <w:trPr>
          <w:trHeight w:val="445"/>
        </w:trPr>
        <w:tc>
          <w:tcPr>
            <w:tcW w:w="6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Page No.</w:t>
            </w:r>
          </w:p>
        </w:tc>
      </w:tr>
      <w:tr>
        <w:trPr>
          <w:trHeight w:val="190"/>
        </w:trPr>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80" w:type="dxa"/>
            <w:vAlign w:val="bottom"/>
            <w:gridSpan w:val="14"/>
            <w:shd w:val="clear" w:color="auto" w:fill="CCEEFF"/>
          </w:tcPr>
          <w:p>
            <w:pPr>
              <w:jc w:val="center"/>
              <w:ind w:right="2460"/>
              <w:spacing w:after="0" w:line="169" w:lineRule="exact"/>
              <w:rPr>
                <w:sz w:val="20"/>
                <w:szCs w:val="20"/>
                <w:color w:val="auto"/>
              </w:rPr>
            </w:pPr>
            <w:r>
              <w:rPr>
                <w:rFonts w:ascii="Arial" w:cs="Arial" w:eastAsia="Arial" w:hAnsi="Arial"/>
                <w:sz w:val="18"/>
                <w:szCs w:val="18"/>
                <w:b w:val="1"/>
                <w:bCs w:val="1"/>
                <w:color w:val="0000EE"/>
                <w:w w:val="94"/>
              </w:rPr>
              <w:t>Part I - Financial Information</w:t>
            </w:r>
          </w:p>
        </w:tc>
        <w:tc>
          <w:tcPr>
            <w:tcW w:w="780" w:type="dxa"/>
            <w:vAlign w:val="bottom"/>
            <w:shd w:val="clear" w:color="auto" w:fill="CCEEFF"/>
          </w:tcPr>
          <w:p>
            <w:pPr>
              <w:spacing w:after="0"/>
              <w:rPr>
                <w:sz w:val="16"/>
                <w:szCs w:val="16"/>
                <w:color w:val="auto"/>
              </w:rPr>
            </w:pP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3680" w:type="dxa"/>
            <w:vAlign w:val="bottom"/>
            <w:tcBorders>
              <w:top w:val="single" w:sz="8" w:color="CCEEFF"/>
            </w:tcBorders>
            <w:gridSpan w:val="10"/>
          </w:tcPr>
          <w:p>
            <w:pPr>
              <w:spacing w:after="0" w:line="176" w:lineRule="exact"/>
              <w:rPr>
                <w:sz w:val="20"/>
                <w:szCs w:val="20"/>
                <w:color w:val="auto"/>
              </w:rPr>
            </w:pPr>
            <w:r>
              <w:rPr>
                <w:rFonts w:ascii="Arial" w:cs="Arial" w:eastAsia="Arial" w:hAnsi="Arial"/>
                <w:sz w:val="18"/>
                <w:szCs w:val="18"/>
                <w:color w:val="0000EE"/>
              </w:rPr>
              <w:t>Financial Statements</w:t>
            </w:r>
          </w:p>
        </w:tc>
        <w:tc>
          <w:tcPr>
            <w:tcW w:w="2300" w:type="dxa"/>
            <w:vAlign w:val="bottom"/>
            <w:tcBorders>
              <w:top w:val="single" w:sz="8" w:color="0000EE"/>
            </w:tcBorders>
            <w:gridSpan w:val="6"/>
          </w:tcPr>
          <w:p>
            <w:pPr>
              <w:spacing w:after="0"/>
              <w:rPr>
                <w:sz w:val="15"/>
                <w:szCs w:val="15"/>
                <w:color w:val="auto"/>
              </w:rPr>
            </w:pPr>
          </w:p>
        </w:tc>
        <w:tc>
          <w:tcPr>
            <w:tcW w:w="3820" w:type="dxa"/>
            <w:vAlign w:val="bottom"/>
            <w:tcBorders>
              <w:top w:val="single" w:sz="8" w:color="CCEEFF"/>
            </w:tcBorders>
            <w:gridSpan w:val="7"/>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980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March 31, 2023 (unaudited) and December 31, 2022</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3-4</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9800" w:type="dxa"/>
            <w:vAlign w:val="bottom"/>
            <w:gridSpan w:val="23"/>
          </w:tcPr>
          <w:p>
            <w:pPr>
              <w:spacing w:after="0" w:line="176" w:lineRule="exact"/>
              <w:rPr>
                <w:sz w:val="20"/>
                <w:szCs w:val="20"/>
                <w:color w:val="auto"/>
              </w:rPr>
            </w:pPr>
            <w:r>
              <w:rPr>
                <w:rFonts w:ascii="Arial" w:cs="Arial" w:eastAsia="Arial" w:hAnsi="Arial"/>
                <w:sz w:val="18"/>
                <w:szCs w:val="18"/>
                <w:color w:val="0000EE"/>
              </w:rPr>
              <w:t>Condensed Consolidated Statements of Earnings for the three months ended March 31, 2023 and 2022 (unaudited)</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rPr>
                <w:sz w:val="15"/>
                <w:szCs w:val="15"/>
                <w:color w:val="auto"/>
              </w:rPr>
            </w:pPr>
          </w:p>
        </w:tc>
        <w:tc>
          <w:tcPr>
            <w:tcW w:w="9680" w:type="dxa"/>
            <w:vAlign w:val="bottom"/>
            <w:tcBorders>
              <w:bottom w:val="single" w:sz="8" w:color="0000EE"/>
            </w:tcBorders>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7"/>
              </w:rPr>
              <w:t>Condensed Consolidated Statements of Comprehensive Income (loss) for the three months ended March 31, 2023 and 2022</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196"/>
        </w:trPr>
        <w:tc>
          <w:tcPr>
            <w:tcW w:w="660" w:type="dxa"/>
            <w:vAlign w:val="bottom"/>
            <w:shd w:val="clear" w:color="auto" w:fill="CCEEFF"/>
          </w:tcPr>
          <w:p>
            <w:pPr>
              <w:spacing w:after="0"/>
              <w:rPr>
                <w:sz w:val="17"/>
                <w:szCs w:val="17"/>
                <w:color w:val="auto"/>
              </w:rPr>
            </w:pPr>
          </w:p>
        </w:tc>
        <w:tc>
          <w:tcPr>
            <w:tcW w:w="9800" w:type="dxa"/>
            <w:vAlign w:val="bottom"/>
            <w:gridSpan w:val="23"/>
            <w:shd w:val="clear" w:color="auto" w:fill="CCEEFF"/>
          </w:tcPr>
          <w:p>
            <w:pPr>
              <w:spacing w:after="0" w:line="196" w:lineRule="exact"/>
              <w:rPr>
                <w:sz w:val="20"/>
                <w:szCs w:val="20"/>
                <w:color w:val="auto"/>
              </w:rPr>
            </w:pPr>
            <w:r>
              <w:rPr>
                <w:rFonts w:ascii="Arial" w:cs="Arial" w:eastAsia="Arial" w:hAnsi="Arial"/>
                <w:sz w:val="18"/>
                <w:szCs w:val="18"/>
                <w:color w:val="0000EE"/>
              </w:rPr>
              <w:t>(unaudited)</w:t>
            </w:r>
          </w:p>
        </w:tc>
        <w:tc>
          <w:tcPr>
            <w:tcW w:w="780" w:type="dxa"/>
            <w:vAlign w:val="bottom"/>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9800" w:type="dxa"/>
            <w:vAlign w:val="bottom"/>
            <w:gridSpan w:val="23"/>
          </w:tcPr>
          <w:p>
            <w:pPr>
              <w:spacing w:after="0" w:line="176" w:lineRule="exact"/>
              <w:rPr>
                <w:sz w:val="20"/>
                <w:szCs w:val="20"/>
                <w:color w:val="auto"/>
              </w:rPr>
            </w:pPr>
            <w:r>
              <w:rPr>
                <w:rFonts w:ascii="Arial" w:cs="Arial" w:eastAsia="Arial" w:hAnsi="Arial"/>
                <w:sz w:val="18"/>
                <w:szCs w:val="18"/>
                <w:color w:val="0000EE"/>
              </w:rPr>
              <w:t>Condensed Consolidated Statements of Stockholders’ Equity as of March 31, 2023 and March 31, 2022 (unaudited)</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846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for the three months ended March 31, 2023 and 2022 (unaudited)</w:t>
            </w:r>
          </w:p>
        </w:tc>
        <w:tc>
          <w:tcPr>
            <w:tcW w:w="134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8-9</w:t>
            </w:r>
          </w:p>
        </w:tc>
      </w:tr>
      <w:tr>
        <w:trPr>
          <w:trHeight w:val="176"/>
        </w:trPr>
        <w:tc>
          <w:tcPr>
            <w:tcW w:w="660" w:type="dxa"/>
            <w:vAlign w:val="bottom"/>
          </w:tcPr>
          <w:p>
            <w:pPr>
              <w:spacing w:after="0"/>
              <w:rPr>
                <w:sz w:val="15"/>
                <w:szCs w:val="15"/>
                <w:color w:val="auto"/>
              </w:rPr>
            </w:pPr>
          </w:p>
        </w:tc>
        <w:tc>
          <w:tcPr>
            <w:tcW w:w="9800" w:type="dxa"/>
            <w:vAlign w:val="bottom"/>
            <w:gridSpan w:val="23"/>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04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EE"/>
              </w:rPr>
              <w:t>Management’s Discussion and Analysis of Financial Condition and Results of Operations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60" w:type="dxa"/>
            <w:vAlign w:val="bottom"/>
            <w:gridSpan w:val="24"/>
          </w:tcPr>
          <w:p>
            <w:pPr>
              <w:spacing w:after="0" w:line="176" w:lineRule="exact"/>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EE"/>
              </w:rPr>
              <w:t>Quantitative and Qualitative Disclosures about Market Risk</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EE"/>
              </w:rPr>
              <w:t>Controls and Procedures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175"/>
        </w:trPr>
        <w:tc>
          <w:tcPr>
            <w:tcW w:w="66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spacing w:after="0"/>
              <w:rPr>
                <w:sz w:val="15"/>
                <w:szCs w:val="15"/>
                <w:color w:val="auto"/>
              </w:rPr>
            </w:pPr>
          </w:p>
        </w:tc>
        <w:tc>
          <w:tcPr>
            <w:tcW w:w="6120" w:type="dxa"/>
            <w:vAlign w:val="bottom"/>
            <w:tcBorders>
              <w:top w:val="single" w:sz="8" w:color="CCEEFF"/>
            </w:tcBorders>
            <w:gridSpan w:val="13"/>
          </w:tcPr>
          <w:p>
            <w:pPr>
              <w:jc w:val="center"/>
              <w:ind w:right="3800"/>
              <w:spacing w:after="0" w:line="176" w:lineRule="exact"/>
              <w:rPr>
                <w:sz w:val="20"/>
                <w:szCs w:val="20"/>
                <w:color w:val="auto"/>
              </w:rPr>
            </w:pPr>
            <w:r>
              <w:rPr>
                <w:rFonts w:ascii="Arial" w:cs="Arial" w:eastAsia="Arial" w:hAnsi="Arial"/>
                <w:sz w:val="18"/>
                <w:szCs w:val="18"/>
                <w:b w:val="1"/>
                <w:bCs w:val="1"/>
                <w:color w:val="0000EE"/>
                <w:w w:val="97"/>
              </w:rPr>
              <w:t>Part II - Other Information</w:t>
            </w:r>
          </w:p>
        </w:tc>
        <w:tc>
          <w:tcPr>
            <w:tcW w:w="780" w:type="dxa"/>
            <w:vAlign w:val="bottom"/>
            <w:tcBorders>
              <w:top w:val="single" w:sz="8" w:color="CCEEFF"/>
            </w:tcBorders>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8460" w:type="dxa"/>
            <w:vAlign w:val="bottom"/>
            <w:tcBorders>
              <w:bottom w:val="single" w:sz="8" w:color="CCEEFF"/>
            </w:tcBorders>
            <w:gridSpan w:val="1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176"/>
        </w:trPr>
        <w:tc>
          <w:tcPr>
            <w:tcW w:w="10460" w:type="dxa"/>
            <w:vAlign w:val="bottom"/>
            <w:gridSpan w:val="24"/>
          </w:tcPr>
          <w:p>
            <w:pPr>
              <w:spacing w:after="0" w:line="176" w:lineRule="exact"/>
              <w:rPr>
                <w:sz w:val="20"/>
                <w:szCs w:val="20"/>
                <w:color w:val="auto"/>
              </w:rPr>
            </w:pPr>
            <w:r>
              <w:rPr>
                <w:rFonts w:ascii="Arial" w:cs="Arial" w:eastAsia="Arial" w:hAnsi="Arial"/>
                <w:sz w:val="18"/>
                <w:szCs w:val="18"/>
                <w:color w:val="auto"/>
              </w:rPr>
              <w:t>Item 1A.</w:t>
            </w:r>
            <w:r>
              <w:rPr>
                <w:rFonts w:ascii="Arial" w:cs="Arial" w:eastAsia="Arial" w:hAnsi="Arial"/>
                <w:sz w:val="18"/>
                <w:szCs w:val="18"/>
                <w:color w:val="0000EE"/>
              </w:rPr>
              <w:t>Risk Factors</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04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EE"/>
              </w:rPr>
              <w:t>Unregistered Sales of Equity Securities and Use of Proceeds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60" w:type="dxa"/>
            <w:vAlign w:val="bottom"/>
            <w:gridSpan w:val="24"/>
          </w:tcPr>
          <w:p>
            <w:pPr>
              <w:spacing w:after="0" w:line="176" w:lineRule="exact"/>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EE"/>
              </w:rPr>
              <w:t>Defaults Upon Senior Securities</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EE"/>
              </w:rPr>
              <w:t>Mine Safety Disclosures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176"/>
        </w:trPr>
        <w:tc>
          <w:tcPr>
            <w:tcW w:w="6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Other Information</w:t>
            </w:r>
          </w:p>
        </w:tc>
        <w:tc>
          <w:tcPr>
            <w:tcW w:w="8040" w:type="dxa"/>
            <w:vAlign w:val="bottom"/>
            <w:tcBorders>
              <w:top w:val="single" w:sz="8" w:color="CCEEFF"/>
            </w:tcBorders>
            <w:gridSpan w:val="15"/>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1"/>
              </w:rPr>
              <w:t>Exhibits</w:t>
            </w:r>
          </w:p>
        </w:tc>
        <w:tc>
          <w:tcPr>
            <w:tcW w:w="9200" w:type="dxa"/>
            <w:vAlign w:val="bottom"/>
            <w:tcBorders>
              <w:bottom w:val="single" w:sz="8" w:color="CCEEFF"/>
            </w:tcBorders>
            <w:gridSpan w:val="2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67</w:t>
            </w:r>
          </w:p>
        </w:tc>
      </w:tr>
      <w:tr>
        <w:trPr>
          <w:trHeight w:val="175"/>
        </w:trPr>
        <w:tc>
          <w:tcPr>
            <w:tcW w:w="66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85"/>
              </w:rPr>
              <w:t>Signatures</w:t>
            </w:r>
          </w:p>
        </w:tc>
        <w:tc>
          <w:tcPr>
            <w:tcW w:w="9040" w:type="dxa"/>
            <w:vAlign w:val="bottom"/>
            <w:gridSpan w:val="21"/>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460"/>
        </w:trPr>
        <w:tc>
          <w:tcPr>
            <w:tcW w:w="6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15"/>
          </w:tcPr>
          <w:p>
            <w:pPr>
              <w:jc w:val="center"/>
              <w:ind w:left="3930"/>
              <w:spacing w:after="0"/>
              <w:rPr>
                <w:sz w:val="20"/>
                <w:szCs w:val="20"/>
                <w:color w:val="auto"/>
              </w:rPr>
            </w:pPr>
            <w:r>
              <w:rPr>
                <w:rFonts w:ascii="Arial" w:cs="Arial" w:eastAsia="Arial" w:hAnsi="Arial"/>
                <w:sz w:val="18"/>
                <w:szCs w:val="18"/>
                <w:color w:val="auto"/>
                <w:w w:val="79"/>
              </w:rPr>
              <w:t>2</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5920" w:type="dxa"/>
            <w:vAlign w:val="bottom"/>
          </w:tcPr>
          <w:p>
            <w:pPr>
              <w:jc w:val="center"/>
              <w:ind w:left="3310"/>
              <w:spacing w:after="0"/>
              <w:rPr>
                <w:sz w:val="20"/>
                <w:szCs w:val="20"/>
                <w:color w:val="auto"/>
              </w:rPr>
            </w:pPr>
            <w:r>
              <w:rPr>
                <w:rFonts w:ascii="Arial" w:cs="Arial" w:eastAsia="Arial" w:hAnsi="Arial"/>
                <w:sz w:val="18"/>
                <w:szCs w:val="18"/>
                <w:b w:val="1"/>
                <w:bCs w:val="1"/>
                <w:color w:val="auto"/>
                <w:w w:val="95"/>
              </w:rPr>
              <w:t>Part I - Financial Information</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2"/>
          </w:tcPr>
          <w:p>
            <w:pPr>
              <w:jc w:val="center"/>
              <w:ind w:right="640"/>
              <w:spacing w:after="0"/>
              <w:rPr>
                <w:sz w:val="20"/>
                <w:szCs w:val="20"/>
                <w:color w:val="auto"/>
              </w:rPr>
            </w:pPr>
            <w:r>
              <w:rPr>
                <w:rFonts w:ascii="Arial" w:cs="Arial" w:eastAsia="Arial" w:hAnsi="Arial"/>
                <w:sz w:val="18"/>
                <w:szCs w:val="18"/>
                <w:color w:val="auto"/>
                <w:w w:val="93"/>
              </w:rPr>
              <w:t>March 31</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color w:val="auto"/>
                <w:w w:val="89"/>
              </w:rPr>
              <w:t>2023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rPr>
              <w:t>December 31</w:t>
            </w:r>
          </w:p>
        </w:tc>
      </w:tr>
      <w:tr>
        <w:trPr>
          <w:trHeight w:val="230"/>
        </w:trPr>
        <w:tc>
          <w:tcPr>
            <w:tcW w:w="9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09"/>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2"/>
              </w:rPr>
              <w:t>Investments:</w:t>
            </w: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Fixed maturity securities, available for sale, at estimated fair value (amortized cost of</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$369,382,018 and $362,750,511 for 2023 and 2022; allowance for credit losses of</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$179,500 and nil for 2023 and 2022)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357,570,527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345,858,492</w:t>
            </w:r>
          </w:p>
        </w:tc>
        <w:tc>
          <w:tcPr>
            <w:tcW w:w="100" w:type="dxa"/>
            <w:vAlign w:val="bottom"/>
            <w:shd w:val="clear" w:color="auto" w:fill="CCEEFF"/>
          </w:tcPr>
          <w:p>
            <w:pPr>
              <w:spacing w:after="0"/>
              <w:rPr>
                <w:sz w:val="20"/>
                <w:szCs w:val="20"/>
                <w:color w:val="auto"/>
              </w:rPr>
            </w:pPr>
          </w:p>
        </w:tc>
      </w:tr>
      <w:tr>
        <w:trPr>
          <w:trHeight w:val="202"/>
        </w:trPr>
        <w:tc>
          <w:tcPr>
            <w:tcW w:w="68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3"/>
              </w:rPr>
              <w:t>Equity securities at estimated fair value (cost of $10,356,783 and $9,942,265 for 2023 and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60" w:type="dxa"/>
            <w:vAlign w:val="bottom"/>
          </w:tcPr>
          <w:p>
            <w:pPr>
              <w:ind w:left="180"/>
              <w:spacing w:after="0"/>
              <w:rPr>
                <w:sz w:val="20"/>
                <w:szCs w:val="20"/>
                <w:color w:val="auto"/>
              </w:rPr>
            </w:pPr>
            <w:r>
              <w:rPr>
                <w:rFonts w:ascii="Arial" w:cs="Arial" w:eastAsia="Arial" w:hAnsi="Arial"/>
                <w:sz w:val="18"/>
                <w:szCs w:val="18"/>
                <w:color w:val="auto"/>
              </w:rPr>
              <w:t>2022)</w:t>
            </w: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12,354,007</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11,682,526</w:t>
            </w:r>
          </w:p>
        </w:tc>
        <w:tc>
          <w:tcPr>
            <w:tcW w:w="100" w:type="dxa"/>
            <w:vAlign w:val="bottom"/>
          </w:tcPr>
          <w:p>
            <w:pPr>
              <w:spacing w:after="0"/>
              <w:rPr>
                <w:sz w:val="20"/>
                <w:szCs w:val="20"/>
                <w:color w:val="auto"/>
              </w:rPr>
            </w:pPr>
          </w:p>
        </w:tc>
      </w:tr>
      <w:tr>
        <w:trPr>
          <w:trHeight w:val="202"/>
        </w:trPr>
        <w:tc>
          <w:tcPr>
            <w:tcW w:w="68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Mortgage loans held for investment (net of allowance for credit losses of $2,735,419 and</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$1,970,311 for 2023 and 2022)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286,546,639</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308,123,927</w:t>
            </w:r>
          </w:p>
        </w:tc>
        <w:tc>
          <w:tcPr>
            <w:tcW w:w="100" w:type="dxa"/>
            <w:vAlign w:val="bottom"/>
            <w:shd w:val="clear" w:color="auto" w:fill="CCEEFF"/>
          </w:tcPr>
          <w:p>
            <w:pPr>
              <w:spacing w:after="0"/>
              <w:rPr>
                <w:sz w:val="20"/>
                <w:szCs w:val="20"/>
                <w:color w:val="auto"/>
              </w:rPr>
            </w:pPr>
          </w:p>
        </w:tc>
      </w:tr>
      <w:tr>
        <w:trPr>
          <w:trHeight w:val="202"/>
        </w:trPr>
        <w:tc>
          <w:tcPr>
            <w:tcW w:w="68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Real estate held for investment (net of accumulated depreciation of $25,361,779 and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$23,793,204 for 2023 and 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187,077,012</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191,328,616</w:t>
            </w:r>
          </w:p>
        </w:tc>
        <w:tc>
          <w:tcPr>
            <w:tcW w:w="100" w:type="dxa"/>
            <w:vAlign w:val="bottom"/>
          </w:tcPr>
          <w:p>
            <w:pPr>
              <w:spacing w:after="0"/>
              <w:rPr>
                <w:sz w:val="20"/>
                <w:szCs w:val="20"/>
                <w:color w:val="auto"/>
              </w:rPr>
            </w:pPr>
          </w:p>
        </w:tc>
      </w:tr>
      <w:tr>
        <w:trPr>
          <w:trHeight w:val="216"/>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7,390,262</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11,161,582</w:t>
            </w:r>
          </w:p>
        </w:tc>
        <w:tc>
          <w:tcPr>
            <w:tcW w:w="100" w:type="dxa"/>
            <w:vAlign w:val="bottom"/>
            <w:shd w:val="clear" w:color="auto" w:fill="CCEEFF"/>
          </w:tcPr>
          <w:p>
            <w:pPr>
              <w:spacing w:after="0"/>
              <w:rPr>
                <w:sz w:val="18"/>
                <w:szCs w:val="18"/>
                <w:color w:val="auto"/>
              </w:rPr>
            </w:pPr>
          </w:p>
        </w:tc>
      </w:tr>
      <w:tr>
        <w:trPr>
          <w:trHeight w:val="202"/>
        </w:trPr>
        <w:tc>
          <w:tcPr>
            <w:tcW w:w="68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Other investments and policy loans (net of allowance for credit losses of $1,685,901 and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$1,609,951 for 2023 and 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70,218,779</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70,508,156</w:t>
            </w:r>
          </w:p>
        </w:tc>
        <w:tc>
          <w:tcPr>
            <w:tcW w:w="100" w:type="dxa"/>
            <w:vAlign w:val="bottom"/>
          </w:tcPr>
          <w:p>
            <w:pPr>
              <w:spacing w:after="0"/>
              <w:rPr>
                <w:sz w:val="20"/>
                <w:szCs w:val="20"/>
                <w:color w:val="auto"/>
              </w:rPr>
            </w:pPr>
          </w:p>
        </w:tc>
      </w:tr>
      <w:tr>
        <w:trPr>
          <w:trHeight w:val="216"/>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9,427,239</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10,299,826</w:t>
            </w:r>
          </w:p>
        </w:tc>
        <w:tc>
          <w:tcPr>
            <w:tcW w:w="100" w:type="dxa"/>
            <w:vAlign w:val="bottom"/>
            <w:shd w:val="clear" w:color="auto" w:fill="CCEEFF"/>
          </w:tcPr>
          <w:p>
            <w:pPr>
              <w:spacing w:after="0"/>
              <w:rPr>
                <w:sz w:val="18"/>
                <w:szCs w:val="18"/>
                <w:color w:val="auto"/>
              </w:rPr>
            </w:pPr>
          </w:p>
        </w:tc>
      </w:tr>
      <w:tr>
        <w:trPr>
          <w:trHeight w:val="20"/>
        </w:trPr>
        <w:tc>
          <w:tcPr>
            <w:tcW w:w="960" w:type="dxa"/>
            <w:vAlign w:val="bottom"/>
            <w:shd w:val="clear" w:color="auto" w:fill="CCEEFF"/>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8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930,584,465</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948,963,125</w:t>
            </w:r>
          </w:p>
        </w:tc>
        <w:tc>
          <w:tcPr>
            <w:tcW w:w="10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99,554,776</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120,919,805</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Loans held for sale at estimated fair 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173,015,404</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141,179,620</w:t>
            </w:r>
          </w:p>
        </w:tc>
        <w:tc>
          <w:tcPr>
            <w:tcW w:w="100" w:type="dxa"/>
            <w:vAlign w:val="bottom"/>
          </w:tcPr>
          <w:p>
            <w:pPr>
              <w:spacing w:after="0"/>
              <w:rPr>
                <w:sz w:val="18"/>
                <w:szCs w:val="18"/>
                <w:color w:val="auto"/>
              </w:rPr>
            </w:pPr>
          </w:p>
        </w:tc>
      </w:tr>
      <w:tr>
        <w:trPr>
          <w:trHeight w:val="202"/>
        </w:trPr>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Receivables (net of allowance for credit losses of $1,867,124 and $2,229,791 for 2023 and</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16,377,391</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28,573,092</w:t>
            </w:r>
          </w:p>
        </w:tc>
        <w:tc>
          <w:tcPr>
            <w:tcW w:w="100" w:type="dxa"/>
            <w:vAlign w:val="bottom"/>
            <w:shd w:val="clear" w:color="auto" w:fill="CCEEFF"/>
          </w:tcPr>
          <w:p>
            <w:pPr>
              <w:spacing w:after="0"/>
              <w:rPr>
                <w:sz w:val="20"/>
                <w:szCs w:val="20"/>
                <w:color w:val="auto"/>
              </w:rPr>
            </w:pPr>
          </w:p>
        </w:tc>
      </w:tr>
      <w:tr>
        <w:trPr>
          <w:trHeight w:val="202"/>
        </w:trPr>
        <w:tc>
          <w:tcPr>
            <w:tcW w:w="6880" w:type="dxa"/>
            <w:vAlign w:val="bottom"/>
            <w:gridSpan w:val="2"/>
          </w:tcPr>
          <w:p>
            <w:pPr>
              <w:spacing w:after="0" w:line="201" w:lineRule="exact"/>
              <w:rPr>
                <w:sz w:val="20"/>
                <w:szCs w:val="20"/>
                <w:color w:val="auto"/>
              </w:rPr>
            </w:pPr>
            <w:r>
              <w:rPr>
                <w:rFonts w:ascii="Arial" w:cs="Arial" w:eastAsia="Arial" w:hAnsi="Arial"/>
                <w:sz w:val="18"/>
                <w:szCs w:val="18"/>
                <w:color w:val="auto"/>
                <w:w w:val="94"/>
              </w:rPr>
              <w:t>Restricted assets (including $6,877,734 and $6,565,552 for 2023 and 2022 at estimated fair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value; allowance for credit losses of $5,874 and nil for 2023 and 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19,036,870</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18,935,055</w:t>
            </w:r>
          </w:p>
        </w:tc>
        <w:tc>
          <w:tcPr>
            <w:tcW w:w="100" w:type="dxa"/>
            <w:vAlign w:val="bottom"/>
          </w:tcPr>
          <w:p>
            <w:pPr>
              <w:spacing w:after="0"/>
              <w:rPr>
                <w:sz w:val="20"/>
                <w:szCs w:val="20"/>
                <w:color w:val="auto"/>
              </w:rPr>
            </w:pPr>
          </w:p>
        </w:tc>
      </w:tr>
      <w:tr>
        <w:trPr>
          <w:trHeight w:val="202"/>
        </w:trPr>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Cemetery perpetual care trust investments (including $3,948,380 and $3,859,893 for 2023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and 2022 at estimated fair value; allowance for credit losses of $2,196 and nil for 2023 and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7,460,412</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7,276,210</w:t>
            </w:r>
          </w:p>
        </w:tc>
        <w:tc>
          <w:tcPr>
            <w:tcW w:w="100" w:type="dxa"/>
            <w:vAlign w:val="bottom"/>
            <w:shd w:val="clear" w:color="auto" w:fill="CCEEFF"/>
          </w:tcPr>
          <w:p>
            <w:pPr>
              <w:spacing w:after="0"/>
              <w:rPr>
                <w:sz w:val="20"/>
                <w:szCs w:val="20"/>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Receivable from reinsurers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14,900,756</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15,033,938</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Cemetery land and improvements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9,112,647</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9,101,474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109,573,473</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108,655,128</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3,166,133</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3,039,765</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20,230,901</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20,579,649</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9,556,967</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9,803,736</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Goodwill</w:t>
            </w: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5,253,783</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5,253,783</w:t>
            </w:r>
          </w:p>
        </w:tc>
        <w:tc>
          <w:tcPr>
            <w:tcW w:w="10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25,258,452</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23,798,512</w:t>
            </w:r>
          </w:p>
        </w:tc>
        <w:tc>
          <w:tcPr>
            <w:tcW w:w="100" w:type="dxa"/>
            <w:vAlign w:val="bottom"/>
            <w:shd w:val="clear" w:color="auto" w:fill="CCEEFF"/>
          </w:tcPr>
          <w:p>
            <w:pPr>
              <w:spacing w:after="0"/>
              <w:rPr>
                <w:sz w:val="18"/>
                <w:szCs w:val="18"/>
                <w:color w:val="auto"/>
              </w:rPr>
            </w:pPr>
          </w:p>
        </w:tc>
      </w:tr>
      <w:tr>
        <w:trPr>
          <w:trHeight w:val="209"/>
        </w:trPr>
        <w:tc>
          <w:tcPr>
            <w:tcW w:w="960" w:type="dxa"/>
            <w:vAlign w:val="bottom"/>
            <w:tcBorders>
              <w:top w:val="single" w:sz="8" w:color="CCEEFF"/>
            </w:tcBorders>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Total Assets</w:t>
            </w:r>
          </w:p>
        </w:tc>
        <w:tc>
          <w:tcPr>
            <w:tcW w:w="59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1,443,082,430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1,461,112,892</w:t>
            </w:r>
          </w:p>
        </w:tc>
        <w:tc>
          <w:tcPr>
            <w:tcW w:w="100" w:type="dxa"/>
            <w:vAlign w:val="bottom"/>
            <w:shd w:val="clear" w:color="auto" w:fill="CCEEFF"/>
          </w:tcPr>
          <w:p>
            <w:pPr>
              <w:spacing w:after="0"/>
              <w:rPr>
                <w:sz w:val="22"/>
                <w:szCs w:val="22"/>
                <w:color w:val="auto"/>
              </w:rPr>
            </w:pPr>
          </w:p>
        </w:tc>
      </w:tr>
      <w:tr>
        <w:trPr>
          <w:trHeight w:val="413"/>
        </w:trPr>
        <w:tc>
          <w:tcPr>
            <w:tcW w:w="6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9"/>
              </w:rPr>
              <w:t>See accompanying notes to condensed consolidated financial statements (unaudited).</w:t>
            </w: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9"/>
        </w:trPr>
        <w:tc>
          <w:tcPr>
            <w:tcW w:w="9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center"/>
              <w:ind w:right="640"/>
              <w:spacing w:after="0"/>
              <w:rPr>
                <w:sz w:val="20"/>
                <w:szCs w:val="20"/>
                <w:color w:val="auto"/>
              </w:rPr>
            </w:pPr>
            <w:r>
              <w:rPr>
                <w:rFonts w:ascii="Arial" w:cs="Arial" w:eastAsia="Arial" w:hAnsi="Arial"/>
                <w:sz w:val="18"/>
                <w:szCs w:val="18"/>
                <w:color w:val="auto"/>
                <w:w w:val="93"/>
              </w:rPr>
              <w:t>March 31</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color w:val="auto"/>
                <w:w w:val="89"/>
              </w:rPr>
              <w:t>2023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895,198,901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889,327,303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2,709,534</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2,773,616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138,391,846</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161,712,804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16,583,024</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16,226,836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5,143,233</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3,304,415</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5,361,449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52,558,185</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32,159,650</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30,710,527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1,146,048,788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1,168,325,965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w w:val="92"/>
              </w:rPr>
              <w:t>Preferred Stock - non-voting - $1.00 par value; 5,000,000 shares authorized; none issued or</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common stock - $2.00 par value; 40,000,000 shares authorized; issued 18,807,013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shares in 2023 and 18,758,031 shares in 2022</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37,614,026</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37,516,062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w w:val="95"/>
              </w:rPr>
              <w:t>Class B: non-voting common stock - $1.00 par value; 5,000,000 shares authorized; none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issued or outstanding</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C: convertible common stock - $2.00 par value; 6,000,000 shares authorized; issued</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2,889,923 shares in 2023 and 2,889,859 shares in 2022</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5,777,846</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5,779,718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64,805,874</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64,767,769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(8,942,719)</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(13,070,277)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202,728,972</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202,160,306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Treasury stock at cost - 612,142 Class A shares and 34,016 Class C shares in 2023; and</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525,870 Class A shares and 34,016 Class C shares in 2022</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(4,950,357)</w:t>
            </w: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(4,366,651)</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297,033,642</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292,786,927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1,443,082,430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1,461,112,892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See accompanying notes to condensed consolidated financial statements (unaudited).</w:t>
            </w: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7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5"/>
          </w:tcPr>
          <w:p>
            <w:pPr>
              <w:jc w:val="right"/>
              <w:ind w:right="106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Mortgage fee income</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25,989,006</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48,344,445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other considerations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27,967,292</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17,774,883</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15,194,306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6,471,429</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Gains on investments and other assets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111,154</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1,186,970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79,500,734</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102,425,907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Benefits and expenses: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Death benefits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16,678,366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16,884,706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Surrenders and other policy benefits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1,132,693</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1,323,168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Increase in future policy benefits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8,054,939</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tcPr>
          <w:p>
            <w:pPr>
              <w:spacing w:after="0" w:line="201" w:lineRule="exact"/>
              <w:rPr>
                <w:sz w:val="20"/>
                <w:szCs w:val="20"/>
                <w:color w:val="auto"/>
              </w:rPr>
            </w:pPr>
            <w:r>
              <w:rPr>
                <w:rFonts w:ascii="Arial" w:cs="Arial" w:eastAsia="Arial" w:hAnsi="Arial"/>
                <w:sz w:val="18"/>
                <w:szCs w:val="18"/>
                <w:color w:val="auto"/>
                <w:w w:val="98"/>
              </w:rPr>
              <w:t>Amortization of deferred policy and pre-need acquisition costs and value of business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acquired</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4,883,581</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4,396,413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9,673,310</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19,902,202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21,962,512</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26,874,764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903,411</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1,711,795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rent related</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1,776,780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Depreciation on property and equipment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588,416</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615,544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related to funding mortgage loans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1,842,342</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7,780,535</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12,091,636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1,453,333</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Cost of goods and services sold-mortuaries and cemeteries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1,185,628</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1,185,014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77,915,846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97,982,391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1,584,888</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(344,716)</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(1,214,798)</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earnings</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1,240,172</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3,228,718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60" w:type="dxa"/>
            <w:vAlign w:val="bottom"/>
          </w:tcPr>
          <w:p>
            <w:pPr>
              <w:spacing w:after="0" w:line="198" w:lineRule="exact"/>
              <w:rPr>
                <w:sz w:val="20"/>
                <w:szCs w:val="20"/>
                <w:color w:val="auto"/>
              </w:rPr>
            </w:pPr>
            <w:r>
              <w:rPr>
                <w:rFonts w:ascii="Arial" w:cs="Arial" w:eastAsia="Arial" w:hAnsi="Arial"/>
                <w:sz w:val="18"/>
                <w:szCs w:val="18"/>
                <w:b w:val="1"/>
                <w:bCs w:val="1"/>
                <w:color w:val="auto"/>
              </w:rPr>
              <w:t>Net earnings per Class A Equivalent common</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0.06</w:t>
            </w:r>
          </w:p>
        </w:tc>
        <w:tc>
          <w:tcPr>
            <w:tcW w:w="440" w:type="dxa"/>
            <w:vAlign w:val="bottom"/>
            <w:vMerge w:val="restart"/>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60" w:type="dxa"/>
            <w:vAlign w:val="bottom"/>
          </w:tcPr>
          <w:p>
            <w:pPr>
              <w:spacing w:after="0"/>
              <w:rPr>
                <w:sz w:val="20"/>
                <w:szCs w:val="20"/>
                <w:color w:val="auto"/>
              </w:rPr>
            </w:pPr>
            <w:r>
              <w:rPr>
                <w:rFonts w:ascii="Arial" w:cs="Arial" w:eastAsia="Arial" w:hAnsi="Arial"/>
                <w:sz w:val="18"/>
                <w:szCs w:val="18"/>
                <w:b w:val="1"/>
                <w:bCs w:val="1"/>
                <w:color w:val="auto"/>
              </w:rPr>
              <w:t>share (1)</w:t>
            </w:r>
          </w:p>
        </w:tc>
        <w:tc>
          <w:tcPr>
            <w:tcW w:w="740" w:type="dxa"/>
            <w:vAlign w:val="bottom"/>
            <w:gridSpan w:val="2"/>
            <w:vMerge w:val="continue"/>
          </w:tcPr>
          <w:p>
            <w:pPr>
              <w:spacing w:after="0"/>
              <w:rPr>
                <w:sz w:val="22"/>
                <w:szCs w:val="22"/>
                <w:color w:val="auto"/>
              </w:rPr>
            </w:pPr>
          </w:p>
        </w:tc>
        <w:tc>
          <w:tcPr>
            <w:tcW w:w="182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60" w:type="dxa"/>
            <w:vAlign w:val="bottom"/>
          </w:tcPr>
          <w:p>
            <w:pPr>
              <w:spacing w:after="0" w:line="198" w:lineRule="exact"/>
              <w:rPr>
                <w:sz w:val="20"/>
                <w:szCs w:val="20"/>
                <w:color w:val="auto"/>
              </w:rPr>
            </w:pPr>
            <w:r>
              <w:rPr>
                <w:rFonts w:ascii="Arial" w:cs="Arial" w:eastAsia="Arial" w:hAnsi="Arial"/>
                <w:sz w:val="18"/>
                <w:szCs w:val="18"/>
                <w:b w:val="1"/>
                <w:bCs w:val="1"/>
                <w:color w:val="auto"/>
              </w:rPr>
              <w:t>Net earnings per Class A Equivalent common</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0.06</w:t>
            </w:r>
          </w:p>
        </w:tc>
        <w:tc>
          <w:tcPr>
            <w:tcW w:w="440" w:type="dxa"/>
            <w:vAlign w:val="bottom"/>
            <w:vMerge w:val="restart"/>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60" w:type="dxa"/>
            <w:vAlign w:val="bottom"/>
          </w:tcPr>
          <w:p>
            <w:pPr>
              <w:spacing w:after="0"/>
              <w:rPr>
                <w:sz w:val="20"/>
                <w:szCs w:val="20"/>
                <w:color w:val="auto"/>
              </w:rPr>
            </w:pPr>
            <w:r>
              <w:rPr>
                <w:rFonts w:ascii="Arial" w:cs="Arial" w:eastAsia="Arial" w:hAnsi="Arial"/>
                <w:sz w:val="18"/>
                <w:szCs w:val="18"/>
                <w:b w:val="1"/>
                <w:bCs w:val="1"/>
                <w:color w:val="auto"/>
              </w:rPr>
              <w:t>share-assuming dilution (1)</w:t>
            </w:r>
          </w:p>
        </w:tc>
        <w:tc>
          <w:tcPr>
            <w:tcW w:w="74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Class A equivalent common shares outstanding (1)</w:t>
            </w: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21,080,549</w:t>
            </w: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21,381,988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Class A equivalent common shares outstanding-assuming dilution (1)</w:t>
            </w: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21,612,035</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22,266,473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60" w:hanging="292"/>
        <w:spacing w:after="0" w:line="286"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5"/>
          </w:tcPr>
          <w:p>
            <w:pPr>
              <w:jc w:val="right"/>
              <w:ind w:right="1021"/>
              <w:spacing w:after="0"/>
              <w:rPr>
                <w:sz w:val="20"/>
                <w:szCs w:val="20"/>
                <w:color w:val="auto"/>
              </w:rPr>
            </w:pPr>
            <w:r>
              <w:rPr>
                <w:rFonts w:ascii="Arial" w:cs="Arial" w:eastAsia="Arial" w:hAnsi="Arial"/>
                <w:sz w:val="18"/>
                <w:szCs w:val="18"/>
                <w:color w:val="auto"/>
              </w:rPr>
              <w:t>Three Months Ended March 31</w:t>
            </w:r>
          </w:p>
        </w:tc>
      </w:tr>
      <w:tr>
        <w:trPr>
          <w:trHeight w:val="223"/>
        </w:trPr>
        <w:tc>
          <w:tcPr>
            <w:tcW w:w="6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7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1,240,172</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3,228,718</w:t>
            </w:r>
          </w:p>
        </w:tc>
        <w:tc>
          <w:tcPr>
            <w:tcW w:w="100" w:type="dxa"/>
            <w:vAlign w:val="bottom"/>
            <w:shd w:val="clear" w:color="auto" w:fill="CCEEFF"/>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fixed maturity securities available for sale</w:t>
            </w:r>
          </w:p>
        </w:tc>
        <w:tc>
          <w:tcPr>
            <w:tcW w:w="11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5,218,029</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(15,326,903)</w:t>
            </w: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Unrealized gains (losses) on restricted assets (1)</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4,133</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(71,946)</w:t>
            </w: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cemetery perpetual care trust investments (1)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2,926</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(37,357)</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income tax</w:t>
            </w:r>
          </w:p>
        </w:tc>
        <w:tc>
          <w:tcPr>
            <w:tcW w:w="7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5,225,088</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(15,436,206</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(1,097,530)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3,245,876</w:t>
            </w:r>
          </w:p>
        </w:tc>
        <w:tc>
          <w:tcPr>
            <w:tcW w:w="100" w:type="dxa"/>
            <w:vAlign w:val="bottom"/>
            <w:shd w:val="clear" w:color="auto" w:fill="CCEEFF"/>
          </w:tcPr>
          <w:p>
            <w:pPr>
              <w:spacing w:after="0"/>
              <w:rPr>
                <w:sz w:val="18"/>
                <w:szCs w:val="18"/>
                <w:color w:val="auto"/>
              </w:rPr>
            </w:pPr>
          </w:p>
        </w:tc>
      </w:tr>
      <w:tr>
        <w:trPr>
          <w:trHeight w:val="20"/>
        </w:trPr>
        <w:tc>
          <w:tcPr>
            <w:tcW w:w="6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comprehensive income (loss), net of income tax</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4,127,558</w:t>
            </w: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(12,190,330)</w:t>
            </w:r>
          </w:p>
        </w:tc>
      </w:tr>
      <w:tr>
        <w:trPr>
          <w:trHeight w:val="263"/>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74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5,367,730</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(8,961,612</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(1)  Fixed maturity securities available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8"/>
                <w:szCs w:val="18"/>
                <w:color w:val="auto"/>
              </w:rPr>
              <w:t>Three Months Ended March 31, 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61"/>
              <w:spacing w:after="0" w:line="195"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2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Class C</w:t>
            </w:r>
          </w:p>
        </w:tc>
        <w:tc>
          <w:tcPr>
            <w:tcW w:w="1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Common</w:t>
            </w:r>
          </w:p>
        </w:tc>
        <w:tc>
          <w:tcPr>
            <w:tcW w:w="2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Paid-in</w:t>
            </w:r>
          </w:p>
        </w:tc>
        <w:tc>
          <w:tcPr>
            <w:tcW w:w="1300" w:type="dxa"/>
            <w:vAlign w:val="bottom"/>
            <w:gridSpan w:val="3"/>
          </w:tcPr>
          <w:p>
            <w:pPr>
              <w:jc w:val="center"/>
              <w:ind w:right="81"/>
              <w:spacing w:after="0"/>
              <w:rPr>
                <w:sz w:val="20"/>
                <w:szCs w:val="20"/>
                <w:color w:val="auto"/>
              </w:rPr>
            </w:pPr>
            <w:r>
              <w:rPr>
                <w:rFonts w:ascii="Arial" w:cs="Arial" w:eastAsia="Arial" w:hAnsi="Arial"/>
                <w:sz w:val="18"/>
                <w:szCs w:val="18"/>
                <w:color w:val="auto"/>
                <w:w w:val="90"/>
              </w:rPr>
              <w:t>Comprehensive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1"/>
              <w:spacing w:after="0"/>
              <w:rPr>
                <w:sz w:val="20"/>
                <w:szCs w:val="20"/>
                <w:color w:val="auto"/>
              </w:rPr>
            </w:pPr>
            <w:r>
              <w:rPr>
                <w:rFonts w:ascii="Arial" w:cs="Arial" w:eastAsia="Arial" w:hAnsi="Arial"/>
                <w:sz w:val="18"/>
                <w:szCs w:val="18"/>
                <w:color w:val="auto"/>
                <w:w w:val="90"/>
              </w:rPr>
              <w:t>Treasury</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24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Capital</w:t>
            </w:r>
          </w:p>
        </w:tc>
        <w:tc>
          <w:tcPr>
            <w:tcW w:w="1300" w:type="dxa"/>
            <w:vAlign w:val="bottom"/>
            <w:gridSpan w:val="3"/>
          </w:tcPr>
          <w:p>
            <w:pPr>
              <w:jc w:val="center"/>
              <w:ind w:right="61"/>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81"/>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2023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$37,516,062</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$5,779,718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$64,767,769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(13,070,277)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$202,160,306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(4,366,651)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$292,786,927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adjustment upon</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6"/>
              </w:rPr>
              <w:t>adoption of new accounting standard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(ASU 2016-13)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(671,506)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(671,506)</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1,240,172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1,240,172</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4,127,558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4,127,558</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w w:val="97"/>
              </w:rPr>
              <w:t>Stock-based compensation expense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143,671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143,671</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(62,073)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34,019</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Sale of treasury stock</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(43,493)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620,651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577,158</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(1,204,357)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(1,204,357)</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1,872</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(1,872)</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37,614,026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5,777,846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64,805,874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(8,942,719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202,728,972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(4,950,357</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297,033,642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8"/>
                <w:szCs w:val="18"/>
                <w:color w:val="auto"/>
              </w:rPr>
              <w:t>Three Months Ended March 31, 2022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61"/>
              <w:spacing w:after="0" w:line="195"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2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Class C</w:t>
            </w: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1120" w:type="dxa"/>
            <w:vAlign w:val="bottom"/>
            <w:gridSpan w:val="2"/>
          </w:tcPr>
          <w:p>
            <w:pPr>
              <w:jc w:val="center"/>
              <w:ind w:right="241"/>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Common</w:t>
            </w:r>
          </w:p>
        </w:tc>
        <w:tc>
          <w:tcPr>
            <w:tcW w:w="2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Paid-in</w:t>
            </w:r>
          </w:p>
        </w:tc>
        <w:tc>
          <w:tcPr>
            <w:tcW w:w="1300" w:type="dxa"/>
            <w:vAlign w:val="bottom"/>
            <w:gridSpan w:val="3"/>
          </w:tcPr>
          <w:p>
            <w:pPr>
              <w:jc w:val="center"/>
              <w:ind w:right="61"/>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1"/>
              <w:spacing w:after="0"/>
              <w:rPr>
                <w:sz w:val="20"/>
                <w:szCs w:val="20"/>
                <w:color w:val="auto"/>
              </w:rPr>
            </w:pPr>
            <w:r>
              <w:rPr>
                <w:rFonts w:ascii="Arial" w:cs="Arial" w:eastAsia="Arial" w:hAnsi="Arial"/>
                <w:sz w:val="18"/>
                <w:szCs w:val="18"/>
                <w:color w:val="auto"/>
                <w:w w:val="90"/>
              </w:rPr>
              <w:t>Treasury</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24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Capital</w:t>
            </w:r>
          </w:p>
        </w:tc>
        <w:tc>
          <w:tcPr>
            <w:tcW w:w="1300" w:type="dxa"/>
            <w:vAlign w:val="bottom"/>
            <w:gridSpan w:val="3"/>
          </w:tcPr>
          <w:p>
            <w:pPr>
              <w:jc w:val="center"/>
              <w:ind w:right="61"/>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81"/>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Total</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2022</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$35,285,444</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$5,733,130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$57,985,947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18,070,448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$184,537,489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(1,845,624)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$299,766,834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0" w:type="dxa"/>
            <w:vAlign w:val="bottom"/>
            <w:gridSpan w:val="3"/>
          </w:tcPr>
          <w:p>
            <w:pPr>
              <w:spacing w:after="0"/>
              <w:rPr>
                <w:sz w:val="18"/>
                <w:szCs w:val="18"/>
                <w:color w:val="auto"/>
              </w:rPr>
            </w:pPr>
          </w:p>
        </w:tc>
        <w:tc>
          <w:tcPr>
            <w:tcW w:w="10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180" w:type="dxa"/>
            <w:vAlign w:val="bottom"/>
            <w:gridSpan w:val="3"/>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3,228,718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3,228,718</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(12,190,330)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(12,190,330)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Stock-based compensation expense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271,747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271,747</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100,446</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(8,487)</w:t>
            </w: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91,959</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1,880,125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1,904,180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106,176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(878,417)</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(772,241)</w:t>
            </w:r>
          </w:p>
        </w:tc>
      </w:tr>
      <w:tr>
        <w:trPr>
          <w:trHeight w:val="229"/>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Conversion Class C to Class A</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860" w:type="dxa"/>
            <w:vAlign w:val="bottom"/>
          </w:tcPr>
          <w:p>
            <w:pPr>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35,386,304</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5,732,716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58,379,438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5,880,118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187,766,207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(843,916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292,300,867</w:t>
            </w:r>
          </w:p>
        </w:tc>
        <w:tc>
          <w:tcPr>
            <w:tcW w:w="10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5"/>
          </w:tcPr>
          <w:p>
            <w:pPr>
              <w:jc w:val="right"/>
              <w:ind w:right="1060"/>
              <w:spacing w:after="0"/>
              <w:rPr>
                <w:sz w:val="20"/>
                <w:szCs w:val="20"/>
                <w:color w:val="auto"/>
              </w:rPr>
            </w:pPr>
            <w:r>
              <w:rPr>
                <w:rFonts w:ascii="Arial" w:cs="Arial" w:eastAsia="Arial" w:hAnsi="Arial"/>
                <w:sz w:val="18"/>
                <w:szCs w:val="18"/>
                <w:color w:val="auto"/>
              </w:rPr>
              <w:t>Three Months Ended March 31</w:t>
            </w: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Net cash (used in) provided by operating activities</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(16,073,799)</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72,508,768</w:t>
            </w:r>
          </w:p>
        </w:tc>
        <w:tc>
          <w:tcPr>
            <w:tcW w:w="100" w:type="dxa"/>
            <w:vAlign w:val="bottom"/>
          </w:tcPr>
          <w:p>
            <w:pPr>
              <w:spacing w:after="0"/>
              <w:rPr>
                <w:sz w:val="18"/>
                <w:szCs w:val="18"/>
                <w:color w:val="auto"/>
              </w:rPr>
            </w:pPr>
          </w:p>
        </w:tc>
      </w:tr>
      <w:tr>
        <w:trPr>
          <w:trHeight w:val="210"/>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(11,911,847)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(32,508,649)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calls and maturities of fixed maturity securities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5,375,819</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4,052,570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equity securities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(4,596,981)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(1,657,160)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of equity securities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4,150,683</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1,400,848</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restricted assets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492,489</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Purchases of restricted assets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(311,776)</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Sales, calls and maturities of restricted assets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24,746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changes in cemetery perpetual care trust investments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731,331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cemetery perpetual care trust investments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(113,238)</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calls and maturities of perpetual care trust investments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27,199</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 other investments and policy loans made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(165,651,041)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(195,470,561)</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6"/>
              </w:rPr>
              <w:t>Payments received for mortgage loans held for investment, other investments and policy</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184,156,157</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187,519,868</w:t>
            </w:r>
          </w:p>
        </w:tc>
        <w:tc>
          <w:tcPr>
            <w:tcW w:w="10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(250,642)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(356,802)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10,974</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64,579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real estate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(2,705,716)</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(6,367,199)</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Sales of real estate</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9,160,065</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4,860,188</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17,364,402</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(37,238,498)</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Investment contract receipts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3,100,207</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2,875,328</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(3,831,218)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(4,285,446)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34,019</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91,959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(1,204,357)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(772,241)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Repayment of bank loans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(15,684,446)</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(426,027)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46,000,000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7,186,083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change in warehouse line borrowings for loans held for sale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(53,656,378)</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(24,430,063)</w:t>
            </w: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(25,242,173)</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(19,760,407)</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change in cash, cash equivalents, restricted cash and restricted cash equivalents</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(23,951,570)</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15,509,863</w:t>
            </w:r>
          </w:p>
        </w:tc>
        <w:tc>
          <w:tcPr>
            <w:tcW w:w="100" w:type="dxa"/>
            <w:vAlign w:val="bottom"/>
            <w:shd w:val="clear" w:color="auto" w:fill="CCEEFF"/>
          </w:tcPr>
          <w:p>
            <w:pPr>
              <w:spacing w:after="0"/>
              <w:rPr>
                <w:sz w:val="19"/>
                <w:szCs w:val="19"/>
                <w:color w:val="auto"/>
              </w:rPr>
            </w:pP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1"/>
              </w:rPr>
              <w:t>Cash, cash equivalents, restricted cash and restricted cash equivalents at beginning of period</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133,483,817</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141,414,282</w:t>
            </w:r>
          </w:p>
        </w:tc>
        <w:tc>
          <w:tcPr>
            <w:tcW w:w="100" w:type="dxa"/>
            <w:vAlign w:val="bottom"/>
            <w:shd w:val="clear" w:color="auto" w:fill="CCEEFF"/>
          </w:tcPr>
          <w:p>
            <w:pPr>
              <w:spacing w:after="0"/>
              <w:rPr>
                <w:sz w:val="18"/>
                <w:szCs w:val="18"/>
                <w:color w:val="auto"/>
              </w:rPr>
            </w:pPr>
          </w:p>
        </w:tc>
      </w:tr>
      <w:tr>
        <w:trPr>
          <w:trHeight w:val="210"/>
        </w:trPr>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83"/>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Cash, cash equivalents, restricted cash and restricted cash equivalents at end of period</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109,532,247</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156,924,145</w:t>
            </w:r>
          </w:p>
        </w:tc>
        <w:tc>
          <w:tcPr>
            <w:tcW w:w="100" w:type="dxa"/>
            <w:vAlign w:val="bottom"/>
            <w:shd w:val="clear" w:color="auto" w:fill="CCEEFF"/>
          </w:tcPr>
          <w:p>
            <w:pPr>
              <w:spacing w:after="0"/>
              <w:rPr>
                <w:sz w:val="24"/>
                <w:szCs w:val="24"/>
                <w:color w:val="auto"/>
              </w:rPr>
            </w:pPr>
          </w:p>
        </w:tc>
      </w:tr>
      <w:tr>
        <w:trPr>
          <w:trHeight w:val="196"/>
        </w:trPr>
        <w:tc>
          <w:tcPr>
            <w:tcW w:w="68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1,635,867</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1,815,921</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(6,878)</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Non Cash Operating, Investing and Financing Activities: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Transfer from mortgage loans held for investment to restricted assets</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1,625,961</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Transfer from mortgage loans held for investment to cemetery perpetual care trust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1,611,550</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Benefit plans funded with treasury stock</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577,158</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1,904,180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139,095</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597,635</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Accrued real estate construction costs and retainage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2,775,240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 of cash, cash equivalents, restricted cash and restricted cash equivalents as shown in the condensed consolidated statements of cash flows is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5"/>
          </w:tcPr>
          <w:p>
            <w:pPr>
              <w:ind w:left="52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99,554,776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145,630,099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Restricted assets</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9,228,113</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9,460,057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749,358</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8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109,532,247</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156,924,145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See accompanying notes to condensed consolidated financial statements (unaudited).</w:t>
            </w: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6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9" w:name="page10"/>
    <w:bookmarkEnd w:id="9"/>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2022, included in the Company’s Annual Report on Form 10-K (File Number 000-09341). In the opinion of management, all adjustments (consisting of normal recurring accruals) considered necessary for a fair presentation have been included. Operating results for the three month period ended March 31, 2023 are not necessarily indicative of the results that may be expected for the year ending December 31, 2023.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and unearned revenue; those used in determining the estimated future costs for pre-need sales; those used in determining the value of mortgage servicing rights; those used in determining allowances for credit losses;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Banking Environment</w:t>
      </w:r>
      <w:r>
        <w:rPr>
          <w:rFonts w:ascii="Arial" w:cs="Arial" w:eastAsia="Arial" w:hAnsi="Arial"/>
          <w:sz w:val="18"/>
          <w:szCs w:val="18"/>
          <w:color w:val="auto"/>
        </w:rPr>
        <w:t>. Item 7.01 Regulation FD Disclosure.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2023 and March 12, 2023, Silicon Valley Bank and Signature Bank were placed in receivership with the Federal Deposit Insurance Corporation (“FDIC”). Normal banking activities resumed shortly thereafter. On May 1, 2023, First Republic bank was placed in receivership with the FDIC and was immediately purchased by a national bank.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does not maintain any deposit or other accounts or credit facilities with Silicon Valley Bank, Signature Bank or First Republic Bank. The Company may periodically transfer funds to these banks to pay for services rendered by third party vendors that continue to maintain banking relationships with these banks. The Company continues to monitor the banking industry and its relationships with regional and community banks.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in this Item 7.01 shall not be deemed “filed” for purposes of Section 18 of the Securities Exchange Act of 1934, as amended, and shall not be deemed incorporated by reference into any filing under the Securities Act of 1933, as amended, except as shall be expressly set forth by specific reference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2023</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ASU No. 2016-13: “Financial Instruments – Credit Losses (Topic 326)”</w:t>
      </w:r>
      <w:r>
        <w:rPr>
          <w:rFonts w:ascii="Arial" w:cs="Arial" w:eastAsia="Arial" w:hAnsi="Arial"/>
          <w:sz w:val="17"/>
          <w:szCs w:val="17"/>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amortized cost basis, Topic 326 eliminates the probable initial recognition threshold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Topic 326 requires that credit losses be presented as an allowance rather than as a write-down. The Company adopted this standard on January 1, 2023, and after a review of the affected assets, decreased the opening balance of retained earnings in stockholders’ equity by $671,506 on January 1, 2023. The allowances for credit losses increased (decreased) by the following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Amount</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(192,607)</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301,830</w:t>
            </w: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555,807</w:t>
            </w: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Restriced assets - mortgage loans held for investment:</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3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3,463</w:t>
            </w:r>
          </w:p>
        </w:tc>
      </w:tr>
      <w:tr>
        <w:trPr>
          <w:trHeight w:val="210"/>
        </w:trPr>
        <w:tc>
          <w:tcPr>
            <w:tcW w:w="8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Cemetery perpetual care trust investments - mortgage loans held for investment: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r>
      <w:tr>
        <w:trPr>
          <w:trHeight w:val="209"/>
        </w:trPr>
        <w:tc>
          <w:tcPr>
            <w:tcW w:w="8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Grand Total</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671,506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ASU No. 2018-12: “Financial Services – Insurance (Topic 944): Targeted Improvements to the Accounting for Long-Duration Contracts”</w:t>
      </w:r>
      <w:r>
        <w:rPr>
          <w:rFonts w:ascii="Arial" w:cs="Arial" w:eastAsia="Arial" w:hAnsi="Arial"/>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has made progress in the implementation of the new standard, including the involvement of actuaries, accountants, and systems specialists. However, the Company has not yet estimated the impact the new guidance will have on the consolidated financial statements.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 accounting pronouncements and has determined that they will not significantly impact the Company’s results of operations or financial position.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March 31,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Gross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Unrealized</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Allowance for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Estimated Fair</w:t>
            </w:r>
          </w:p>
        </w:tc>
      </w:tr>
      <w:tr>
        <w:trPr>
          <w:trHeight w:val="230"/>
        </w:trPr>
        <w:tc>
          <w:tcPr>
            <w:tcW w:w="1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Losses (1)</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w w:val="94"/>
              </w:rPr>
              <w:t>Credit Losses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r>
      <w:tr>
        <w:trPr>
          <w:trHeight w:val="169"/>
        </w:trPr>
        <w:tc>
          <w:tcPr>
            <w:tcW w:w="40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March 31, 2023:</w:t>
            </w: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04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0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95,362,166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305,924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(2,047,395)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93,620,695</w:t>
            </w:r>
          </w:p>
        </w:tc>
        <w:tc>
          <w:tcPr>
            <w:tcW w:w="100" w:type="dxa"/>
            <w:vAlign w:val="bottom"/>
            <w:shd w:val="clear" w:color="auto" w:fill="CCEEFF"/>
          </w:tcPr>
          <w:p>
            <w:pPr>
              <w:spacing w:after="0"/>
              <w:rPr>
                <w:sz w:val="20"/>
                <w:szCs w:val="20"/>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6,766,771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14,954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(337,946)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6,443,779</w:t>
            </w: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233,143,391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3,467,771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(9,039,301)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(179,500)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227,392,361</w:t>
            </w: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33,859,690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203,490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(4,209,488)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29,853,692</w:t>
            </w: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19"/>
                <w:szCs w:val="19"/>
                <w:color w:val="auto"/>
              </w:rPr>
            </w:pPr>
          </w:p>
        </w:tc>
      </w:tr>
      <w:tr>
        <w:trPr>
          <w:trHeight w:val="209"/>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fixed maturity securities available for sale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369,382,018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4,002,139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(15,634,130)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357,570,527</w:t>
            </w: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10,356,783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2,741,720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(744,496)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12,354,007</w:t>
            </w:r>
          </w:p>
        </w:tc>
        <w:tc>
          <w:tcPr>
            <w:tcW w:w="100" w:type="dxa"/>
            <w:vAlign w:val="bottom"/>
            <w:shd w:val="clear" w:color="auto" w:fill="CCEEFF"/>
          </w:tcPr>
          <w:p>
            <w:pPr>
              <w:spacing w:after="0"/>
              <w:rPr>
                <w:sz w:val="18"/>
                <w:szCs w:val="18"/>
                <w:color w:val="auto"/>
              </w:rPr>
            </w:pPr>
          </w:p>
        </w:tc>
      </w:tr>
      <w:tr>
        <w:trPr>
          <w:trHeight w:val="210"/>
        </w:trPr>
        <w:tc>
          <w:tcPr>
            <w:tcW w:w="12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83"/>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10,356,783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2,741,720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(744,496)</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12,354,007</w:t>
            </w:r>
          </w:p>
        </w:tc>
        <w:tc>
          <w:tcPr>
            <w:tcW w:w="100" w:type="dxa"/>
            <w:vAlign w:val="bottom"/>
            <w:shd w:val="clear" w:color="auto" w:fill="CCEEFF"/>
          </w:tcPr>
          <w:p>
            <w:pPr>
              <w:spacing w:after="0"/>
              <w:rPr>
                <w:sz w:val="24"/>
                <w:szCs w:val="24"/>
                <w:color w:val="auto"/>
              </w:rPr>
            </w:pPr>
          </w:p>
        </w:tc>
      </w:tr>
      <w:tr>
        <w:trPr>
          <w:trHeight w:val="196"/>
        </w:trPr>
        <w:tc>
          <w:tcPr>
            <w:tcW w:w="120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Mortgage loans held for investment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94,471,213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146,093,947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50,807,452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Unamortized deferred loan fees,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(1,752,369)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Less: Allowance for credit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(2,735,419)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Net discounts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(338,185)</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2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286,546,639</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Real estate held for investment - net of accumulated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35,358,867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151,718,145</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187,077,012</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7,238,709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151,553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12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8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7,390,262</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96"/>
        </w:trPr>
        <w:tc>
          <w:tcPr>
            <w:tcW w:w="120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investments and policy loans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Policy loans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13,012,347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Insurance assignments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45,573,831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Federal Home Loan Bank stock (2)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3,896,800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9,421,702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Less: Allowance for credit losses for insurance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assignments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(1,685,901)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12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Total other investments and policy loans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70,218,779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9,427,239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240"/>
          </w:cols>
          <w:pgMar w:left="320" w:top="692"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60" w:type="dxa"/>
            <w:vAlign w:val="bottom"/>
          </w:tcPr>
          <w:p>
            <w:pPr>
              <w:spacing w:after="0"/>
              <w:rPr>
                <w:sz w:val="20"/>
                <w:szCs w:val="20"/>
                <w:color w:val="auto"/>
              </w:rPr>
            </w:pPr>
            <w:r>
              <w:rPr>
                <w:rFonts w:ascii="Arial" w:cs="Arial" w:eastAsia="Arial" w:hAnsi="Arial"/>
                <w:sz w:val="18"/>
                <w:szCs w:val="18"/>
                <w:color w:val="auto"/>
              </w:rPr>
              <w:t>Total investments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930,584,465</w:t>
            </w:r>
          </w:p>
        </w:tc>
      </w:tr>
      <w:tr>
        <w:trPr>
          <w:trHeight w:val="20"/>
        </w:trPr>
        <w:tc>
          <w:tcPr>
            <w:tcW w:w="4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unrealized losses are net of allowance for credit losses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$978,100 of Membership stock and $2,918,700 of Activity stock due to short-term borrowings and letters of credit.</w:t>
      </w: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3" w:name="page14"/>
    <w:bookmarkEnd w:id="13"/>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December 31,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Gross Unrealized</w:t>
            </w:r>
          </w:p>
        </w:tc>
        <w:tc>
          <w:tcPr>
            <w:tcW w:w="180" w:type="dxa"/>
            <w:vAlign w:val="bottom"/>
          </w:tcPr>
          <w:p>
            <w:pPr>
              <w:spacing w:after="0"/>
              <w:rPr>
                <w:sz w:val="18"/>
                <w:szCs w:val="18"/>
                <w:color w:val="auto"/>
              </w:rPr>
            </w:pPr>
          </w:p>
        </w:tc>
        <w:tc>
          <w:tcPr>
            <w:tcW w:w="1540" w:type="dxa"/>
            <w:vAlign w:val="bottom"/>
            <w:gridSpan w:val="3"/>
          </w:tcPr>
          <w:p>
            <w:pPr>
              <w:jc w:val="right"/>
              <w:ind w:right="161"/>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Estimated Fair</w:t>
            </w:r>
          </w:p>
        </w:tc>
      </w:tr>
      <w:tr>
        <w:trPr>
          <w:trHeight w:val="230"/>
        </w:trPr>
        <w:tc>
          <w:tcPr>
            <w:tcW w:w="1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w w:val="92"/>
              </w:rPr>
              <w:t>Amortized Cost</w:t>
            </w:r>
          </w:p>
        </w:tc>
        <w:tc>
          <w:tcPr>
            <w:tcW w:w="28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Value</w:t>
            </w:r>
          </w:p>
        </w:tc>
      </w:tr>
      <w:tr>
        <w:trPr>
          <w:trHeight w:val="189"/>
        </w:trPr>
        <w:tc>
          <w:tcPr>
            <w:tcW w:w="14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December 31, 2022:</w:t>
            </w:r>
          </w:p>
        </w:tc>
        <w:tc>
          <w:tcPr>
            <w:tcW w:w="32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02"/>
        </w:trPr>
        <w:tc>
          <w:tcPr>
            <w:tcW w:w="4720" w:type="dxa"/>
            <w:vAlign w:val="bottom"/>
            <w:gridSpan w:val="3"/>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93,182,210</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180,643</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(2,685,277)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90,677,576</w:t>
            </w: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6,675,071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(458,137)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6,230,803</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229,141,544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1,909,630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(11,930,773)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219,120,401</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33,501,686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168,700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(4,100,674)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29,569,712</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18"/>
                <w:szCs w:val="18"/>
                <w:color w:val="auto"/>
              </w:rPr>
            </w:pPr>
          </w:p>
        </w:tc>
      </w:tr>
      <w:tr>
        <w:trPr>
          <w:trHeight w:val="230"/>
        </w:trPr>
        <w:tc>
          <w:tcPr>
            <w:tcW w:w="14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63"/>
        </w:trPr>
        <w:tc>
          <w:tcPr>
            <w:tcW w:w="47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362,750,511</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2,282,842</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(19,174,861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345,858,492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9,942,265</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2,688,375</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(948,114)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11,682,526</w:t>
            </w: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9,942,265</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2,688,375</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(948,114)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11,682,526</w:t>
            </w: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93,355,623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172,516,125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46,311,955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(1,746,605)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Less: Allowance for credit losses</w:t>
            </w:r>
          </w:p>
        </w:tc>
        <w:tc>
          <w:tcPr>
            <w:tcW w:w="100" w:type="dxa"/>
            <w:vAlign w:val="bottom"/>
          </w:tcPr>
          <w:p>
            <w:pPr>
              <w:spacing w:after="0"/>
              <w:rPr>
                <w:sz w:val="18"/>
                <w:szCs w:val="18"/>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(1,970,311)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Less: Net discounts</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(342,860)</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308,123,927</w:t>
            </w: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196"/>
        </w:trPr>
        <w:tc>
          <w:tcPr>
            <w:tcW w:w="14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2"/>
        </w:trPr>
        <w:tc>
          <w:tcPr>
            <w:tcW w:w="4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38,437,960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152,890,656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83"/>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191,328,616</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97"/>
        </w:trPr>
        <w:tc>
          <w:tcPr>
            <w:tcW w:w="14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11,010,029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11,161,582</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Policy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13,095,473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46,942,536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Federal Home Loan Bank stock (1)</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2,600,300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9,479,798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20" w:type="dxa"/>
            <w:vAlign w:val="bottom"/>
            <w:gridSpan w:val="3"/>
          </w:tcPr>
          <w:p>
            <w:pPr>
              <w:ind w:left="180"/>
              <w:spacing w:after="0"/>
              <w:rPr>
                <w:sz w:val="20"/>
                <w:szCs w:val="20"/>
                <w:color w:val="auto"/>
              </w:rPr>
            </w:pPr>
            <w:r>
              <w:rPr>
                <w:rFonts w:ascii="Arial" w:cs="Arial" w:eastAsia="Arial" w:hAnsi="Arial"/>
                <w:sz w:val="18"/>
                <w:szCs w:val="18"/>
                <w:color w:val="auto"/>
                <w:w w:val="94"/>
              </w:rPr>
              <w:t>Less: Allowance for credit losses for insurance assignments</w:t>
            </w:r>
          </w:p>
        </w:tc>
        <w:tc>
          <w:tcPr>
            <w:tcW w:w="100" w:type="dxa"/>
            <w:vAlign w:val="bottom"/>
          </w:tcPr>
          <w:p>
            <w:pPr>
              <w:spacing w:after="0"/>
              <w:rPr>
                <w:sz w:val="19"/>
                <w:szCs w:val="19"/>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(1,609,951)</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Total other investments and policy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70,508,156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6"/>
        </w:trPr>
        <w:tc>
          <w:tcPr>
            <w:tcW w:w="1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20" w:type="dxa"/>
            <w:vAlign w:val="bottom"/>
            <w:gridSpan w:val="3"/>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10,299,826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2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948,963,125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ectPr>
          <w:pgSz w:w="11900" w:h="16838" w:orient="portrait"/>
          <w:cols w:equalWidth="0" w:num="1">
            <w:col w:w="11240"/>
          </w:cols>
          <w:pgMar w:left="320" w:top="692" w:right="339" w:bottom="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(1)  Includes $938,500 of Membership stock and $1,661,800 of Activity stock due to short-term advances and letters of credit.</w:t>
      </w:r>
    </w:p>
    <w:p>
      <w:pPr>
        <w:sectPr>
          <w:pgSz w:w="11900" w:h="16838" w:orient="portrait"/>
          <w:cols w:equalWidth="0" w:num="1">
            <w:col w:w="10139"/>
          </w:cols>
          <w:pgMar w:left="320" w:top="125"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5" w:name="page16"/>
    <w:bookmarkEnd w:id="15"/>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summarizes unrealized losses on fixed maturity securities available for sale that were carried at estimated fair value at March 31, 2023 and at December 31, 2022. The unrealized losses were primarily related to interest rate fluctuations and inflation.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92"/>
              </w:rPr>
              <w:t>Unrealized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1"/>
              </w:rPr>
              <w:t>Losses for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Less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3"/>
              </w:rPr>
              <w:t>More than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9"/>
              </w:rPr>
              <w:t>Total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91"/>
              </w:rPr>
              <w:t>Twelve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2"/>
              </w:rPr>
              <w:t>Unrealized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Combined</w:t>
            </w:r>
          </w:p>
        </w:tc>
      </w:tr>
      <w:tr>
        <w:trPr>
          <w:trHeight w:val="230"/>
        </w:trPr>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Months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Months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Loss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r>
      <w:tr>
        <w:trPr>
          <w:trHeight w:val="189"/>
        </w:trPr>
        <w:tc>
          <w:tcPr>
            <w:tcW w:w="13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At March 31, 2023</w:t>
            </w:r>
          </w:p>
        </w:tc>
        <w:tc>
          <w:tcPr>
            <w:tcW w:w="270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02"/>
        </w:trPr>
        <w:tc>
          <w:tcPr>
            <w:tcW w:w="4080" w:type="dxa"/>
            <w:vAlign w:val="bottom"/>
            <w:gridSpan w:val="3"/>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Government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644,240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53,196,137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1,403,155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29,019,470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2,047,395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82,215,607</w:t>
            </w:r>
          </w:p>
        </w:tc>
      </w:tr>
      <w:tr>
        <w:trPr>
          <w:trHeight w:val="216"/>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4,644,270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1,213,482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5,857,752</w:t>
            </w: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5,315,889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123,534,510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3,723,412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26,399,408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9,039,301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149,933,918</w:t>
            </w:r>
          </w:p>
        </w:tc>
      </w:tr>
      <w:tr>
        <w:trPr>
          <w:trHeight w:val="229"/>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and other asset-backed securities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586,825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6,984,005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3,622,663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19,465,113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4,209,488</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26,449,118</w:t>
            </w:r>
          </w:p>
        </w:tc>
      </w:tr>
      <w:tr>
        <w:trPr>
          <w:trHeight w:val="223"/>
        </w:trPr>
        <w:tc>
          <w:tcPr>
            <w:tcW w:w="4080" w:type="dxa"/>
            <w:vAlign w:val="bottom"/>
            <w:gridSpan w:val="3"/>
          </w:tcPr>
          <w:p>
            <w:pPr>
              <w:spacing w:after="0"/>
              <w:rPr>
                <w:sz w:val="20"/>
                <w:szCs w:val="20"/>
                <w:color w:val="auto"/>
              </w:rPr>
            </w:pPr>
            <w:r>
              <w:rPr>
                <w:rFonts w:ascii="Arial" w:cs="Arial" w:eastAsia="Arial" w:hAnsi="Arial"/>
                <w:sz w:val="18"/>
                <w:szCs w:val="18"/>
                <w:color w:val="auto"/>
              </w:rPr>
              <w:t>Totals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6,751,930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188,358,922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8,882,200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76,097,473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15,634,130</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264,456,395</w:t>
            </w:r>
          </w:p>
        </w:tc>
        <w:tc>
          <w:tcPr>
            <w:tcW w:w="100" w:type="dxa"/>
            <w:vAlign w:val="bottom"/>
          </w:tcPr>
          <w:p>
            <w:pPr>
              <w:spacing w:after="0"/>
              <w:rPr>
                <w:sz w:val="19"/>
                <w:szCs w:val="19"/>
                <w:color w:val="auto"/>
              </w:rPr>
            </w:pPr>
          </w:p>
        </w:tc>
      </w:tr>
      <w:tr>
        <w:trPr>
          <w:trHeight w:val="20"/>
        </w:trPr>
        <w:tc>
          <w:tcPr>
            <w:tcW w:w="1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080" w:type="dxa"/>
            <w:vAlign w:val="bottom"/>
            <w:gridSpan w:val="3"/>
          </w:tcPr>
          <w:p>
            <w:pPr>
              <w:spacing w:after="0" w:line="176" w:lineRule="exact"/>
              <w:rPr>
                <w:sz w:val="20"/>
                <w:szCs w:val="20"/>
                <w:color w:val="auto"/>
              </w:rPr>
            </w:pPr>
            <w:r>
              <w:rPr>
                <w:rFonts w:ascii="Arial" w:cs="Arial" w:eastAsia="Arial" w:hAnsi="Arial"/>
                <w:sz w:val="18"/>
                <w:szCs w:val="18"/>
                <w:color w:val="auto"/>
              </w:rPr>
              <w:t>At December 31, 2022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4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2,685,277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79,400,753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2,685,277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79,400,753</w:t>
            </w: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378,067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5,467,910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429,020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458,137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5,896,930</w:t>
            </w:r>
          </w:p>
        </w:tc>
      </w:tr>
      <w:tr>
        <w:trPr>
          <w:trHeight w:val="216"/>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10,935,114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162,995,969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5,781,822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11,930,773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168,777,791</w:t>
            </w: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Mortgage and other asset-backed securities</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2,884,731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19,909,907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1,215,943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6,978,745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4,100,674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26,888,652</w:t>
            </w:r>
          </w:p>
        </w:tc>
      </w:tr>
      <w:tr>
        <w:trPr>
          <w:trHeight w:val="263"/>
        </w:trPr>
        <w:tc>
          <w:tcPr>
            <w:tcW w:w="4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16,883,189</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267,774,539</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2,291,672</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13,189,587</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19,174,861</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280,964,126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656 securities with fair value of 94.4% of aggregate amortized cost at March 31, 2023. There were 713 securities with fair value of 93.6% of aggregate amortized cost at December 31, 2022. Credit losses of $179,500 and nil have been recognized for the three month periods ended March 31, 2023 and 2022 and are included in gains (losses) on investments and other assets on the condensed consolidated statements of earnings. Other unrealized losses for which no credit loss was recognized are primarily the result of the recent rise in interest rates and inflation.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Allowance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regarding the adoption of ASU 2016-13.</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 quarterly basis, the Company evaluates its fixed maturity securities classified as available for sale to identify any potential credit losses. This evaluation includes a review of current ratings by the National Association of Insurance Commissions (“NAIC”). Securities with a rating of 1 or 2 are considered investment grade and are not reviewed for credit loss, unless current market or recent company news could lead to a credit downgrade. Securities with ratings of 3 to 5 are evaluated for credit loss. Securities with a rating of 6 are automatically determined to be impaired and a credit loss is recognized in earnings.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maturity.</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the Company does not intend to sell and it is not more likely than not the Company will be required to sell the debt security but also do not expect to recover the entire amortized cost basis of the security, a credit loss would be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on available for sale fixed maturities that are deemed to be uncollectible are written off and removed from the allowance for credit loss. A write-off may also occur if the Company intends to sell a security or when it is more likely than not the Company will be required to sell the security before the recovery of its amortized cost.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measure a credit loss allowance on accrued interest receivable, included in accrued investment income on the condensed consolidated balance sheets, as the Company writes off any accrued interest receivable balance to net investment income in a timely manner (after 90 days) when the Company has concerns regarding collectability.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the Company’s allowance for credit losses on fixed maturity securities available for sale:</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Three Months Ended March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U.S. Treasury</w:t>
            </w:r>
          </w:p>
        </w:tc>
        <w:tc>
          <w:tcPr>
            <w:tcW w:w="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Securities And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Obligations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Obligations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states and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2"/>
              </w:rPr>
              <w:t>Mortgage-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Government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political</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Corporate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6"/>
              </w:rPr>
              <w:t>backed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Agencies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subdivisions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94"/>
              </w:rPr>
              <w:t>securities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securities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0"/>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gridSpan w:val="2"/>
            <w:shd w:val="clear" w:color="auto" w:fill="CCEEFF"/>
          </w:tcPr>
          <w:p>
            <w:pPr>
              <w:jc w:val="center"/>
              <w:ind w:right="61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Additions for credit losses not previously recorded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179,500</w:t>
            </w:r>
          </w:p>
        </w:tc>
        <w:tc>
          <w:tcPr>
            <w:tcW w:w="100" w:type="dxa"/>
            <w:vAlign w:val="bottom"/>
            <w:shd w:val="clear" w:color="auto" w:fill="CCEEFF"/>
          </w:tcPr>
          <w:p>
            <w:pPr>
              <w:spacing w:after="0"/>
              <w:rPr>
                <w:sz w:val="18"/>
                <w:szCs w:val="18"/>
                <w:color w:val="auto"/>
              </w:rPr>
            </w:pPr>
          </w:p>
        </w:tc>
      </w:tr>
      <w:tr>
        <w:trPr>
          <w:trHeight w:val="202"/>
        </w:trPr>
        <w:tc>
          <w:tcPr>
            <w:tcW w:w="3960" w:type="dxa"/>
            <w:vAlign w:val="bottom"/>
          </w:tcPr>
          <w:p>
            <w:pPr>
              <w:ind w:left="180"/>
              <w:spacing w:after="0" w:line="201" w:lineRule="exact"/>
              <w:rPr>
                <w:sz w:val="20"/>
                <w:szCs w:val="20"/>
                <w:color w:val="auto"/>
              </w:rPr>
            </w:pPr>
            <w:r>
              <w:rPr>
                <w:rFonts w:ascii="Arial" w:cs="Arial" w:eastAsia="Arial" w:hAnsi="Arial"/>
                <w:sz w:val="18"/>
                <w:szCs w:val="18"/>
                <w:color w:val="auto"/>
                <w:w w:val="98"/>
              </w:rPr>
              <w:t>Change in allowance on securities with previous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allowance</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Reductions for securities sold during the period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3960" w:type="dxa"/>
            <w:vAlign w:val="bottom"/>
          </w:tcPr>
          <w:p>
            <w:pPr>
              <w:ind w:left="180"/>
              <w:spacing w:after="0" w:line="201" w:lineRule="exact"/>
              <w:rPr>
                <w:sz w:val="20"/>
                <w:szCs w:val="20"/>
                <w:color w:val="auto"/>
              </w:rPr>
            </w:pPr>
            <w:r>
              <w:rPr>
                <w:rFonts w:ascii="Arial" w:cs="Arial" w:eastAsia="Arial" w:hAnsi="Arial"/>
                <w:sz w:val="18"/>
                <w:szCs w:val="18"/>
                <w:color w:val="auto"/>
                <w:w w:val="95"/>
              </w:rPr>
              <w:t>Reductions for securities with credit losses due to</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intent to sell</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charged against the allowance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Recoveries of amounts previously written off</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0"/>
        </w:trPr>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Ending Balance</w:t>
            </w:r>
          </w:p>
        </w:tc>
        <w:tc>
          <w:tcPr>
            <w:tcW w:w="12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gridSpan w:val="2"/>
          </w:tcPr>
          <w:p>
            <w:pPr>
              <w:jc w:val="center"/>
              <w:ind w:right="610"/>
              <w:spacing w:after="0"/>
              <w:rPr>
                <w:sz w:val="20"/>
                <w:szCs w:val="20"/>
                <w:color w:val="auto"/>
              </w:rPr>
            </w:pPr>
            <w:r>
              <w:rPr>
                <w:rFonts w:ascii="Arial" w:cs="Arial" w:eastAsia="Arial" w:hAnsi="Arial"/>
                <w:sz w:val="18"/>
                <w:szCs w:val="18"/>
                <w:color w:val="auto"/>
                <w:w w:val="99"/>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179,500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179,500</w:t>
            </w:r>
          </w:p>
        </w:tc>
        <w:tc>
          <w:tcPr>
            <w:tcW w:w="1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610"/>
              <w:spacing w:after="0"/>
              <w:rPr>
                <w:sz w:val="20"/>
                <w:szCs w:val="20"/>
                <w:color w:val="auto"/>
              </w:rPr>
            </w:pPr>
            <w:r>
              <w:rPr>
                <w:rFonts w:ascii="Arial" w:cs="Arial" w:eastAsia="Arial" w:hAnsi="Arial"/>
                <w:sz w:val="18"/>
                <w:szCs w:val="18"/>
                <w:color w:val="auto"/>
                <w:w w:val="89"/>
              </w:rPr>
              <w:t>15</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7" w:name="page18"/>
    <w:bookmarkEnd w:id="17"/>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 forward of the Company’s cumulative other than temporary credit impairments (“OTTI”) recognized in earnings on fixed maturity securities available for sale which was required to be presented prior to the adoption of ASU 2016-13.</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Balance of credit-related OTTI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0928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9285" cy="1454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Additions for credit impairments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9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not previously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92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Securities previously impaired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Reductions for credit impairments previously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9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Securities that matured or were sold during the period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70928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14541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due to an increase in expected cash flows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 of credit-related OTTI at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928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92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336"/>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944" w:hanging="944"/>
        <w:spacing w:after="0"/>
        <w:tabs>
          <w:tab w:leader="none" w:pos="9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264,977</w:t>
      </w:r>
    </w:p>
    <w:p>
      <w:pPr>
        <w:spacing w:after="0" w:line="200" w:lineRule="exact"/>
        <w:rPr>
          <w:sz w:val="20"/>
          <w:szCs w:val="20"/>
          <w:color w:val="auto"/>
        </w:rPr>
      </w:pPr>
    </w:p>
    <w:p>
      <w:pPr>
        <w:spacing w:after="0" w:line="252"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(39,502)</w:t>
      </w:r>
    </w:p>
    <w:p>
      <w:pPr>
        <w:spacing w:after="0" w:line="23"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9683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1" w:lineRule="exact"/>
        <w:rPr>
          <w:sz w:val="20"/>
          <w:szCs w:val="20"/>
          <w:color w:val="auto"/>
        </w:rPr>
      </w:pPr>
    </w:p>
    <w:p>
      <w:pPr>
        <w:ind w:left="944" w:hanging="944"/>
        <w:spacing w:after="0"/>
        <w:tabs>
          <w:tab w:leader="none" w:pos="9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225,475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9683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56" w:space="720"/>
            <w:col w:w="3864"/>
          </w:cols>
          <w:pgMar w:left="320" w:top="692" w:right="339" w:bottom="1440" w:gutter="0" w:footer="0" w:header="0"/>
          <w:type w:val="continuous"/>
        </w:sectPr>
      </w:pP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amortized cost and the estimated fair value of fixed maturity securities available for sale at March 31, 2023, by contractual maturity. Actual or expected maturities may differ from contractual maturities because certain borrowers may have the right to call or prepay obligations with or without call or prepayment penalties.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Estimated Fair</w:t>
            </w:r>
          </w:p>
        </w:tc>
      </w:tr>
      <w:tr>
        <w:trPr>
          <w:trHeight w:val="230"/>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Due in 1 year</w:t>
            </w:r>
          </w:p>
        </w:tc>
        <w:tc>
          <w:tcPr>
            <w:tcW w:w="1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18,103,991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18,032,556</w:t>
            </w:r>
          </w:p>
        </w:tc>
        <w:tc>
          <w:tcPr>
            <w:tcW w:w="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Due in 2-5 years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149,458,111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145,781,675</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Due in 5-10 years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81,699,121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80,082,902</w:t>
            </w:r>
          </w:p>
        </w:tc>
        <w:tc>
          <w:tcPr>
            <w:tcW w:w="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Due in more than 10 years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86,011,105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83,559,702</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33,859,690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29,853,692</w:t>
            </w:r>
          </w:p>
        </w:tc>
        <w:tc>
          <w:tcPr>
            <w:tcW w:w="60" w:type="dxa"/>
            <w:vAlign w:val="bottom"/>
            <w:shd w:val="clear" w:color="auto" w:fill="CCEEFF"/>
          </w:tcPr>
          <w:p>
            <w:pPr>
              <w:spacing w:after="0"/>
              <w:rPr>
                <w:sz w:val="18"/>
                <w:szCs w:val="18"/>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369,382,018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357,570,527</w:t>
            </w:r>
          </w:p>
        </w:tc>
        <w:tc>
          <w:tcPr>
            <w:tcW w:w="60" w:type="dxa"/>
            <w:vAlign w:val="bottom"/>
            <w:shd w:val="clear" w:color="auto" w:fill="CCEEFF"/>
          </w:tcPr>
          <w:p>
            <w:pPr>
              <w:spacing w:after="0"/>
              <w:rPr>
                <w:sz w:val="20"/>
                <w:szCs w:val="20"/>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member of the Federal Home Loan Bank of Des Moines and Dallas (“FHLB”). The Company had pledged a total of $93,436,027, at estimated fair value, of fixed maturity securities with the FHLB at March 31, 2023. These pledged securities are used as collateral for any FHLB cash advances. As of March 31, 2023, the Company owed $31,000,000 to the FHLB and its estimated maximum borrowing capacity was $55,351,809.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NAIC assigns designations to fixed maturity securities. These designations range from Class 1 (highest quality) to Class 6 (lowest quality). The NAIC designations are utilized by insurers in preparing their annual statutory statements. NAIC Class 1 and 2 are considered “investment grade” while the NAIC Class 3 through 6 designations are considered “non-investment grade.” Based on the NAIC designations, the Company had 98.1% and 97.7% of its fixed maturity securities rated investment grade as of March 31, 2023 and December 31, 2022,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8" w:name="page19"/>
    <w:bookmarkEnd w:id="18"/>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credit quality, as determined by NAIC designation, of the Company’s fixed maturity securities available for sale, excluding redeemable preferred stock.</w:t>
      </w:r>
    </w:p>
    <w:p>
      <w:pPr>
        <w:spacing w:after="0" w:line="170" w:lineRule="exact"/>
        <w:rPr>
          <w:sz w:val="20"/>
          <w:szCs w:val="20"/>
          <w:color w:val="auto"/>
        </w:rPr>
      </w:pPr>
    </w:p>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4"/>
          </w:tcPr>
          <w:p>
            <w:pPr>
              <w:jc w:val="right"/>
              <w:ind w:right="1210"/>
              <w:spacing w:after="0"/>
              <w:rPr>
                <w:sz w:val="20"/>
                <w:szCs w:val="20"/>
                <w:color w:val="auto"/>
              </w:rPr>
            </w:pPr>
            <w:r>
              <w:rPr>
                <w:rFonts w:ascii="Arial" w:cs="Arial" w:eastAsia="Arial" w:hAnsi="Arial"/>
                <w:sz w:val="18"/>
                <w:szCs w:val="18"/>
                <w:color w:val="auto"/>
              </w:rPr>
              <w:t>March 31, 2023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ind w:left="880"/>
              <w:spacing w:after="0"/>
              <w:rPr>
                <w:sz w:val="20"/>
                <w:szCs w:val="20"/>
                <w:color w:val="auto"/>
              </w:rPr>
            </w:pPr>
            <w:r>
              <w:rPr>
                <w:rFonts w:ascii="Arial" w:cs="Arial" w:eastAsia="Arial" w:hAnsi="Arial"/>
                <w:sz w:val="18"/>
                <w:szCs w:val="18"/>
                <w:color w:val="auto"/>
              </w:rPr>
              <w:t>December 31, 2022</w:t>
            </w:r>
          </w:p>
        </w:tc>
      </w:tr>
      <w:tr>
        <w:trPr>
          <w:trHeight w:val="195"/>
        </w:trPr>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760"/>
              <w:spacing w:after="0" w:line="195" w:lineRule="exact"/>
              <w:rPr>
                <w:sz w:val="20"/>
                <w:szCs w:val="20"/>
                <w:color w:val="auto"/>
              </w:rPr>
            </w:pPr>
            <w:r>
              <w:rPr>
                <w:rFonts w:ascii="Arial" w:cs="Arial" w:eastAsia="Arial" w:hAnsi="Arial"/>
                <w:sz w:val="18"/>
                <w:szCs w:val="18"/>
                <w:color w:val="auto"/>
              </w:rPr>
              <w:t>Amortized</w:t>
            </w: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w w:val="99"/>
              </w:rPr>
              <w:t>Estimated Fair</w:t>
            </w: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Amortized</w:t>
            </w: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130"/>
              <w:spacing w:after="0" w:line="195" w:lineRule="exact"/>
              <w:rPr>
                <w:sz w:val="20"/>
                <w:szCs w:val="20"/>
                <w:color w:val="auto"/>
              </w:rPr>
            </w:pPr>
            <w:r>
              <w:rPr>
                <w:rFonts w:ascii="Arial" w:cs="Arial" w:eastAsia="Arial" w:hAnsi="Arial"/>
                <w:sz w:val="18"/>
                <w:szCs w:val="18"/>
                <w:color w:val="auto"/>
                <w:w w:val="91"/>
              </w:rPr>
              <w:t>Estimated Fair</w:t>
            </w:r>
          </w:p>
        </w:tc>
        <w:tc>
          <w:tcPr>
            <w:tcW w:w="100" w:type="dxa"/>
            <w:vAlign w:val="bottom"/>
          </w:tcPr>
          <w:p>
            <w:pPr>
              <w:spacing w:after="0"/>
              <w:rPr>
                <w:sz w:val="16"/>
                <w:szCs w:val="16"/>
                <w:color w:val="auto"/>
              </w:rPr>
            </w:pPr>
          </w:p>
        </w:tc>
      </w:tr>
      <w:tr>
        <w:trPr>
          <w:trHeight w:val="230"/>
        </w:trPr>
        <w:tc>
          <w:tcPr>
            <w:tcW w:w="1920" w:type="dxa"/>
            <w:vAlign w:val="bottom"/>
          </w:tcPr>
          <w:p>
            <w:pPr>
              <w:jc w:val="center"/>
              <w:spacing w:after="0"/>
              <w:rPr>
                <w:sz w:val="20"/>
                <w:szCs w:val="20"/>
                <w:color w:val="auto"/>
              </w:rPr>
            </w:pPr>
            <w:r>
              <w:rPr>
                <w:rFonts w:ascii="Arial" w:cs="Arial" w:eastAsia="Arial" w:hAnsi="Arial"/>
                <w:sz w:val="18"/>
                <w:szCs w:val="18"/>
                <w:color w:val="auto"/>
                <w:w w:val="93"/>
              </w:rPr>
              <w:t>NAIC Designation</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right"/>
              <w:ind w:right="98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Value</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Cost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r>
      <w:tr>
        <w:trPr>
          <w:trHeight w:val="209"/>
        </w:trPr>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202,589,256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197,298,515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197,753,818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189,691,540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159,006,458</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153,332,558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156,261,804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148,073,873</w:t>
            </w:r>
          </w:p>
        </w:tc>
      </w:tr>
      <w:tr>
        <w:trPr>
          <w:trHeight w:val="216"/>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6,036,229</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5,540,009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7,080,305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6,635,786</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1,472,550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1,098,745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1,377,541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1,157,454</w:t>
            </w:r>
          </w:p>
        </w:tc>
      </w:tr>
      <w:tr>
        <w:trPr>
          <w:trHeight w:val="216"/>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26,236</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39,155</w:t>
            </w:r>
          </w:p>
        </w:tc>
      </w:tr>
      <w:tr>
        <w:trPr>
          <w:trHeight w:val="229"/>
        </w:trPr>
        <w:tc>
          <w:tcPr>
            <w:tcW w:w="1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23"/>
        </w:trPr>
        <w:tc>
          <w:tcPr>
            <w:tcW w:w="19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369,132,018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357,310,527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362,500,511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345,598,492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right"/>
              <w:ind w:right="620"/>
              <w:spacing w:after="0"/>
              <w:rPr>
                <w:sz w:val="20"/>
                <w:szCs w:val="20"/>
                <w:color w:val="auto"/>
              </w:rPr>
            </w:pPr>
            <w:r>
              <w:rPr>
                <w:rFonts w:ascii="Arial" w:cs="Arial" w:eastAsia="Arial" w:hAnsi="Arial"/>
                <w:sz w:val="18"/>
                <w:szCs w:val="18"/>
                <w:color w:val="auto"/>
                <w:w w:val="99"/>
              </w:rPr>
              <w:t>Three Months Ended March 31</w:t>
            </w:r>
          </w:p>
        </w:tc>
      </w:tr>
      <w:tr>
        <w:trPr>
          <w:trHeight w:val="223"/>
        </w:trPr>
        <w:tc>
          <w:tcPr>
            <w:tcW w:w="55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455,651</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Securities and cash on deposit with regulatory authorities as required by law amounted to $10,952,850 at March 31, 2023 and $11,032,165 at December 31, 2022. These restricted securities are included in various assets under investments on the accompanying condensed consolidated balance sheets.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investments, aggregated by issuer, in excess of 10% of shareholders’ equity (before net unrealized gains and losses on equity securities and fixed maturity securities) at March 31, 2023, other than investments issued or guaranteed by the United States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Held for Investment and Held for Sale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strategically deploys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resources. The geographic locations and asset classes of investments are determined by senior management under the direction of the Board of Directors.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employs full-time employees to attend to the day-to-day operations of those assets within the greater Salt Lake area and close surrounding markets. The Company utilizes third party property managers where the geographic location does not warrant full-time staff or through strategic lease-up periods. The Company generally looks to acquire assets that are located in regions expected to have high growth in employment and population and that provide operational efficiencies.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currently owns and operates nine commercial properties in three states. These properties include office buildings, flex office space, and includes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aggregated net book value of commercial real estate serving as collateral for bank loans was $128,272,775 and $129,330,119 as of March 31, 2023, and December 31, 2022, respectively. The associated bank loan carrying values totaled $96,652,659 and $97,112,131 as of March 31, 2023, and December 31, 2022,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 periods ended March 31, 2023, and 2022,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 periods ended March 31, 2023, and 2022, the Company recorded depreciation expense on commercial real estate held for investment of $1,565,927 and $1,323,930,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color w:val="auto"/>
              </w:rPr>
              <w:t>Net Book Value</w:t>
            </w:r>
          </w:p>
        </w:tc>
        <w:tc>
          <w:tcPr>
            <w:tcW w:w="80" w:type="dxa"/>
            <w:vAlign w:val="bottom"/>
          </w:tcPr>
          <w:p>
            <w:pPr>
              <w:spacing w:after="0"/>
              <w:rPr>
                <w:sz w:val="20"/>
                <w:szCs w:val="20"/>
                <w:color w:val="auto"/>
              </w:rPr>
            </w:pPr>
          </w:p>
        </w:tc>
        <w:tc>
          <w:tcPr>
            <w:tcW w:w="2440" w:type="dxa"/>
            <w:vAlign w:val="bottom"/>
            <w:gridSpan w:val="5"/>
          </w:tcPr>
          <w:p>
            <w:pPr>
              <w:ind w:left="360"/>
              <w:spacing w:after="0"/>
              <w:rPr>
                <w:sz w:val="20"/>
                <w:szCs w:val="20"/>
                <w:color w:val="auto"/>
              </w:rPr>
            </w:pPr>
            <w:r>
              <w:rPr>
                <w:rFonts w:ascii="Arial" w:cs="Arial" w:eastAsia="Arial" w:hAnsi="Arial"/>
                <w:sz w:val="18"/>
                <w:szCs w:val="18"/>
                <w:color w:val="auto"/>
              </w:rPr>
              <w:t>Total Square Footage</w:t>
            </w:r>
          </w:p>
        </w:tc>
      </w:tr>
      <w:tr>
        <w:trPr>
          <w:trHeight w:val="195"/>
        </w:trPr>
        <w:tc>
          <w:tcPr>
            <w:tcW w:w="2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60"/>
              <w:spacing w:after="0" w:line="195" w:lineRule="exact"/>
              <w:rPr>
                <w:sz w:val="20"/>
                <w:szCs w:val="20"/>
                <w:color w:val="auto"/>
              </w:rPr>
            </w:pPr>
            <w:r>
              <w:rPr>
                <w:rFonts w:ascii="Arial" w:cs="Arial" w:eastAsia="Arial" w:hAnsi="Arial"/>
                <w:sz w:val="18"/>
                <w:szCs w:val="18"/>
                <w:color w:val="auto"/>
                <w:w w:val="95"/>
              </w:rPr>
              <w:t>March 31</w:t>
            </w:r>
          </w:p>
        </w:tc>
        <w:tc>
          <w:tcPr>
            <w:tcW w:w="10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4"/>
              </w:rPr>
              <w:t>December 31</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March 31</w:t>
            </w:r>
          </w:p>
        </w:tc>
        <w:tc>
          <w:tcPr>
            <w:tcW w:w="1080" w:type="dxa"/>
            <w:vAlign w:val="bottom"/>
            <w:tcBorders>
              <w:top w:val="single" w:sz="8" w:color="auto"/>
            </w:tcBorders>
            <w:gridSpan w:val="2"/>
          </w:tcPr>
          <w:p>
            <w:pPr>
              <w:jc w:val="right"/>
              <w:ind w:right="60"/>
              <w:spacing w:after="0" w:line="195" w:lineRule="exact"/>
              <w:rPr>
                <w:sz w:val="20"/>
                <w:szCs w:val="20"/>
                <w:color w:val="auto"/>
              </w:rPr>
            </w:pPr>
            <w:r>
              <w:rPr>
                <w:rFonts w:ascii="Arial" w:cs="Arial" w:eastAsia="Arial" w:hAnsi="Arial"/>
                <w:sz w:val="18"/>
                <w:szCs w:val="18"/>
                <w:color w:val="auto"/>
                <w:w w:val="92"/>
              </w:rPr>
              <w:t>December 31</w:t>
            </w:r>
          </w:p>
        </w:tc>
        <w:tc>
          <w:tcPr>
            <w:tcW w:w="100" w:type="dxa"/>
            <w:vAlign w:val="bottom"/>
          </w:tcPr>
          <w:p>
            <w:pPr>
              <w:spacing w:after="0"/>
              <w:rPr>
                <w:sz w:val="16"/>
                <w:szCs w:val="16"/>
                <w:color w:val="auto"/>
              </w:rPr>
            </w:pPr>
          </w:p>
        </w:tc>
      </w:tr>
      <w:tr>
        <w:trPr>
          <w:trHeight w:val="230"/>
        </w:trPr>
        <w:tc>
          <w:tcPr>
            <w:tcW w:w="28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 (1)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146,397,779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147,627,946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625,920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625,920</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2,369,405</w:t>
            </w: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2,380,847</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31,778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31,778</w:t>
            </w:r>
          </w:p>
        </w:tc>
        <w:tc>
          <w:tcPr>
            <w:tcW w:w="100" w:type="dxa"/>
            <w:vAlign w:val="bottom"/>
          </w:tcPr>
          <w:p>
            <w:pPr>
              <w:spacing w:after="0"/>
              <w:rPr>
                <w:sz w:val="18"/>
                <w:szCs w:val="18"/>
                <w:color w:val="auto"/>
              </w:rPr>
            </w:pPr>
          </w:p>
        </w:tc>
      </w:tr>
      <w:tr>
        <w:trPr>
          <w:trHeight w:val="23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2,950,961</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2,881,863</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19,694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00" w:type="dxa"/>
            <w:vAlign w:val="bottom"/>
            <w:shd w:val="clear" w:color="auto" w:fill="CCEEFF"/>
          </w:tcPr>
          <w:p>
            <w:pPr>
              <w:spacing w:after="0"/>
              <w:rPr>
                <w:sz w:val="19"/>
                <w:szCs w:val="19"/>
                <w:color w:val="auto"/>
              </w:rPr>
            </w:pPr>
          </w:p>
        </w:tc>
      </w:tr>
      <w:tr>
        <w:trPr>
          <w:trHeight w:val="209"/>
        </w:trPr>
        <w:tc>
          <w:tcPr>
            <w:tcW w:w="2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28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151,718,145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152,890,656</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677,392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677,392</w:t>
            </w:r>
          </w:p>
        </w:tc>
        <w:tc>
          <w:tcPr>
            <w:tcW w:w="100" w:type="dxa"/>
            <w:vAlign w:val="bottom"/>
            <w:shd w:val="clear" w:color="auto" w:fill="CCEEFF"/>
          </w:tcPr>
          <w:p>
            <w:pPr>
              <w:spacing w:after="0"/>
              <w:rPr>
                <w:sz w:val="23"/>
                <w:szCs w:val="23"/>
                <w:color w:val="auto"/>
              </w:rPr>
            </w:pPr>
          </w:p>
        </w:tc>
      </w:tr>
      <w:tr>
        <w:trPr>
          <w:trHeight w:val="197"/>
        </w:trPr>
        <w:tc>
          <w:tcPr>
            <w:tcW w:w="2820" w:type="dxa"/>
            <w:vAlign w:val="bottom"/>
            <w:tcBorders>
              <w:top w:val="single" w:sz="8" w:color="CCEEFF"/>
              <w:bottom w:val="single" w:sz="8" w:color="auto"/>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4"/>
        </w:trPr>
        <w:tc>
          <w:tcPr>
            <w:tcW w:w="3460" w:type="dxa"/>
            <w:vAlign w:val="bottom"/>
            <w:gridSpan w:val="2"/>
          </w:tcPr>
          <w:p>
            <w:pPr>
              <w:spacing w:after="0"/>
              <w:rPr>
                <w:sz w:val="20"/>
                <w:szCs w:val="20"/>
                <w:color w:val="auto"/>
              </w:rPr>
            </w:pPr>
            <w:r>
              <w:rPr>
                <w:rFonts w:ascii="Arial" w:cs="Arial" w:eastAsia="Arial" w:hAnsi="Arial"/>
                <w:sz w:val="18"/>
                <w:szCs w:val="18"/>
                <w:color w:val="auto"/>
                <w:w w:val="97"/>
              </w:rPr>
              <w:t>(1)  Includes Center53 phase 1 and phase 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6"/>
          </w:tcPr>
          <w:p>
            <w:pPr>
              <w:ind w:left="380"/>
              <w:spacing w:after="0"/>
              <w:rPr>
                <w:sz w:val="20"/>
                <w:szCs w:val="20"/>
                <w:color w:val="auto"/>
              </w:rPr>
            </w:pPr>
            <w:r>
              <w:rPr>
                <w:rFonts w:ascii="Arial" w:cs="Arial" w:eastAsia="Arial" w:hAnsi="Arial"/>
                <w:sz w:val="18"/>
                <w:szCs w:val="18"/>
                <w:color w:val="auto"/>
              </w:rPr>
              <w:t>Net Book Value</w:t>
            </w:r>
          </w:p>
        </w:tc>
      </w:tr>
      <w:tr>
        <w:trPr>
          <w:trHeight w:val="195"/>
        </w:trPr>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180"/>
              <w:spacing w:after="0" w:line="195" w:lineRule="exact"/>
              <w:rPr>
                <w:sz w:val="20"/>
                <w:szCs w:val="20"/>
                <w:color w:val="auto"/>
              </w:rPr>
            </w:pPr>
            <w:r>
              <w:rPr>
                <w:rFonts w:ascii="Arial" w:cs="Arial" w:eastAsia="Arial" w:hAnsi="Arial"/>
                <w:sz w:val="18"/>
                <w:szCs w:val="18"/>
                <w:color w:val="auto"/>
                <w:w w:val="93"/>
              </w:rPr>
              <w:t>March 31</w:t>
            </w: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8"/>
              </w:rPr>
              <w:t>December 31</w:t>
            </w:r>
          </w:p>
        </w:tc>
        <w:tc>
          <w:tcPr>
            <w:tcW w:w="40" w:type="dxa"/>
            <w:vAlign w:val="bottom"/>
          </w:tcPr>
          <w:p>
            <w:pPr>
              <w:spacing w:after="0"/>
              <w:rPr>
                <w:sz w:val="16"/>
                <w:szCs w:val="16"/>
                <w:color w:val="auto"/>
              </w:rPr>
            </w:pPr>
          </w:p>
        </w:tc>
      </w:tr>
      <w:tr>
        <w:trPr>
          <w:trHeight w:val="230"/>
        </w:trPr>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r>
      <w:tr>
        <w:trPr>
          <w:trHeight w:val="223"/>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Mississippi (1)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151,553</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40" w:type="dxa"/>
            <w:vAlign w:val="bottom"/>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20" w:hanging="387"/>
        <w:spacing w:after="0"/>
        <w:tabs>
          <w:tab w:leader="none" w:pos="3820" w:val="left"/>
        </w:tabs>
        <w:numPr>
          <w:ilvl w:val="1"/>
          <w:numId w:val="1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151,553  $    151,553</w:t>
      </w:r>
    </w:p>
    <w:p>
      <w:pPr>
        <w:spacing w:after="0" w:line="292" w:lineRule="exact"/>
        <w:rPr>
          <w:rFonts w:ascii="Arial" w:cs="Arial" w:eastAsia="Arial" w:hAnsi="Arial"/>
          <w:sz w:val="18"/>
          <w:szCs w:val="18"/>
          <w:u w:val="single" w:color="auto"/>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approximately 93 acres of undeveloped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356616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This property is being marketed with the assistance of commercial real estate brokers in Mississippi.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occasionally acquires a small portfolio of residential homes primarily as a result of loan foreclosures. The Company has the option to sell these properties or to continue to hold them for expected cash flow and price appreciation. The Company also invests in residential subdivision land developments.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established Security National Real Estate Services (“SNRE”) to manage its residential property portfolio. SNRE cultivates and maintains the preferred vendor relationships necessary to manage costs and quality of work performed on the Company’s entire residential property portfolio.</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 periods ended March 31, 2023, and 2022 the Company did not record any impairment losses on residential real estate held for sale or held for investment. Impairment losses, if any, are included in gains (losses) on investment and other assets on the condensed consolidated statements of earnings.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 periods ended March 31, 2023, and 2022, the Company recorded depreciation expense on residential real estate held for investment of $2,648 and $2,648,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residential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Net Book Value</w:t>
            </w:r>
          </w:p>
        </w:tc>
        <w:tc>
          <w:tcPr>
            <w:tcW w:w="5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300" w:type="dxa"/>
            <w:vAlign w:val="bottom"/>
          </w:tcPr>
          <w:p>
            <w:pPr>
              <w:spacing w:after="0"/>
              <w:rPr>
                <w:sz w:val="16"/>
                <w:szCs w:val="16"/>
                <w:color w:val="auto"/>
              </w:rPr>
            </w:pPr>
          </w:p>
        </w:tc>
        <w:tc>
          <w:tcPr>
            <w:tcW w:w="900" w:type="dxa"/>
            <w:vAlign w:val="bottom"/>
          </w:tcPr>
          <w:p>
            <w:pPr>
              <w:ind w:left="100"/>
              <w:spacing w:after="0" w:line="195" w:lineRule="exact"/>
              <w:rPr>
                <w:sz w:val="20"/>
                <w:szCs w:val="20"/>
                <w:color w:val="auto"/>
              </w:rPr>
            </w:pPr>
            <w:r>
              <w:rPr>
                <w:rFonts w:ascii="Arial" w:cs="Arial" w:eastAsia="Arial" w:hAnsi="Arial"/>
                <w:sz w:val="18"/>
                <w:szCs w:val="18"/>
                <w:color w:val="auto"/>
              </w:rPr>
              <w:t>March 31</w:t>
            </w:r>
          </w:p>
        </w:tc>
        <w:tc>
          <w:tcPr>
            <w:tcW w:w="460" w:type="dxa"/>
            <w:vAlign w:val="bottom"/>
          </w:tcPr>
          <w:p>
            <w:pPr>
              <w:spacing w:after="0"/>
              <w:rPr>
                <w:sz w:val="16"/>
                <w:szCs w:val="16"/>
                <w:color w:val="auto"/>
              </w:rPr>
            </w:pPr>
          </w:p>
        </w:tc>
        <w:tc>
          <w:tcPr>
            <w:tcW w:w="9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December</w:t>
            </w:r>
          </w:p>
        </w:tc>
        <w:tc>
          <w:tcPr>
            <w:tcW w:w="4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2022</w:t>
            </w:r>
          </w:p>
        </w:tc>
        <w:tc>
          <w:tcPr>
            <w:tcW w:w="40" w:type="dxa"/>
            <w:vAlign w:val="bottom"/>
          </w:tcPr>
          <w:p>
            <w:pPr>
              <w:spacing w:after="0"/>
              <w:rPr>
                <w:sz w:val="20"/>
                <w:szCs w:val="20"/>
                <w:color w:val="auto"/>
              </w:rPr>
            </w:pPr>
          </w:p>
        </w:tc>
      </w:tr>
      <w:tr>
        <w:trPr>
          <w:trHeight w:val="209"/>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Utah (1)</w:t>
            </w: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35,358,867</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38,437,960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23"/>
        </w:trPr>
        <w:tc>
          <w:tcPr>
            <w:tcW w:w="33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35,358,867</w:t>
            </w:r>
          </w:p>
        </w:tc>
        <w:tc>
          <w:tcPr>
            <w:tcW w:w="1380" w:type="dxa"/>
            <w:vAlign w:val="bottom"/>
            <w:gridSpan w:val="3"/>
          </w:tcPr>
          <w:p>
            <w:pPr>
              <w:jc w:val="center"/>
              <w:ind w:left="3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38,437,960</w:t>
            </w:r>
          </w:p>
        </w:tc>
        <w:tc>
          <w:tcPr>
            <w:tcW w:w="4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Includes subdivision land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the Company’s subdivision land developments in Utah.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March 31</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December</w:t>
            </w:r>
          </w:p>
        </w:tc>
      </w:tr>
      <w:tr>
        <w:trPr>
          <w:trHeight w:val="230"/>
        </w:trPr>
        <w:tc>
          <w:tcPr>
            <w:tcW w:w="330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31 2022</w:t>
            </w:r>
          </w:p>
        </w:tc>
        <w:tc>
          <w:tcPr>
            <w:tcW w:w="40" w:type="dxa"/>
            <w:vAlign w:val="bottom"/>
          </w:tcPr>
          <w:p>
            <w:pPr>
              <w:spacing w:after="0"/>
              <w:rPr>
                <w:sz w:val="20"/>
                <w:szCs w:val="20"/>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Lots developed</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Lots to be developed</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1,123</w:t>
            </w:r>
          </w:p>
        </w:tc>
        <w:tc>
          <w:tcPr>
            <w:tcW w:w="920" w:type="dxa"/>
            <w:vAlign w:val="bottom"/>
          </w:tcPr>
          <w:p>
            <w:pPr>
              <w:jc w:val="right"/>
              <w:spacing w:after="0"/>
              <w:rPr>
                <w:sz w:val="20"/>
                <w:szCs w:val="20"/>
                <w:color w:val="auto"/>
              </w:rPr>
            </w:pPr>
            <w:r>
              <w:rPr>
                <w:rFonts w:ascii="Arial" w:cs="Arial" w:eastAsia="Arial" w:hAnsi="Arial"/>
                <w:sz w:val="18"/>
                <w:szCs w:val="18"/>
                <w:color w:val="auto"/>
              </w:rPr>
              <w:t>1,131</w:t>
            </w:r>
          </w:p>
        </w:tc>
        <w:tc>
          <w:tcPr>
            <w:tcW w:w="4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$34,825,972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$38,241,705</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6"/>
          </w:tcPr>
          <w:p>
            <w:pPr>
              <w:ind w:left="400"/>
              <w:spacing w:after="0"/>
              <w:rPr>
                <w:sz w:val="20"/>
                <w:szCs w:val="20"/>
                <w:color w:val="auto"/>
              </w:rPr>
            </w:pPr>
            <w:r>
              <w:rPr>
                <w:rFonts w:ascii="Arial" w:cs="Arial" w:eastAsia="Arial" w:hAnsi="Arial"/>
                <w:sz w:val="18"/>
                <w:szCs w:val="18"/>
                <w:color w:val="auto"/>
              </w:rPr>
              <w:t>Net Book Value</w:t>
            </w:r>
          </w:p>
        </w:tc>
      </w:tr>
      <w:tr>
        <w:trPr>
          <w:trHeight w:val="195"/>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3"/>
              </w:rPr>
              <w:t>March 31</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8"/>
              </w:rPr>
              <w:t>December 31</w:t>
            </w:r>
          </w:p>
        </w:tc>
        <w:tc>
          <w:tcPr>
            <w:tcW w:w="4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r>
      <w:tr>
        <w:trPr>
          <w:trHeight w:val="22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7,238,709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11,010,029</w:t>
            </w:r>
          </w:p>
        </w:tc>
        <w:tc>
          <w:tcPr>
            <w:tcW w:w="40" w:type="dxa"/>
            <w:vAlign w:val="bottom"/>
            <w:shd w:val="clear" w:color="auto" w:fill="CCEEFF"/>
          </w:tcPr>
          <w:p>
            <w:pPr>
              <w:spacing w:after="0"/>
              <w:rPr>
                <w:sz w:val="19"/>
                <w:szCs w:val="19"/>
                <w:color w:val="auto"/>
              </w:rPr>
            </w:pPr>
          </w:p>
        </w:tc>
      </w:tr>
      <w:tr>
        <w:trPr>
          <w:trHeight w:val="223"/>
        </w:trPr>
        <w:tc>
          <w:tcPr>
            <w:tcW w:w="3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4"/>
              </w:rPr>
              <w:t>7,238,709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11,010,029</w:t>
            </w:r>
          </w:p>
        </w:tc>
        <w:tc>
          <w:tcPr>
            <w:tcW w:w="4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book value of foreclosed residential real estate included in residential real estate held for sale was $5,570,788 and $11,010,029 as of March 31, 2023, and December 31,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Owned and Occupied by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business units of the Company occupy a portion of the real estate owned by the Company. As of March 31, 2023, real estate owned and occupied by the Company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Square Footage</w:t>
            </w:r>
          </w:p>
        </w:tc>
      </w:tr>
      <w:tr>
        <w:trPr>
          <w:trHeight w:val="216"/>
        </w:trPr>
        <w:tc>
          <w:tcPr>
            <w:tcW w:w="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Approximate Square</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Occupied by the</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Location</w:t>
            </w: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Business Segment</w:t>
            </w:r>
          </w:p>
        </w:tc>
        <w:tc>
          <w:tcPr>
            <w:tcW w:w="240" w:type="dxa"/>
            <w:vAlign w:val="bottom"/>
          </w:tcPr>
          <w:p>
            <w:pPr>
              <w:spacing w:after="0"/>
              <w:rPr>
                <w:sz w:val="20"/>
                <w:szCs w:val="20"/>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Footage</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Company</w:t>
            </w:r>
          </w:p>
        </w:tc>
      </w:tr>
      <w:tr>
        <w:trPr>
          <w:trHeight w:val="195"/>
        </w:trPr>
        <w:tc>
          <w:tcPr>
            <w:tcW w:w="400" w:type="dxa"/>
            <w:vAlign w:val="bottom"/>
            <w:tcBorders>
              <w:top w:val="single" w:sz="8" w:color="auto"/>
            </w:tcBorders>
            <w:shd w:val="clear" w:color="auto" w:fill="CCEEFF"/>
          </w:tcPr>
          <w:p>
            <w:pPr>
              <w:spacing w:after="0"/>
              <w:rPr>
                <w:sz w:val="16"/>
                <w:szCs w:val="16"/>
                <w:color w:val="auto"/>
              </w:rPr>
            </w:pPr>
          </w:p>
        </w:tc>
        <w:tc>
          <w:tcPr>
            <w:tcW w:w="2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Corporate Offices, Life Insurance,</w:t>
            </w:r>
          </w:p>
        </w:tc>
        <w:tc>
          <w:tcPr>
            <w:tcW w:w="240" w:type="dxa"/>
            <w:vAlign w:val="bottom"/>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433 Ascension Way, Floors 4, 5 and 6, Salt</w:t>
            </w:r>
          </w:p>
        </w:tc>
        <w:tc>
          <w:tcPr>
            <w:tcW w:w="2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0"/>
              </w:rPr>
              <w:t>Cemetery/Mortuary Operations, and Mortgage</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 City, UT - Center53 Building 2 (1)</w:t>
            </w:r>
          </w:p>
        </w:tc>
        <w:tc>
          <w:tcPr>
            <w:tcW w:w="2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Sales</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221,000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1044</w:t>
            </w:r>
          </w:p>
        </w:tc>
        <w:tc>
          <w:tcPr>
            <w:tcW w:w="2960" w:type="dxa"/>
            <w:vAlign w:val="bottom"/>
          </w:tcPr>
          <w:p>
            <w:pPr>
              <w:ind w:left="20"/>
              <w:spacing w:after="0"/>
              <w:rPr>
                <w:sz w:val="20"/>
                <w:szCs w:val="20"/>
                <w:color w:val="auto"/>
              </w:rPr>
            </w:pPr>
            <w:r>
              <w:rPr>
                <w:rFonts w:ascii="Arial" w:cs="Arial" w:eastAsia="Arial" w:hAnsi="Arial"/>
                <w:sz w:val="18"/>
                <w:szCs w:val="18"/>
                <w:color w:val="auto"/>
              </w:rPr>
              <w:t>River Oaks Dr., Flowood, MS (1)</w:t>
            </w: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Life Insurance Operations</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19,694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1818</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Marshall Street, Shreveport, LA (2)</w:t>
            </w:r>
          </w:p>
        </w:tc>
        <w:tc>
          <w:tcPr>
            <w:tcW w:w="2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Operations</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12,274</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909 Foisy Street, Alexandria, LA (2)</w:t>
            </w: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Life Insurance Sales</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8,059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812 Sheppard Street, Minden, LA (2)</w:t>
            </w:r>
          </w:p>
        </w:tc>
        <w:tc>
          <w:tcPr>
            <w:tcW w:w="2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Sales</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1,560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1550</w:t>
            </w:r>
          </w:p>
        </w:tc>
        <w:tc>
          <w:tcPr>
            <w:tcW w:w="2960" w:type="dxa"/>
            <w:vAlign w:val="bottom"/>
          </w:tcPr>
          <w:p>
            <w:pPr>
              <w:ind w:left="20"/>
              <w:spacing w:after="0"/>
              <w:rPr>
                <w:sz w:val="20"/>
                <w:szCs w:val="20"/>
                <w:color w:val="auto"/>
              </w:rPr>
            </w:pPr>
            <w:r>
              <w:rPr>
                <w:rFonts w:ascii="Arial" w:cs="Arial" w:eastAsia="Arial" w:hAnsi="Arial"/>
                <w:sz w:val="18"/>
                <w:szCs w:val="18"/>
                <w:color w:val="auto"/>
              </w:rPr>
              <w:t>N 3rd Street, Jena, LA (2)</w:t>
            </w: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Life Insurance Sales</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1,737</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in real estate held for investment on the condensed consolidated balance sheets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in property and equipment on the condensed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Held for Investment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loans held for investment consist of first and second mortgages. The mortgage loans bear interest at rates ranging from 2.0% to 10.5%, maturity dates range from nine months to 30 years and the loans are secured by real estate.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or are employed. As of March 31, 2023, the Company had 60%, 10%, 6%, 5%, 5%, 3% and 3% of its mortgage loans from borrowers located in the states of Utah, Florida, California, Texas, Arizona, Hawaii, and Nevada, respectively. As of December 31, 2022, the Company had 64%, 10%, 5%, 5%, 3% and 3% of its mortgage loans from borrowers located in the states of Utah, Florida, California, Texas, Nevada, and Arizona, respectively.</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in excess of 80% of the fair market value of the respective loan collateral, additional collateral or mortgage insurance by an approved third-party insurer is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Allowance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regarding the adoption of ASU 2016-13.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Once a mortgage loan is past due 90 days, it is the policy of the Company to end the accrual of interest income on the loan and write off any interest income that had been accrued. Given this policy of timely writing off uncollectible accrued interest, the Company does not measure a credit loss allowance on accrued interest receivable as it writes off any uncollectible accrued interest receivable balances to net investment income in a timely manner. Accrued interest receivable is included in accrued investment income on the condensed consolidated balance sheets. Payments received for mortgage loans on a non-accrual status are recognized on a cash basis. Interest income recognized from any payments received for mortgage loans on a non-accrual status was immaterial. Accrual of interest resumes if a mortgage loan is brought current. Interest not accrued on these loans totaled approximately $110,000 and $226,000 as of March 31, 2023, and December 31, 2022, respectively.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determining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are evaluated for credit loss by analyzing loan attributes that are predictors for future credit losses. The Company uses a combination of the debt service coverage ratio (“DSCR”) and loan to value (“LTV”) to group similar commercial loans. The Company applies a future loss factor to the outstanding balance of each group to arrive at the allowance for credit loss.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These loans are secured by first and second mortgages on single family dwellings. The borrower’s ability to repay is sensitive to the life events and the general economic condition of the region. Where loan to value exceeds 80%, the loan is generally guaranteed by private mortgage insurance, the FHA, or VA.</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uses a third-party to provide a monthly analysis of its residential portfolio for credit losses. The third-party uses the Company’s current loan data and runs it through various models to project cash flows and provide a projected life of loan loss. The models consider loan features such as loan type, loan to value, payment status, age, and current property values. The Company also considers historical delinquency rates and current unemployment trends.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construction (including land acquisition and development)</w:t>
      </w:r>
      <w:r>
        <w:rPr>
          <w:rFonts w:ascii="Arial" w:cs="Arial" w:eastAsia="Arial" w:hAnsi="Arial"/>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considered to be of a higher risk than other mortgage loans due to their ultimate repayment being sensitive to general economic conditions, availability of long-term or construction financing, and interest rate sensitivity.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determine the allowance for credit losses on residential construction mortgage loans, the Company considers historical activity and housing market trends. Given the continued volatility in the housing market, the Company has adjusted its credit loss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the allowance for credit losses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Residential</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5"/>
              </w:rPr>
              <w:t>Commercial</w:t>
            </w:r>
          </w:p>
        </w:tc>
        <w:tc>
          <w:tcPr>
            <w:tcW w:w="240" w:type="dxa"/>
            <w:vAlign w:val="bottom"/>
          </w:tcPr>
          <w:p>
            <w:pPr>
              <w:spacing w:after="0"/>
              <w:rPr>
                <w:sz w:val="20"/>
                <w:szCs w:val="20"/>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Residential</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Construction</w:t>
            </w: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r>
      <w:tr>
        <w:trPr>
          <w:trHeight w:val="189"/>
        </w:trPr>
        <w:tc>
          <w:tcPr>
            <w:tcW w:w="12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2"/>
              </w:rPr>
              <w:t>March 31, 2023</w:t>
            </w:r>
          </w:p>
        </w:tc>
        <w:tc>
          <w:tcPr>
            <w:tcW w:w="282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balance - January 1, 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1,739,980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1,970,311</w:t>
            </w:r>
          </w:p>
        </w:tc>
        <w:tc>
          <w:tcPr>
            <w:tcW w:w="220" w:type="dxa"/>
            <w:vAlign w:val="bottom"/>
            <w:shd w:val="clear" w:color="auto" w:fill="CCEEFF"/>
          </w:tcPr>
          <w:p>
            <w:pPr>
              <w:spacing w:after="0"/>
              <w:rPr>
                <w:sz w:val="18"/>
                <w:szCs w:val="18"/>
                <w:color w:val="auto"/>
              </w:rPr>
            </w:pPr>
          </w:p>
        </w:tc>
      </w:tr>
      <w:tr>
        <w:trPr>
          <w:trHeight w:val="202"/>
        </w:trPr>
        <w:tc>
          <w:tcPr>
            <w:tcW w:w="402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Cumulative effect adjustment upon adoption of</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020" w:type="dxa"/>
            <w:vAlign w:val="bottom"/>
            <w:gridSpan w:val="3"/>
          </w:tcPr>
          <w:p>
            <w:pPr>
              <w:ind w:left="180"/>
              <w:spacing w:after="0"/>
              <w:rPr>
                <w:sz w:val="20"/>
                <w:szCs w:val="20"/>
                <w:color w:val="auto"/>
              </w:rPr>
            </w:pPr>
            <w:r>
              <w:rPr>
                <w:rFonts w:ascii="Arial" w:cs="Arial" w:eastAsia="Arial" w:hAnsi="Arial"/>
                <w:sz w:val="18"/>
                <w:szCs w:val="18"/>
                <w:color w:val="auto"/>
              </w:rPr>
              <w:t>new accounting standard (ASU 2016-13)</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555,807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(192,607)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301,830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665,030(1)</w:t>
            </w:r>
          </w:p>
        </w:tc>
      </w:tr>
      <w:tr>
        <w:trPr>
          <w:trHeight w:val="216"/>
        </w:trPr>
        <w:tc>
          <w:tcPr>
            <w:tcW w:w="4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Change in provision for credit losses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(52,844)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100,078(2)</w:t>
            </w:r>
          </w:p>
        </w:tc>
      </w:tr>
      <w:tr>
        <w:trPr>
          <w:trHeight w:val="216"/>
        </w:trPr>
        <w:tc>
          <w:tcPr>
            <w:tcW w:w="4020" w:type="dxa"/>
            <w:vAlign w:val="bottom"/>
            <w:gridSpan w:val="3"/>
          </w:tcPr>
          <w:p>
            <w:pPr>
              <w:ind w:left="180"/>
              <w:spacing w:after="0"/>
              <w:rPr>
                <w:sz w:val="20"/>
                <w:szCs w:val="20"/>
                <w:color w:val="auto"/>
              </w:rPr>
            </w:pPr>
            <w:r>
              <w:rPr>
                <w:rFonts w:ascii="Arial" w:cs="Arial" w:eastAsia="Arial" w:hAnsi="Arial"/>
                <w:sz w:val="18"/>
                <w:szCs w:val="18"/>
                <w:color w:val="auto"/>
              </w:rPr>
              <w:t>Charge-offs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50"/>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 - March 31, 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1,685,100</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292,188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2,735,419</w:t>
            </w:r>
          </w:p>
        </w:tc>
        <w:tc>
          <w:tcPr>
            <w:tcW w:w="220" w:type="dxa"/>
            <w:vAlign w:val="bottom"/>
            <w:shd w:val="clear" w:color="auto" w:fill="CCEEFF"/>
          </w:tcPr>
          <w:p>
            <w:pPr>
              <w:spacing w:after="0"/>
              <w:rPr>
                <w:sz w:val="21"/>
                <w:szCs w:val="21"/>
                <w:color w:val="auto"/>
              </w:rPr>
            </w:pPr>
          </w:p>
        </w:tc>
      </w:tr>
      <w:tr>
        <w:trPr>
          <w:trHeight w:val="197"/>
        </w:trPr>
        <w:tc>
          <w:tcPr>
            <w:tcW w:w="12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196"/>
        </w:trPr>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December 31, 2022</w:t>
            </w:r>
          </w:p>
        </w:tc>
        <w:tc>
          <w:tcPr>
            <w:tcW w:w="2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balance - January 1,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1,469,571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1,699,902</w:t>
            </w:r>
          </w:p>
        </w:tc>
        <w:tc>
          <w:tcPr>
            <w:tcW w:w="220" w:type="dxa"/>
            <w:vAlign w:val="bottom"/>
            <w:shd w:val="clear" w:color="auto" w:fill="CCEEFF"/>
          </w:tcPr>
          <w:p>
            <w:pPr>
              <w:spacing w:after="0"/>
              <w:rPr>
                <w:sz w:val="18"/>
                <w:szCs w:val="18"/>
                <w:color w:val="auto"/>
              </w:rPr>
            </w:pPr>
          </w:p>
        </w:tc>
      </w:tr>
      <w:tr>
        <w:trPr>
          <w:trHeight w:val="216"/>
        </w:trPr>
        <w:tc>
          <w:tcPr>
            <w:tcW w:w="4020" w:type="dxa"/>
            <w:vAlign w:val="bottom"/>
            <w:gridSpan w:val="3"/>
          </w:tcPr>
          <w:p>
            <w:pPr>
              <w:ind w:left="180"/>
              <w:spacing w:after="0"/>
              <w:rPr>
                <w:sz w:val="20"/>
                <w:szCs w:val="20"/>
                <w:color w:val="auto"/>
              </w:rPr>
            </w:pPr>
            <w:r>
              <w:rPr>
                <w:rFonts w:ascii="Arial" w:cs="Arial" w:eastAsia="Arial" w:hAnsi="Arial"/>
                <w:sz w:val="18"/>
                <w:szCs w:val="18"/>
                <w:color w:val="auto"/>
              </w:rPr>
              <w:t>Change in provision for credit losses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270,409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270,409(2)</w:t>
            </w:r>
          </w:p>
        </w:tc>
      </w:tr>
      <w:tr>
        <w:trPr>
          <w:trHeight w:val="216"/>
        </w:trPr>
        <w:tc>
          <w:tcPr>
            <w:tcW w:w="40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9"/>
        </w:trPr>
        <w:tc>
          <w:tcPr>
            <w:tcW w:w="4020" w:type="dxa"/>
            <w:vAlign w:val="bottom"/>
            <w:gridSpan w:val="3"/>
          </w:tcPr>
          <w:p>
            <w:pPr>
              <w:spacing w:after="0"/>
              <w:rPr>
                <w:sz w:val="20"/>
                <w:szCs w:val="20"/>
                <w:color w:val="auto"/>
              </w:rPr>
            </w:pPr>
            <w:r>
              <w:rPr>
                <w:rFonts w:ascii="Arial" w:cs="Arial" w:eastAsia="Arial" w:hAnsi="Arial"/>
                <w:sz w:val="18"/>
                <w:szCs w:val="18"/>
                <w:color w:val="auto"/>
              </w:rPr>
              <w:t>Ending balance - December 31, 2022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187,129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1,739,980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43,202</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1,970,311</w:t>
            </w:r>
          </w:p>
        </w:tc>
        <w:tc>
          <w:tcPr>
            <w:tcW w:w="2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2 of the notes to the condensed consolidated financial statements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other expenses on the condensed consolidated statements of earnings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center"/>
        <w:ind w:left="2580" w:right="46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aging of mortgage loans held for investment by loan type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8"/>
              </w:rPr>
              <w:t>Residential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Commercial</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Residential</w:t>
            </w:r>
          </w:p>
        </w:tc>
        <w:tc>
          <w:tcPr>
            <w:tcW w:w="980" w:type="dxa"/>
            <w:vAlign w:val="bottom"/>
          </w:tcPr>
          <w:p>
            <w:pPr>
              <w:jc w:val="right"/>
              <w:spacing w:after="0"/>
              <w:rPr>
                <w:sz w:val="20"/>
                <w:szCs w:val="20"/>
                <w:color w:val="auto"/>
              </w:rPr>
            </w:pPr>
            <w:r>
              <w:rPr>
                <w:rFonts w:ascii="Arial" w:cs="Arial" w:eastAsia="Arial" w:hAnsi="Arial"/>
                <w:sz w:val="18"/>
                <w:szCs w:val="18"/>
                <w:color w:val="auto"/>
                <w:w w:val="92"/>
              </w:rPr>
              <w:t>Construction</w:t>
            </w:r>
          </w:p>
        </w:tc>
        <w:tc>
          <w:tcPr>
            <w:tcW w:w="28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Total</w:t>
            </w:r>
          </w:p>
        </w:tc>
      </w:tr>
      <w:tr>
        <w:trPr>
          <w:trHeight w:val="189"/>
        </w:trPr>
        <w:tc>
          <w:tcPr>
            <w:tcW w:w="12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2"/>
              </w:rPr>
              <w:t>March 31, 2023</w:t>
            </w:r>
          </w:p>
        </w:tc>
        <w:tc>
          <w:tcPr>
            <w:tcW w:w="2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30-59 days past due</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  3,221,608</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  5,807,400</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  1,205,232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$ 10,234,240</w:t>
            </w: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60-89 days past due</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Over 90 days past due (1)</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405,000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2,224,933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2,629,933</w:t>
            </w: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 process of foreclosure (1)</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713,552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713,552</w:t>
            </w:r>
          </w:p>
        </w:tc>
        <w:tc>
          <w:tcPr>
            <w:tcW w:w="100" w:type="dxa"/>
            <w:vAlign w:val="bottom"/>
            <w:shd w:val="clear" w:color="auto" w:fill="CCEEFF"/>
          </w:tcPr>
          <w:p>
            <w:pPr>
              <w:spacing w:after="0"/>
              <w:rPr>
                <w:sz w:val="18"/>
                <w:szCs w:val="18"/>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Total past due</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3,626,608</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8,745,885</w:t>
            </w:r>
          </w:p>
        </w:tc>
        <w:tc>
          <w:tcPr>
            <w:tcW w:w="980" w:type="dxa"/>
            <w:vAlign w:val="bottom"/>
          </w:tcPr>
          <w:p>
            <w:pPr>
              <w:jc w:val="right"/>
              <w:spacing w:after="0"/>
              <w:rPr>
                <w:sz w:val="20"/>
                <w:szCs w:val="20"/>
                <w:color w:val="auto"/>
              </w:rPr>
            </w:pPr>
            <w:r>
              <w:rPr>
                <w:rFonts w:ascii="Arial" w:cs="Arial" w:eastAsia="Arial" w:hAnsi="Arial"/>
                <w:sz w:val="18"/>
                <w:szCs w:val="18"/>
                <w:color w:val="auto"/>
              </w:rPr>
              <w:t>1,205,232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13,577,725</w:t>
            </w:r>
          </w:p>
        </w:tc>
        <w:tc>
          <w:tcPr>
            <w:tcW w:w="1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47,180,844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85,725,328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144,888,715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277,794,887</w:t>
            </w:r>
          </w:p>
        </w:tc>
        <w:tc>
          <w:tcPr>
            <w:tcW w:w="100" w:type="dxa"/>
            <w:vAlign w:val="bottom"/>
            <w:shd w:val="clear" w:color="auto" w:fill="CCEEFF"/>
          </w:tcPr>
          <w:p>
            <w:pPr>
              <w:spacing w:after="0"/>
              <w:rPr>
                <w:sz w:val="18"/>
                <w:szCs w:val="18"/>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Total mortgage loans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50,807,452</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94,471,213</w:t>
            </w:r>
          </w:p>
        </w:tc>
        <w:tc>
          <w:tcPr>
            <w:tcW w:w="980" w:type="dxa"/>
            <w:vAlign w:val="bottom"/>
          </w:tcPr>
          <w:p>
            <w:pPr>
              <w:jc w:val="right"/>
              <w:spacing w:after="0"/>
              <w:rPr>
                <w:sz w:val="20"/>
                <w:szCs w:val="20"/>
                <w:color w:val="auto"/>
              </w:rPr>
            </w:pPr>
            <w:r>
              <w:rPr>
                <w:rFonts w:ascii="Arial" w:cs="Arial" w:eastAsia="Arial" w:hAnsi="Arial"/>
                <w:sz w:val="18"/>
                <w:szCs w:val="18"/>
                <w:u w:val="single" w:color="auto"/>
                <w:color w:val="auto"/>
                <w:w w:val="95"/>
              </w:rPr>
              <w:t>146,093,947</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291,372,612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70928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9285" cy="146050"/>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p>
      <w:pPr>
        <w:ind w:left="180"/>
        <w:spacing w:after="0"/>
        <w:rPr>
          <w:sz w:val="20"/>
          <w:szCs w:val="20"/>
          <w:color w:val="auto"/>
        </w:rPr>
      </w:pPr>
      <w:r>
        <w:rPr>
          <w:rFonts w:ascii="Arial" w:cs="Arial" w:eastAsia="Arial" w:hAnsi="Arial"/>
          <w:sz w:val="18"/>
          <w:szCs w:val="18"/>
          <w:color w:val="auto"/>
        </w:rPr>
        <w:t>Allowance for credit losses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Unamortized deferred loan fees,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Unamortized discounts, net</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mortgage loans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2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(758,131)</w:t>
            </w:r>
          </w:p>
        </w:tc>
        <w:tc>
          <w:tcPr>
            <w:tcW w:w="12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(1,685,100)</w:t>
            </w:r>
          </w:p>
        </w:tc>
        <w:tc>
          <w:tcPr>
            <w:tcW w:w="11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(292,188)</w:t>
            </w:r>
          </w:p>
        </w:tc>
        <w:tc>
          <w:tcPr>
            <w:tcW w:w="11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(2,735,419)</w:t>
            </w:r>
          </w:p>
        </w:tc>
      </w:tr>
      <w:tr>
        <w:trPr>
          <w:trHeight w:val="216"/>
        </w:trPr>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(224,118)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(1,258,174)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(270,077)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(1,752,369)</w:t>
            </w:r>
          </w:p>
        </w:tc>
      </w:tr>
      <w:tr>
        <w:trPr>
          <w:trHeight w:val="230"/>
        </w:trPr>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(227,417)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(110,768)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(338,185)</w:t>
            </w:r>
          </w:p>
        </w:tc>
      </w:tr>
      <w:tr>
        <w:trPr>
          <w:trHeight w:val="209"/>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$ 49,597,786</w:t>
            </w:r>
          </w:p>
        </w:tc>
        <w:tc>
          <w:tcPr>
            <w:tcW w:w="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$ 91,417,171</w:t>
            </w:r>
          </w:p>
        </w:tc>
        <w:tc>
          <w:tcPr>
            <w:tcW w:w="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145,531,682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286,546,639</w:t>
            </w:r>
          </w:p>
        </w:tc>
        <w:tc>
          <w:tcPr>
            <w:tcW w:w="60" w:type="dxa"/>
            <w:vAlign w:val="bottom"/>
          </w:tcPr>
          <w:p>
            <w:pPr>
              <w:spacing w:after="0"/>
              <w:rPr>
                <w:sz w:val="18"/>
                <w:szCs w:val="18"/>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-307975</wp:posOffset>
            </wp:positionV>
            <wp:extent cx="570928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9285"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20" w:space="720"/>
            <w:col w:w="5999"/>
          </w:cols>
          <w:pgMar w:left="320" w:top="692" w:right="1440"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46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41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30-59 days past due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3,553,390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4,553,390</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60-89 days past due</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814,184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814,184</w:t>
            </w: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Over 90 days past due (1)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1,286,211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1,286,211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In process of foreclosure (1)</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405,000</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876,174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1,281,174</w:t>
            </w:r>
          </w:p>
        </w:tc>
        <w:tc>
          <w:tcPr>
            <w:tcW w:w="10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past due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1,405,000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6,529,959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7,934,959</w:t>
            </w:r>
          </w:p>
        </w:tc>
        <w:tc>
          <w:tcPr>
            <w:tcW w:w="100" w:type="dxa"/>
            <w:vAlign w:val="bottom"/>
            <w:shd w:val="clear" w:color="auto" w:fill="CCEEFF"/>
          </w:tcPr>
          <w:p>
            <w:pPr>
              <w:spacing w:after="0"/>
              <w:rPr>
                <w:sz w:val="18"/>
                <w:szCs w:val="18"/>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44,906,955</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86,825,664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172,516,125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304,248,744</w:t>
            </w:r>
          </w:p>
        </w:tc>
        <w:tc>
          <w:tcPr>
            <w:tcW w:w="10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mortgage loans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46,311,955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93,355,623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172,516,125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312,183,703</w:t>
            </w:r>
          </w:p>
        </w:tc>
        <w:tc>
          <w:tcPr>
            <w:tcW w:w="100" w:type="dxa"/>
            <w:vAlign w:val="bottom"/>
            <w:shd w:val="clear" w:color="auto" w:fill="CCEEFF"/>
          </w:tcPr>
          <w:p>
            <w:pPr>
              <w:spacing w:after="0"/>
              <w:rPr>
                <w:sz w:val="18"/>
                <w:szCs w:val="18"/>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Allowance for credit losses</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(187,129)</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(1,739,980)</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(43,202)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(1,970,311)</w:t>
            </w:r>
          </w:p>
        </w:tc>
      </w:tr>
      <w:tr>
        <w:trPr>
          <w:trHeight w:val="21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Unamortized deferred loan fees,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(199,765)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(1,212,994)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(1,746,605)</w:t>
            </w:r>
          </w:p>
        </w:tc>
      </w:tr>
      <w:tr>
        <w:trPr>
          <w:trHeight w:val="216"/>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Unamortized discounts, net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(230,987)</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(111,873)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(342,860)</w:t>
            </w:r>
          </w:p>
        </w:tc>
      </w:tr>
      <w:tr>
        <w:trPr>
          <w:trHeight w:val="20"/>
        </w:trPr>
        <w:tc>
          <w:tcPr>
            <w:tcW w:w="1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mortgage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45,694,074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90,290,776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172,139,077</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308,123,927</w:t>
            </w:r>
          </w:p>
        </w:tc>
        <w:tc>
          <w:tcPr>
            <w:tcW w:w="100" w:type="dxa"/>
            <w:vAlign w:val="bottom"/>
            <w:shd w:val="clear" w:color="auto" w:fill="CCEEFF"/>
          </w:tcPr>
          <w:p>
            <w:pPr>
              <w:spacing w:after="0"/>
              <w:rPr>
                <w:sz w:val="19"/>
                <w:szCs w:val="19"/>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5540" w:right="3359" w:hanging="5532"/>
        <w:spacing w:after="0" w:line="527" w:lineRule="auto"/>
        <w:tabs>
          <w:tab w:leader="none" w:pos="3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income is not recognized on loans past due greater than 90 days or in foreclosure.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type w:val="continuous"/>
        </w:sectPr>
      </w:pPr>
    </w:p>
    <w:bookmarkStart w:id="25" w:name="page26"/>
    <w:bookmarkEnd w:id="25"/>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right="9260" w:firstLine="8"/>
        <w:spacing w:after="0" w:line="563" w:lineRule="auto"/>
        <w:tabs>
          <w:tab w:leader="none" w:pos="1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(Continued) </w:t>
      </w:r>
      <w:r>
        <w:rPr>
          <w:rFonts w:ascii="Arial" w:cs="Arial" w:eastAsia="Arial" w:hAnsi="Arial"/>
          <w:sz w:val="16"/>
          <w:szCs w:val="16"/>
          <w:u w:val="single" w:color="auto"/>
          <w:color w:val="auto"/>
        </w:rPr>
        <w:t>Credit Quality Indicators</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evaluates and monitors the credit quality of its commercial loans by analyzing loan to value (“LTV”) and debt service coverage ratios (“DSCR”). Monitoring a commercial mortgage loan increases when the loan is delinquent or earlier if there is an indication of impairment.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unpaid principal balance of commercial mortgage loans by credit quality indicator and vintage year was as follows as of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 of</w:t>
            </w:r>
          </w:p>
        </w:tc>
      </w:tr>
      <w:tr>
        <w:trPr>
          <w:trHeight w:val="230"/>
        </w:trPr>
        <w:tc>
          <w:tcPr>
            <w:tcW w:w="1820" w:type="dxa"/>
            <w:vAlign w:val="bottom"/>
            <w:gridSpan w:val="3"/>
          </w:tcPr>
          <w:p>
            <w:pPr>
              <w:ind w:left="40"/>
              <w:spacing w:after="0"/>
              <w:rPr>
                <w:sz w:val="20"/>
                <w:szCs w:val="20"/>
                <w:color w:val="auto"/>
              </w:rPr>
            </w:pPr>
            <w:r>
              <w:rPr>
                <w:rFonts w:ascii="Arial" w:cs="Arial" w:eastAsia="Arial" w:hAnsi="Arial"/>
                <w:sz w:val="18"/>
                <w:szCs w:val="18"/>
                <w:color w:val="auto"/>
                <w:w w:val="96"/>
              </w:rPr>
              <w:t>Credit Quality Indicator</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Prior</w:t>
            </w:r>
          </w:p>
        </w:tc>
        <w:tc>
          <w:tcPr>
            <w:tcW w:w="2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r>
      <w:tr>
        <w:trPr>
          <w:trHeight w:val="169"/>
        </w:trPr>
        <w:tc>
          <w:tcPr>
            <w:tcW w:w="1820" w:type="dxa"/>
            <w:vAlign w:val="bottom"/>
            <w:tcBorders>
              <w:top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LTV:</w:t>
            </w:r>
          </w:p>
        </w:tc>
        <w:tc>
          <w:tcPr>
            <w:tcW w:w="12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
        </w:trPr>
        <w:tc>
          <w:tcPr>
            <w:tcW w:w="4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Less than 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$8,525,000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14,383,954</w:t>
            </w:r>
          </w:p>
        </w:tc>
        <w:tc>
          <w:tcPr>
            <w:tcW w:w="2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$3,842,851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$3,025,549</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$7,009,216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$36,786,570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72.40%</w:t>
            </w:r>
          </w:p>
        </w:tc>
      </w:tr>
      <w:tr>
        <w:trPr>
          <w:trHeight w:val="216"/>
        </w:trPr>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65% to 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6,073,044</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4,913,313</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13,086,357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25.76%</w:t>
            </w: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Greater than 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529,525</w:t>
            </w:r>
          </w:p>
        </w:tc>
        <w:tc>
          <w:tcPr>
            <w:tcW w:w="2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405,000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934,525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1.84%</w:t>
            </w:r>
          </w:p>
        </w:tc>
      </w:tr>
      <w:tr>
        <w:trPr>
          <w:trHeight w:val="209"/>
        </w:trPr>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8,525,000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20,986,523</w:t>
            </w:r>
          </w:p>
        </w:tc>
        <w:tc>
          <w:tcPr>
            <w:tcW w:w="2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6,347,851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4,913,313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3,025,549</w:t>
            </w: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7,009,216</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50,807,452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7"/>
        </w:trPr>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76"/>
        </w:trPr>
        <w:tc>
          <w:tcPr>
            <w:tcW w:w="18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DSCR</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&gt;1.20x</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$2,800,000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4,913,313</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$3,025,549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$1,507,378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$18,971,240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37.34%</w:t>
            </w: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1.00x - 1.20x</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11,425,114</w:t>
            </w:r>
          </w:p>
        </w:tc>
        <w:tc>
          <w:tcPr>
            <w:tcW w:w="2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3,547,851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5,501,838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23,274,803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45.81%</w:t>
            </w:r>
          </w:p>
        </w:tc>
      </w:tr>
      <w:tr>
        <w:trPr>
          <w:trHeight w:val="216"/>
        </w:trPr>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&lt;1.00x</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8,561,409(1)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8,561,409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10"/>
        </w:trPr>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8,525,000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20,986,523</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6,347,851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4,913,313</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3,025,549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7,009,216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50,807,452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Commercial construction loan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and monitors the credit quality of its residential mortgage loans by analyzing loan performance. The Company defines non-performing mortgage loans as loans 90 days or greater delinquent and on a non-accrual status. Monitoring a residential mortgage loan increases when the loan is delinquent or earlier if there is an indication of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unpaid principal balance of residential mortgage loans by credit quality indicator and vintage year was as follows as of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 of</w:t>
            </w:r>
          </w:p>
        </w:tc>
      </w:tr>
      <w:tr>
        <w:trPr>
          <w:trHeight w:val="230"/>
        </w:trPr>
        <w:tc>
          <w:tcPr>
            <w:tcW w:w="2460" w:type="dxa"/>
            <w:vAlign w:val="bottom"/>
            <w:gridSpan w:val="2"/>
          </w:tcPr>
          <w:p>
            <w:pPr>
              <w:ind w:left="360"/>
              <w:spacing w:after="0"/>
              <w:rPr>
                <w:sz w:val="20"/>
                <w:szCs w:val="20"/>
                <w:color w:val="auto"/>
              </w:rPr>
            </w:pPr>
            <w:r>
              <w:rPr>
                <w:rFonts w:ascii="Arial" w:cs="Arial" w:eastAsia="Arial" w:hAnsi="Arial"/>
                <w:sz w:val="18"/>
                <w:szCs w:val="18"/>
                <w:color w:val="auto"/>
              </w:rPr>
              <w:t>Credit Quality Indicator</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2023</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Prior</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r>
      <w:tr>
        <w:trPr>
          <w:trHeight w:val="190"/>
        </w:trPr>
        <w:tc>
          <w:tcPr>
            <w:tcW w:w="24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Performance Indicators:</w:t>
            </w: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Performing</w:t>
            </w: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$5,386,918</w:t>
            </w:r>
          </w:p>
        </w:tc>
        <w:tc>
          <w:tcPr>
            <w:tcW w:w="1400" w:type="dxa"/>
            <w:vAlign w:val="bottom"/>
            <w:tcBorders>
              <w:top w:val="single" w:sz="8" w:color="CCEEFF"/>
            </w:tcBorders>
            <w:gridSpan w:val="3"/>
          </w:tcPr>
          <w:p>
            <w:pPr>
              <w:jc w:val="right"/>
              <w:ind w:right="240"/>
              <w:spacing w:after="0"/>
              <w:rPr>
                <w:sz w:val="20"/>
                <w:szCs w:val="20"/>
                <w:color w:val="auto"/>
              </w:rPr>
            </w:pPr>
            <w:r>
              <w:rPr>
                <w:rFonts w:ascii="Arial" w:cs="Arial" w:eastAsia="Arial" w:hAnsi="Arial"/>
                <w:sz w:val="18"/>
                <w:szCs w:val="18"/>
                <w:color w:val="auto"/>
              </w:rPr>
              <w:t>$53,760,980</w:t>
            </w:r>
          </w:p>
        </w:tc>
        <w:tc>
          <w:tcPr>
            <w:tcW w:w="10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w w:val="90"/>
              </w:rPr>
              <w:t>$6,923,101</w:t>
            </w:r>
          </w:p>
        </w:tc>
        <w:tc>
          <w:tcPr>
            <w:tcW w:w="10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w w:val="90"/>
              </w:rPr>
              <w:t>$8,466,520</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$3,264,494</w:t>
            </w:r>
          </w:p>
        </w:tc>
        <w:tc>
          <w:tcPr>
            <w:tcW w:w="142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$13,730,714</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$91,532,727</w:t>
            </w: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96.89%</w:t>
            </w: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1,104,327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366,646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353,092</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1,114,421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2,938,486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10"/>
        </w:trPr>
        <w:tc>
          <w:tcPr>
            <w:tcW w:w="19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5,386,918</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54,865,307</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7,289,747</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8,466,520</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3,617,586</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14,845,135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94,471,213</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5540" w:right="4000" w:hanging="5532"/>
        <w:spacing w:after="0" w:line="527" w:lineRule="auto"/>
        <w:tabs>
          <w:tab w:leader="none" w:pos="3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residential mortgage loans in the process of foreclosure of $713,552 at March 31, 2023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unpaid principal balance of residential construction mortgage loans by credit quality indicator and vintage year was as follows as of March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3120" w:type="dxa"/>
            <w:vAlign w:val="bottom"/>
            <w:gridSpan w:val="2"/>
          </w:tcPr>
          <w:p>
            <w:pPr>
              <w:ind w:left="500"/>
              <w:spacing w:after="0"/>
              <w:rPr>
                <w:sz w:val="20"/>
                <w:szCs w:val="20"/>
                <w:color w:val="auto"/>
              </w:rPr>
            </w:pPr>
            <w:r>
              <w:rPr>
                <w:rFonts w:ascii="Arial" w:cs="Arial" w:eastAsia="Arial" w:hAnsi="Arial"/>
                <w:sz w:val="18"/>
                <w:szCs w:val="18"/>
                <w:color w:val="auto"/>
              </w:rPr>
              <w:t>Credit Quality Indicator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 of Total</w:t>
            </w:r>
          </w:p>
        </w:tc>
      </w:tr>
      <w:tr>
        <w:trPr>
          <w:trHeight w:val="190"/>
        </w:trPr>
        <w:tc>
          <w:tcPr>
            <w:tcW w:w="3520" w:type="dxa"/>
            <w:vAlign w:val="bottom"/>
            <w:tcBorders>
              <w:top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Performance Indicators:</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Performing</w:t>
            </w: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3"/>
              </w:rPr>
              <w:t>12,541,324</w:t>
            </w:r>
          </w:p>
        </w:tc>
        <w:tc>
          <w:tcPr>
            <w:tcW w:w="4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3"/>
              </w:rPr>
              <w:t>87,110,137</w:t>
            </w:r>
          </w:p>
        </w:tc>
        <w:tc>
          <w:tcPr>
            <w:tcW w:w="4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3"/>
              </w:rPr>
              <w:t>46,442,486</w:t>
            </w: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146,093,947</w:t>
            </w:r>
          </w:p>
        </w:tc>
        <w:tc>
          <w:tcPr>
            <w:tcW w:w="14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Non-performing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0"/>
        </w:trPr>
        <w:tc>
          <w:tcPr>
            <w:tcW w:w="4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12,541,324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87,110,137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46,442,486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146,093,947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197"/>
        </w:trPr>
        <w:tc>
          <w:tcPr>
            <w:tcW w:w="40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175"/>
        </w:trPr>
        <w:tc>
          <w:tcPr>
            <w:tcW w:w="3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LTV:</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
        </w:trPr>
        <w:tc>
          <w:tcPr>
            <w:tcW w:w="40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Less than 65%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9,072,543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51,392,028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8,626,153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69,090,724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47.29%</w:t>
            </w:r>
          </w:p>
        </w:tc>
      </w:tr>
      <w:tr>
        <w:trPr>
          <w:trHeight w:val="21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65% to 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3,468,781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33,790,358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21,588,236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58,847,375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Greater than 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1,927,751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16,228,097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18,155,848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12.43%</w:t>
            </w:r>
          </w:p>
        </w:tc>
      </w:tr>
      <w:tr>
        <w:trPr>
          <w:trHeight w:val="210"/>
        </w:trPr>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12,541,324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87,110,137</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46,442,486</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146,093,947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Assignments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aging of insurance assignments, included in other investments and policy loans on the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As of</w:t>
            </w:r>
          </w:p>
        </w:tc>
      </w:tr>
      <w:tr>
        <w:trPr>
          <w:trHeight w:val="216"/>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2022</w:t>
            </w:r>
          </w:p>
        </w:tc>
        <w:tc>
          <w:tcPr>
            <w:tcW w:w="60" w:type="dxa"/>
            <w:vAlign w:val="bottom"/>
          </w:tcPr>
          <w:p>
            <w:pPr>
              <w:spacing w:after="0"/>
              <w:rPr>
                <w:sz w:val="20"/>
                <w:szCs w:val="20"/>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30-59 days past due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9,554,122</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10,621,443</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60-89 days past due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4,043,444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3,997,484</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Over 90 days past due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5,791,483</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5,813,013</w:t>
            </w:r>
          </w:p>
        </w:tc>
        <w:tc>
          <w:tcPr>
            <w:tcW w:w="60" w:type="dxa"/>
            <w:vAlign w:val="bottom"/>
            <w:shd w:val="clear" w:color="auto" w:fill="CCEEFF"/>
          </w:tcPr>
          <w:p>
            <w:pPr>
              <w:spacing w:after="0"/>
              <w:rPr>
                <w:sz w:val="18"/>
                <w:szCs w:val="18"/>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 past due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19,389,049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20,431,941</w:t>
            </w:r>
          </w:p>
        </w:tc>
        <w:tc>
          <w:tcPr>
            <w:tcW w:w="6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26,184,781</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26,510,594</w:t>
            </w:r>
          </w:p>
        </w:tc>
        <w:tc>
          <w:tcPr>
            <w:tcW w:w="60" w:type="dxa"/>
            <w:vAlign w:val="bottom"/>
            <w:shd w:val="clear" w:color="auto" w:fill="CCEEFF"/>
          </w:tcPr>
          <w:p>
            <w:pPr>
              <w:spacing w:after="0"/>
              <w:rPr>
                <w:sz w:val="18"/>
                <w:szCs w:val="18"/>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Total insurance assignments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45,573,831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46,942,536</w:t>
            </w:r>
          </w:p>
        </w:tc>
        <w:tc>
          <w:tcPr>
            <w:tcW w:w="6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(1,685,901)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(1,609,951)</w:t>
            </w:r>
          </w:p>
        </w:tc>
      </w:tr>
      <w:tr>
        <w:trPr>
          <w:trHeight w:val="20"/>
        </w:trPr>
        <w:tc>
          <w:tcPr>
            <w:tcW w:w="4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Net insurance assignments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43,887,930</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45,332,585</w:t>
            </w:r>
          </w:p>
        </w:tc>
        <w:tc>
          <w:tcPr>
            <w:tcW w:w="6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records an allowance for credit losses when the insurance assignment is funded. Once an insurance assignment moves to 90 days or legal proceedings, it is monitored for write-off and collectability, and any adjustments to the allowance are done at that time. See Note 2 regarding the adoption of ASU 2016-13.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the allowance for credit losses as a contra-asset account for insurance assignments.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 January 1, 2023</w:t>
            </w:r>
          </w:p>
        </w:tc>
        <w:tc>
          <w:tcPr>
            <w:tcW w:w="1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1,609,951</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Change in provision for credit losses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233,113</w:t>
            </w:r>
            <w:r>
              <w:rPr>
                <w:rFonts w:ascii="Arial" w:cs="Arial" w:eastAsia="Arial" w:hAnsi="Arial"/>
                <w:sz w:val="25"/>
                <w:szCs w:val="25"/>
                <w:color w:val="auto"/>
                <w:vertAlign w:val="subscript"/>
              </w:rPr>
              <w:t>(1)</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(157,163)</w:t>
            </w:r>
          </w:p>
        </w:tc>
      </w:tr>
      <w:tr>
        <w:trPr>
          <w:trHeight w:val="20"/>
        </w:trPr>
        <w:tc>
          <w:tcPr>
            <w:tcW w:w="45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Ending balance - March 31, 2023</w:t>
            </w:r>
          </w:p>
        </w:tc>
        <w:tc>
          <w:tcPr>
            <w:tcW w:w="16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1,685,901</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Beginning balance - January 1, 2022</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1,686,218</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provision for credit losses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889,480</w:t>
            </w:r>
            <w:r>
              <w:rPr>
                <w:rFonts w:ascii="Arial" w:cs="Arial" w:eastAsia="Arial" w:hAnsi="Arial"/>
                <w:sz w:val="25"/>
                <w:szCs w:val="25"/>
                <w:color w:val="auto"/>
                <w:vertAlign w:val="subscript"/>
              </w:rPr>
              <w:t>(1)</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(965,747)</w:t>
            </w:r>
          </w:p>
        </w:tc>
      </w:tr>
      <w:tr>
        <w:trPr>
          <w:trHeight w:val="20"/>
        </w:trPr>
        <w:tc>
          <w:tcPr>
            <w:tcW w:w="4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 December 31, 2022</w:t>
            </w: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1,609,951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Included in other expenses on the condensed consolidated statements of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Related Earnings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realized gains and losses from sales, calls, and maturities, and unrealized gains and losses on equity securities from investments and other assets.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right"/>
              <w:ind w:right="620"/>
              <w:spacing w:after="0"/>
              <w:rPr>
                <w:sz w:val="20"/>
                <w:szCs w:val="20"/>
                <w:color w:val="auto"/>
              </w:rPr>
            </w:pPr>
            <w:r>
              <w:rPr>
                <w:rFonts w:ascii="Arial" w:cs="Arial" w:eastAsia="Arial" w:hAnsi="Arial"/>
                <w:sz w:val="18"/>
                <w:szCs w:val="18"/>
                <w:color w:val="auto"/>
                <w:w w:val="99"/>
              </w:rPr>
              <w:t>Three Months Ended March 31</w:t>
            </w:r>
          </w:p>
        </w:tc>
      </w:tr>
      <w:tr>
        <w:trPr>
          <w:trHeight w:val="210"/>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15,491</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46,123</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Net credit loss (provision) release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(179,500)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securities sold</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(10,279)</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w w:val="91"/>
              </w:rPr>
              <w:t>Unrealized gains and (losses) on securities held at the end of the period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(607,047)</w:t>
            </w:r>
          </w:p>
        </w:tc>
      </w:t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Real estate held for investment and sale: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385,366</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(94,400)</w:t>
            </w:r>
          </w:p>
        </w:tc>
      </w:t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assets, including call and put option derivatives: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453,142</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111,154</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171,975</w:t>
            </w:r>
          </w:p>
        </w:tc>
        <w:tc>
          <w:tcPr>
            <w:tcW w:w="100" w:type="dxa"/>
            <w:vAlign w:val="bottom"/>
            <w:shd w:val="clear" w:color="auto" w:fill="CCEEFF"/>
          </w:tcPr>
          <w:p>
            <w:pPr>
              <w:spacing w:after="0"/>
              <w:rPr>
                <w:sz w:val="19"/>
                <w:szCs w:val="19"/>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realized gains and losses on the sale of securities are recorded on the trade date, and the cost of the securities sold is determined using the specific identification method.</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realized gains and losses includes gains and losses by the restricted assets and cemetery perpetual care trust investments of the cemeteries and mortuaries of $53,931 in net gains and $275,741 in net losses for the three month periods ended March 31, 2023, and 2022,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Arial" w:cs="Arial" w:eastAsia="Arial" w:hAnsi="Arial"/>
                <w:sz w:val="18"/>
                <w:szCs w:val="18"/>
                <w:color w:val="auto"/>
              </w:rPr>
              <w:t>3) Investments (Continued)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4580" w:type="dxa"/>
            <w:vAlign w:val="bottom"/>
            <w:gridSpan w:val="3"/>
          </w:tcPr>
          <w:p>
            <w:pPr>
              <w:spacing w:after="0"/>
              <w:rPr>
                <w:sz w:val="20"/>
                <w:szCs w:val="20"/>
                <w:color w:val="auto"/>
              </w:rPr>
            </w:pPr>
            <w:r>
              <w:rPr>
                <w:rFonts w:ascii="Arial" w:cs="Arial" w:eastAsia="Arial" w:hAnsi="Arial"/>
                <w:sz w:val="18"/>
                <w:szCs w:val="18"/>
                <w:color w:val="auto"/>
                <w:w w:val="96"/>
              </w:rPr>
              <w:t>Major categories of net investment income were as follows: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6"/>
          </w:tcPr>
          <w:p>
            <w:pPr>
              <w:jc w:val="right"/>
              <w:ind w:right="400"/>
              <w:spacing w:after="0"/>
              <w:rPr>
                <w:sz w:val="20"/>
                <w:szCs w:val="20"/>
                <w:color w:val="auto"/>
              </w:rPr>
            </w:pPr>
            <w:r>
              <w:rPr>
                <w:rFonts w:ascii="Arial" w:cs="Arial" w:eastAsia="Arial" w:hAnsi="Arial"/>
                <w:sz w:val="18"/>
                <w:szCs w:val="18"/>
                <w:color w:val="auto"/>
                <w:w w:val="95"/>
              </w:rPr>
              <w:t>Three Months Ended March 31</w:t>
            </w:r>
          </w:p>
        </w:tc>
      </w:tr>
      <w:tr>
        <w:trPr>
          <w:trHeight w:val="209"/>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r>
      <w:tr>
        <w:trPr>
          <w:trHeight w:val="209"/>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4,012,732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2,636,216</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140,507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123,037</w:t>
            </w:r>
          </w:p>
        </w:tc>
        <w:tc>
          <w:tcPr>
            <w:tcW w:w="60" w:type="dxa"/>
            <w:vAlign w:val="bottom"/>
          </w:tcPr>
          <w:p>
            <w:pPr>
              <w:spacing w:after="0"/>
              <w:rPr>
                <w:sz w:val="18"/>
                <w:szCs w:val="18"/>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8,487,656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7,960,178</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Real estate held for investment and sale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3,364,924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3,040,033</w:t>
            </w:r>
          </w:p>
        </w:tc>
        <w:tc>
          <w:tcPr>
            <w:tcW w:w="60" w:type="dxa"/>
            <w:vAlign w:val="bottom"/>
          </w:tcPr>
          <w:p>
            <w:pPr>
              <w:spacing w:after="0"/>
              <w:rPr>
                <w:sz w:val="18"/>
                <w:szCs w:val="18"/>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200,213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306,282</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Insurance assignments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4,768,203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5,396,987</w:t>
            </w:r>
          </w:p>
        </w:tc>
        <w:tc>
          <w:tcPr>
            <w:tcW w:w="60" w:type="dxa"/>
            <w:vAlign w:val="bottom"/>
          </w:tcPr>
          <w:p>
            <w:pPr>
              <w:spacing w:after="0"/>
              <w:rPr>
                <w:sz w:val="18"/>
                <w:szCs w:val="18"/>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70,645</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787,762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75,301</w:t>
            </w:r>
          </w:p>
        </w:tc>
        <w:tc>
          <w:tcPr>
            <w:tcW w:w="6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21,891,053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19,608,679</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Investment expenses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(4,116,170)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(4,414,373)</w:t>
            </w: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17,774,883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15,194,306</w:t>
            </w:r>
          </w:p>
        </w:tc>
        <w:tc>
          <w:tcPr>
            <w:tcW w:w="60" w:type="dxa"/>
            <w:vAlign w:val="bottom"/>
            <w:shd w:val="clear" w:color="auto" w:fill="CCEEFF"/>
          </w:tcPr>
          <w:p>
            <w:pPr>
              <w:spacing w:after="0"/>
              <w:rPr>
                <w:sz w:val="19"/>
                <w:szCs w:val="19"/>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investment income includes income earned by the restricted assets of the cemeteries and mortuaries of $633,527 and $476,708 for the three month periods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on real estate consists primarily of rental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expenses consist primarily of depreciation, property taxes, operating expenses of real estate and an estimated portion of administrative expenses relating to investment activities.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Accrued Investment Income</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Accrued investment income consists of the following:</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As of</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color w:val="auto"/>
                <w:w w:val="97"/>
              </w:rPr>
              <w:t>As of</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2022</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3,841,931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3,563,767</w:t>
            </w:r>
          </w:p>
        </w:tc>
        <w:tc>
          <w:tcPr>
            <w:tcW w:w="34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Equity securities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14,496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3,220,709</w:t>
            </w:r>
          </w:p>
        </w:tc>
        <w:tc>
          <w:tcPr>
            <w:tcW w:w="34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Real estate held for investment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2,809,671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3,455,305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37,951</w:t>
            </w:r>
          </w:p>
        </w:tc>
        <w:tc>
          <w:tcPr>
            <w:tcW w:w="34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7,598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investment income</w:t>
            </w: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9,427,239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10,299,826</w:t>
            </w:r>
          </w:p>
        </w:tc>
        <w:tc>
          <w:tcPr>
            <w:tcW w:w="34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43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9" w:name="page30"/>
    <w:bookmarkEnd w:id="29"/>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See Note 8 to the condensed consolidated financial statements for additional disclosures regarding loans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As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As of</w:t>
            </w:r>
          </w:p>
        </w:tc>
      </w:tr>
      <w:tr>
        <w:trPr>
          <w:trHeight w:val="216"/>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3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2022</w:t>
            </w:r>
          </w:p>
        </w:tc>
        <w:tc>
          <w:tcPr>
            <w:tcW w:w="60" w:type="dxa"/>
            <w:vAlign w:val="bottom"/>
          </w:tcPr>
          <w:p>
            <w:pPr>
              <w:spacing w:after="0"/>
              <w:rPr>
                <w:sz w:val="20"/>
                <w:szCs w:val="20"/>
                <w:color w:val="auto"/>
              </w:rPr>
            </w:pPr>
          </w:p>
        </w:tc>
      </w:tr>
      <w:tr>
        <w:trPr>
          <w:trHeight w:val="209"/>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173,015,404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141,179,620</w:t>
            </w:r>
          </w:p>
        </w:tc>
        <w:tc>
          <w:tcPr>
            <w:tcW w:w="6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172,407,557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141,337,811</w:t>
            </w:r>
          </w:p>
        </w:tc>
        <w:tc>
          <w:tcPr>
            <w:tcW w:w="6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607,847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Fee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mortgage fee income for loans held for sale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6"/>
          </w:tcPr>
          <w:p>
            <w:pPr>
              <w:jc w:val="right"/>
              <w:ind w:right="400"/>
              <w:spacing w:after="0"/>
              <w:rPr>
                <w:sz w:val="20"/>
                <w:szCs w:val="20"/>
                <w:color w:val="auto"/>
              </w:rPr>
            </w:pPr>
            <w:r>
              <w:rPr>
                <w:rFonts w:ascii="Arial" w:cs="Arial" w:eastAsia="Arial" w:hAnsi="Arial"/>
                <w:sz w:val="18"/>
                <w:szCs w:val="18"/>
                <w:color w:val="auto"/>
                <w:w w:val="95"/>
              </w:rPr>
              <w:t>Three Months Ended March 31</w:t>
            </w:r>
          </w:p>
        </w:tc>
      </w:tr>
      <w:tr>
        <w:trPr>
          <w:trHeight w:val="210"/>
        </w:trPr>
        <w:tc>
          <w:tcPr>
            <w:tcW w:w="3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Loan fees</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4,388,414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7,087,182</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2,007,058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2,031,869</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Secondary gains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17,961,358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39,602,614</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Change in fair value of loan commitments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677,952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2,675,371</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loans held for sale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(2,746,565)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Provision for loan loss reserve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159,610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(306,026)</w:t>
            </w:r>
          </w:p>
        </w:tc>
      </w:tr>
      <w:tr>
        <w:trPr>
          <w:trHeight w:val="20"/>
        </w:trPr>
        <w:tc>
          <w:tcPr>
            <w:tcW w:w="3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25,989,006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48,344,445</w:t>
            </w:r>
          </w:p>
        </w:tc>
        <w:tc>
          <w:tcPr>
            <w:tcW w:w="60" w:type="dxa"/>
            <w:vAlign w:val="bottom"/>
            <w:shd w:val="clear" w:color="auto" w:fill="CCEEFF"/>
          </w:tcPr>
          <w:p>
            <w:pPr>
              <w:spacing w:after="0"/>
              <w:rPr>
                <w:sz w:val="19"/>
                <w:szCs w:val="19"/>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Loss Reserve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loan loss reserve, which is included in other liabilities and accrued expenses,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7"/>
              </w:rPr>
              <w:t>As of</w:t>
            </w:r>
          </w:p>
        </w:tc>
      </w:tr>
      <w:tr>
        <w:trPr>
          <w:trHeight w:val="216"/>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r>
      <w:tr>
        <w:trPr>
          <w:trHeight w:val="230"/>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1,725,667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2,447,139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Provision on current loan originations (1)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1,078,812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Charge-offs, net of recaptured amounts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(632,783)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(1,800,284)</w:t>
            </w:r>
          </w:p>
        </w:tc>
      </w:tr>
      <w:tr>
        <w:trPr>
          <w:trHeight w:val="20"/>
        </w:trPr>
        <w:tc>
          <w:tcPr>
            <w:tcW w:w="4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1,332,685</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1,725,667</w:t>
            </w:r>
          </w:p>
        </w:tc>
      </w:tr>
      <w:tr>
        <w:trPr>
          <w:trHeight w:val="20"/>
        </w:trPr>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Included in mortgage fee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reserves for estimated losses on current production volumes. For the three month period ended March 31, 2023, $239,801 in reserves were added at a rate of 4.5 basis points per loan, the equivalent of $450 per $1,000,000 in loans originated. This is an increase over the three month period ended March 31, 2022, when reserves of $306,026 were added at a rate of 2.9 basis points per loan originated, the equivalent of $290 per $1,000,000 in loans originated. The Company will continue to monitor data and economic conditions in order to maintain adequate loss reserves on current production. Thus, the Company believes that the final loan loss reserve as of March 31, 2023, represents its best estimate for adequate loss reserves on loans sold.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fixed option plans (the “2013 Plan”, the “2014 Director Plan” and the “2022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based compensation expense for stock options issued of $142,929 and $271,747 has been recognized for these plans for the three month periods ended March 31, 2023, and 2022, respectively, and is included in personnel expenses on the condensed consolidated statements of earnings. As of March 31, 2023, the total unrecognized compensation expense related to the options issued was $390,702, which is expected to be recognized over the vesting period.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Activity of the stock option plans during the three month period ended March 31, 2023, is summarized as follows: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March 31,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Options exercisable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Available options for future grant</w:t>
      </w:r>
    </w:p>
    <w:p>
      <w:pPr>
        <w:spacing w:after="0" w:line="23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Weighted average contractual term of options outstanding at March 31, 2023</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Weighted average contractual term of options exercisable at March 31, 2023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Aggregated intrinsic value of options outstanding at March 31, 2023 (1)</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Aggregated intrinsic value of options exercisable at March 31, 2023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12"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Weighted</w:t>
            </w:r>
          </w:p>
        </w:tc>
      </w:tr>
      <w:tr>
        <w:trPr>
          <w:trHeight w:val="216"/>
        </w:trPr>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r>
      <w:tr>
        <w:trPr>
          <w:trHeight w:val="216"/>
        </w:trPr>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Class 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Exercise</w:t>
            </w:r>
          </w:p>
        </w:tc>
      </w:tr>
      <w:tr>
        <w:trPr>
          <w:trHeight w:val="230"/>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Price</w:t>
            </w:r>
          </w:p>
        </w:tc>
        <w:tc>
          <w:tcPr>
            <w:tcW w:w="20" w:type="dxa"/>
            <w:vAlign w:val="bottom"/>
          </w:tcPr>
          <w:p>
            <w:pPr>
              <w:spacing w:after="0"/>
              <w:rPr>
                <w:sz w:val="20"/>
                <w:szCs w:val="20"/>
                <w:color w:val="auto"/>
              </w:rPr>
            </w:pPr>
          </w:p>
        </w:tc>
      </w:tr>
      <w:tr>
        <w:trPr>
          <w:trHeight w:val="411"/>
        </w:trPr>
        <w:tc>
          <w:tcPr>
            <w:tcW w:w="980" w:type="dxa"/>
            <w:vAlign w:val="bottom"/>
          </w:tcPr>
          <w:p>
            <w:pPr>
              <w:jc w:val="right"/>
              <w:spacing w:after="0"/>
              <w:rPr>
                <w:sz w:val="20"/>
                <w:szCs w:val="20"/>
                <w:color w:val="auto"/>
              </w:rPr>
            </w:pPr>
            <w:r>
              <w:rPr>
                <w:rFonts w:ascii="Arial" w:cs="Arial" w:eastAsia="Arial" w:hAnsi="Arial"/>
                <w:sz w:val="18"/>
                <w:szCs w:val="18"/>
                <w:color w:val="auto"/>
              </w:rPr>
              <w:t>976,605</w:t>
            </w:r>
          </w:p>
        </w:tc>
        <w:tc>
          <w:tcPr>
            <w:tcW w:w="16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901,900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4.92</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628"/>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827,025</w:t>
            </w:r>
          </w:p>
        </w:tc>
        <w:tc>
          <w:tcPr>
            <w:tcW w:w="16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155,133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140" w:type="dxa"/>
            <w:vAlign w:val="bottom"/>
            <w:gridSpan w:val="2"/>
          </w:tcPr>
          <w:p>
            <w:pPr>
              <w:ind w:left="240"/>
              <w:spacing w:after="0"/>
              <w:rPr>
                <w:sz w:val="20"/>
                <w:szCs w:val="20"/>
                <w:color w:val="auto"/>
              </w:rPr>
            </w:pPr>
            <w:r>
              <w:rPr>
                <w:rFonts w:ascii="Arial" w:cs="Arial" w:eastAsia="Arial" w:hAnsi="Arial"/>
                <w:sz w:val="18"/>
                <w:szCs w:val="18"/>
                <w:color w:val="auto"/>
              </w:rPr>
              <w:t>4.60 years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1140" w:type="dxa"/>
            <w:vAlign w:val="bottom"/>
            <w:gridSpan w:val="2"/>
          </w:tcPr>
          <w:p>
            <w:pPr>
              <w:ind w:left="240"/>
              <w:spacing w:after="0"/>
              <w:rPr>
                <w:sz w:val="20"/>
                <w:szCs w:val="20"/>
                <w:color w:val="auto"/>
              </w:rPr>
            </w:pPr>
            <w:r>
              <w:rPr>
                <w:rFonts w:ascii="Arial" w:cs="Arial" w:eastAsia="Arial" w:hAnsi="Arial"/>
                <w:sz w:val="18"/>
                <w:szCs w:val="18"/>
                <w:color w:val="auto"/>
              </w:rPr>
              <w:t>4.14 years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-2416810</wp:posOffset>
            </wp:positionV>
            <wp:extent cx="570928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9285" cy="13716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-2142490</wp:posOffset>
            </wp:positionV>
            <wp:extent cx="57092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9285" cy="13716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-1559560</wp:posOffset>
            </wp:positionV>
            <wp:extent cx="57092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9285" cy="13716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-685165</wp:posOffset>
            </wp:positionV>
            <wp:extent cx="5709285"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9285" cy="27432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-273685</wp:posOffset>
            </wp:positionV>
            <wp:extent cx="5709285"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9285" cy="27432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137160</wp:posOffset>
            </wp:positionV>
            <wp:extent cx="5709285"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9285" cy="27432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-1859915</wp:posOffset>
            </wp:positionV>
            <wp:extent cx="570928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9285" cy="15430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-1268095</wp:posOffset>
            </wp:positionV>
            <wp:extent cx="570928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9285" cy="14605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-985520</wp:posOffset>
            </wp:positionV>
            <wp:extent cx="570928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384" w:lineRule="exact"/>
        <w:rPr>
          <w:sz w:val="20"/>
          <w:szCs w:val="20"/>
          <w:color w:val="auto"/>
        </w:rPr>
      </w:pPr>
    </w:p>
    <w:p>
      <w:pPr>
        <w:ind w:left="272" w:hanging="272"/>
        <w:spacing w:after="0"/>
        <w:tabs>
          <w:tab w:leader="none" w:pos="272" w:val="left"/>
        </w:tabs>
        <w:numPr>
          <w:ilvl w:val="0"/>
          <w:numId w:val="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1,182,602</w:t>
      </w:r>
    </w:p>
    <w:p>
      <w:pPr>
        <w:spacing w:after="0" w:line="200" w:lineRule="exact"/>
        <w:rPr>
          <w:rFonts w:ascii="Arial" w:cs="Arial" w:eastAsia="Arial" w:hAnsi="Arial"/>
          <w:sz w:val="18"/>
          <w:szCs w:val="18"/>
          <w:u w:val="single" w:color="auto"/>
          <w:color w:val="auto"/>
        </w:rPr>
      </w:pPr>
    </w:p>
    <w:p>
      <w:pPr>
        <w:spacing w:after="0" w:line="254" w:lineRule="exact"/>
        <w:rPr>
          <w:rFonts w:ascii="Arial" w:cs="Arial" w:eastAsia="Arial" w:hAnsi="Arial"/>
          <w:sz w:val="18"/>
          <w:szCs w:val="18"/>
          <w:u w:val="single" w:color="auto"/>
          <w:color w:val="auto"/>
        </w:rPr>
      </w:pPr>
    </w:p>
    <w:p>
      <w:pPr>
        <w:ind w:left="272" w:hanging="272"/>
        <w:spacing w:after="0"/>
        <w:tabs>
          <w:tab w:leader="none" w:pos="272" w:val="left"/>
        </w:tabs>
        <w:numPr>
          <w:ilvl w:val="0"/>
          <w:numId w:val="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1,214,210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-387350</wp:posOffset>
            </wp:positionV>
            <wp:extent cx="5709285" cy="428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9285"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00"/>
        <w:spacing w:after="0" w:line="263" w:lineRule="auto"/>
        <w:rPr>
          <w:sz w:val="20"/>
          <w:szCs w:val="20"/>
          <w:color w:val="auto"/>
        </w:rPr>
      </w:pPr>
      <w:r>
        <w:rPr>
          <w:rFonts w:ascii="Arial" w:cs="Arial" w:eastAsia="Arial" w:hAnsi="Arial"/>
          <w:sz w:val="18"/>
          <w:szCs w:val="18"/>
          <w:color w:val="auto"/>
        </w:rPr>
        <w:t>Number of Class 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54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1,157,203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25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1,157,203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6254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1"/>
        <w:spacing w:after="0"/>
        <w:rPr>
          <w:sz w:val="20"/>
          <w:szCs w:val="20"/>
          <w:color w:val="auto"/>
        </w:rPr>
      </w:pPr>
      <w:r>
        <w:rPr>
          <w:rFonts w:ascii="Arial" w:cs="Arial" w:eastAsia="Arial" w:hAnsi="Arial"/>
          <w:sz w:val="16"/>
          <w:szCs w:val="16"/>
          <w:color w:val="auto"/>
        </w:rPr>
        <w:t>935,953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625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01"/>
        <w:spacing w:after="0"/>
        <w:rPr>
          <w:sz w:val="20"/>
          <w:szCs w:val="20"/>
          <w:color w:val="auto"/>
        </w:rPr>
      </w:pPr>
      <w:r>
        <w:rPr>
          <w:rFonts w:ascii="Arial" w:cs="Arial" w:eastAsia="Arial" w:hAnsi="Arial"/>
          <w:sz w:val="16"/>
          <w:szCs w:val="16"/>
          <w:color w:val="auto"/>
        </w:rPr>
        <w:t>795,000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6254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years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6.20 years</w:t>
      </w:r>
    </w:p>
    <w:p>
      <w:pPr>
        <w:spacing w:after="0" w:line="200" w:lineRule="exact"/>
        <w:rPr>
          <w:sz w:val="20"/>
          <w:szCs w:val="20"/>
          <w:color w:val="auto"/>
        </w:rPr>
      </w:pPr>
    </w:p>
    <w:p>
      <w:pPr>
        <w:spacing w:after="0" w:line="228" w:lineRule="exact"/>
        <w:rPr>
          <w:sz w:val="20"/>
          <w:szCs w:val="20"/>
          <w:color w:val="auto"/>
        </w:rPr>
      </w:pPr>
    </w:p>
    <w:p>
      <w:pPr>
        <w:ind w:left="401" w:hanging="401"/>
        <w:spacing w:after="0"/>
        <w:tabs>
          <w:tab w:leader="none" w:pos="401" w:val="left"/>
        </w:tabs>
        <w:numPr>
          <w:ilvl w:val="0"/>
          <w:numId w:val="3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741,380</w:t>
      </w:r>
    </w:p>
    <w:p>
      <w:pPr>
        <w:spacing w:after="0" w:line="200" w:lineRule="exact"/>
        <w:rPr>
          <w:rFonts w:ascii="Arial" w:cs="Arial" w:eastAsia="Arial" w:hAnsi="Arial"/>
          <w:sz w:val="16"/>
          <w:szCs w:val="16"/>
          <w:u w:val="single" w:color="auto"/>
          <w:color w:val="auto"/>
        </w:rPr>
      </w:pPr>
    </w:p>
    <w:p>
      <w:pPr>
        <w:spacing w:after="0" w:line="277" w:lineRule="exact"/>
        <w:rPr>
          <w:rFonts w:ascii="Arial" w:cs="Arial" w:eastAsia="Arial" w:hAnsi="Arial"/>
          <w:sz w:val="16"/>
          <w:szCs w:val="16"/>
          <w:u w:val="single" w:color="auto"/>
          <w:color w:val="auto"/>
        </w:rPr>
      </w:pPr>
    </w:p>
    <w:p>
      <w:pPr>
        <w:ind w:left="401" w:hanging="401"/>
        <w:spacing w:after="0"/>
        <w:tabs>
          <w:tab w:leader="none" w:pos="401" w:val="left"/>
        </w:tabs>
        <w:numPr>
          <w:ilvl w:val="0"/>
          <w:numId w:val="3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812,293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6254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46355</wp:posOffset>
            </wp:positionV>
            <wp:extent cx="6254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333"/>
        <w:spacing w:after="0"/>
        <w:rPr>
          <w:sz w:val="20"/>
          <w:szCs w:val="20"/>
          <w:color w:val="auto"/>
        </w:rPr>
      </w:pPr>
      <w:r>
        <w:rPr>
          <w:rFonts w:ascii="Arial" w:cs="Arial" w:eastAsia="Arial" w:hAnsi="Arial"/>
          <w:sz w:val="18"/>
          <w:szCs w:val="18"/>
          <w:color w:val="auto"/>
        </w:rPr>
        <w:t>Weighted</w:t>
      </w:r>
    </w:p>
    <w:p>
      <w:pPr>
        <w:spacing w:after="0" w:line="23" w:lineRule="exact"/>
        <w:rPr>
          <w:sz w:val="20"/>
          <w:szCs w:val="20"/>
          <w:color w:val="auto"/>
        </w:rPr>
      </w:pPr>
    </w:p>
    <w:p>
      <w:pPr>
        <w:jc w:val="center"/>
        <w:ind w:right="2333"/>
        <w:spacing w:after="0"/>
        <w:rPr>
          <w:sz w:val="20"/>
          <w:szCs w:val="20"/>
          <w:color w:val="auto"/>
        </w:rPr>
      </w:pPr>
      <w:r>
        <w:rPr>
          <w:rFonts w:ascii="Arial" w:cs="Arial" w:eastAsia="Arial" w:hAnsi="Arial"/>
          <w:sz w:val="18"/>
          <w:szCs w:val="18"/>
          <w:color w:val="auto"/>
        </w:rPr>
        <w:t>Average</w:t>
      </w:r>
    </w:p>
    <w:p>
      <w:pPr>
        <w:spacing w:after="0" w:line="9" w:lineRule="exact"/>
        <w:rPr>
          <w:sz w:val="20"/>
          <w:szCs w:val="20"/>
          <w:color w:val="auto"/>
        </w:rPr>
      </w:pPr>
    </w:p>
    <w:p>
      <w:pPr>
        <w:jc w:val="center"/>
        <w:ind w:right="2333"/>
        <w:spacing w:after="0"/>
        <w:rPr>
          <w:sz w:val="20"/>
          <w:szCs w:val="20"/>
          <w:color w:val="auto"/>
        </w:rPr>
      </w:pPr>
      <w:r>
        <w:rPr>
          <w:rFonts w:ascii="Arial" w:cs="Arial" w:eastAsia="Arial" w:hAnsi="Arial"/>
          <w:sz w:val="18"/>
          <w:szCs w:val="18"/>
          <w:color w:val="auto"/>
        </w:rPr>
        <w:t>Exercise</w:t>
      </w:r>
    </w:p>
    <w:p>
      <w:pPr>
        <w:spacing w:after="0" w:line="9" w:lineRule="exact"/>
        <w:rPr>
          <w:sz w:val="20"/>
          <w:szCs w:val="20"/>
          <w:color w:val="auto"/>
        </w:rPr>
      </w:pPr>
    </w:p>
    <w:p>
      <w:pPr>
        <w:jc w:val="center"/>
        <w:ind w:right="2333"/>
        <w:spacing w:after="0"/>
        <w:rPr>
          <w:sz w:val="20"/>
          <w:szCs w:val="20"/>
          <w:color w:val="auto"/>
        </w:rPr>
      </w:pPr>
      <w:r>
        <w:rPr>
          <w:rFonts w:ascii="Arial" w:cs="Arial" w:eastAsia="Arial" w:hAnsi="Arial"/>
          <w:sz w:val="18"/>
          <w:szCs w:val="18"/>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4" w:lineRule="exact"/>
        <w:rPr>
          <w:sz w:val="20"/>
          <w:szCs w:val="20"/>
          <w:color w:val="auto"/>
        </w:rPr>
      </w:pPr>
    </w:p>
    <w:p>
      <w:pPr>
        <w:ind w:left="687" w:hanging="687"/>
        <w:spacing w:after="0"/>
        <w:tabs>
          <w:tab w:leader="none" w:pos="6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5.59</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7" w:hanging="687"/>
        <w:spacing w:after="0"/>
        <w:tabs>
          <w:tab w:leader="none" w:pos="6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5.59</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687" w:hanging="687"/>
        <w:spacing w:after="0"/>
        <w:tabs>
          <w:tab w:leader="none" w:pos="6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5.36</w:t>
      </w:r>
    </w:p>
    <w:p>
      <w:pPr>
        <w:spacing w:after="0" w:line="3598" w:lineRule="exact"/>
        <w:rPr>
          <w:sz w:val="20"/>
          <w:szCs w:val="20"/>
          <w:color w:val="auto"/>
        </w:rPr>
      </w:pPr>
    </w:p>
    <w:p>
      <w:pPr>
        <w:sectPr>
          <w:pgSz w:w="11900" w:h="16838" w:orient="portrait"/>
          <w:cols w:equalWidth="0" w:num="4">
            <w:col w:w="3740" w:space="368"/>
            <w:col w:w="2272" w:space="259"/>
            <w:col w:w="981" w:space="273"/>
            <w:col w:w="3347"/>
          </w:cols>
          <w:pgMar w:left="320" w:top="692" w:right="339" w:bottom="1440" w:gutter="0" w:footer="0" w:header="0"/>
          <w:type w:val="continuous"/>
        </w:sectPr>
      </w:pPr>
    </w:p>
    <w:p>
      <w:pPr>
        <w:spacing w:after="0" w:line="11" w:lineRule="exact"/>
        <w:rPr>
          <w:sz w:val="20"/>
          <w:szCs w:val="20"/>
          <w:color w:val="auto"/>
        </w:rPr>
      </w:pPr>
    </w:p>
    <w:p>
      <w:pPr>
        <w:ind w:left="5540" w:right="4540" w:hanging="5532"/>
        <w:spacing w:after="0" w:line="573" w:lineRule="auto"/>
        <w:tabs>
          <w:tab w:leader="none" w:pos="33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used a stock price of $6.23 as of March 31, 2023 to derive intrinsic value.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2" w:name="page33"/>
    <w:bookmarkEnd w:id="32"/>
    <w:p>
      <w:pPr>
        <w:jc w:val="center"/>
        <w:ind w:left="304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5) Stock Compensation Plans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Activity of the stock option plans during the three month period ended March 31, 2022, is summarized as follows: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March 31,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Options exercisable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Available options for future grant</w:t>
      </w: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Weighted average contractual term of options outstanding at March 31, 2022</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Weighted average contractual term of options exercisable at March 31, 2022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Aggregated intrinsic value of options outstanding at March 31, 2022 (1)</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Aggregated intrinsic value of options exercisable at March 31, 2022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2858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right="52"/>
        <w:spacing w:after="0"/>
        <w:rPr>
          <w:sz w:val="20"/>
          <w:szCs w:val="20"/>
          <w:color w:val="auto"/>
        </w:rPr>
      </w:pPr>
      <w:r>
        <w:rPr>
          <w:rFonts w:ascii="Arial" w:cs="Arial" w:eastAsia="Arial" w:hAnsi="Arial"/>
          <w:sz w:val="17"/>
          <w:szCs w:val="17"/>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79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1,024,351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-121920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5715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(50,968)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14605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977,383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177800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797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48"/>
        <w:spacing w:after="0"/>
        <w:rPr>
          <w:sz w:val="20"/>
          <w:szCs w:val="20"/>
          <w:color w:val="auto"/>
        </w:rPr>
      </w:pPr>
      <w:r>
        <w:rPr>
          <w:rFonts w:ascii="Arial" w:cs="Arial" w:eastAsia="Arial" w:hAnsi="Arial"/>
          <w:sz w:val="17"/>
          <w:szCs w:val="17"/>
          <w:color w:val="auto"/>
        </w:rPr>
        <w:t>906,258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22225</wp:posOffset>
            </wp:positionV>
            <wp:extent cx="713232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321945</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48"/>
        <w:spacing w:after="0"/>
        <w:rPr>
          <w:sz w:val="20"/>
          <w:szCs w:val="20"/>
          <w:color w:val="auto"/>
        </w:rPr>
      </w:pPr>
      <w:r>
        <w:rPr>
          <w:rFonts w:ascii="Arial" w:cs="Arial" w:eastAsia="Arial" w:hAnsi="Arial"/>
          <w:sz w:val="17"/>
          <w:szCs w:val="17"/>
          <w:color w:val="auto"/>
        </w:rPr>
        <w:t>228,376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184785</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39370</wp:posOffset>
            </wp:positionV>
            <wp:extent cx="7797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88"/>
        <w:spacing w:after="0"/>
        <w:rPr>
          <w:sz w:val="20"/>
          <w:szCs w:val="20"/>
          <w:color w:val="auto"/>
        </w:rPr>
      </w:pPr>
      <w:r>
        <w:rPr>
          <w:rFonts w:ascii="Arial" w:cs="Arial" w:eastAsia="Arial" w:hAnsi="Arial"/>
          <w:sz w:val="17"/>
          <w:szCs w:val="17"/>
          <w:color w:val="auto"/>
        </w:rPr>
        <w:t>4.44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159385</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88"/>
        <w:spacing w:after="0"/>
        <w:rPr>
          <w:sz w:val="20"/>
          <w:szCs w:val="20"/>
          <w:color w:val="auto"/>
        </w:rPr>
      </w:pPr>
      <w:r>
        <w:rPr>
          <w:rFonts w:ascii="Arial" w:cs="Arial" w:eastAsia="Arial" w:hAnsi="Arial"/>
          <w:sz w:val="17"/>
          <w:szCs w:val="17"/>
          <w:color w:val="auto"/>
        </w:rPr>
        <w:t>4.03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159385</wp:posOffset>
            </wp:positionV>
            <wp:extent cx="713232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28" w:hanging="528"/>
        <w:spacing w:after="0"/>
        <w:tabs>
          <w:tab w:leader="none" w:pos="5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5,115,622</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08" w:hanging="508"/>
        <w:spacing w:after="0"/>
        <w:tabs>
          <w:tab w:leader="none" w:pos="5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5,017,469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-405765</wp:posOffset>
            </wp:positionV>
            <wp:extent cx="7797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-260350</wp:posOffset>
            </wp:positionV>
            <wp:extent cx="713232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left="97" w:right="3"/>
        <w:spacing w:after="0" w:line="311" w:lineRule="auto"/>
        <w:rPr>
          <w:sz w:val="20"/>
          <w:szCs w:val="20"/>
          <w:color w:val="auto"/>
        </w:rPr>
      </w:pPr>
      <w:r>
        <w:rPr>
          <w:rFonts w:ascii="Arial" w:cs="Arial" w:eastAsia="Arial" w:hAnsi="Arial"/>
          <w:sz w:val="16"/>
          <w:szCs w:val="16"/>
          <w:color w:val="auto"/>
        </w:rPr>
        <w:t>Weighted Average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88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2" w:lineRule="exact"/>
        <w:rPr>
          <w:sz w:val="20"/>
          <w:szCs w:val="20"/>
          <w:color w:val="auto"/>
        </w:rPr>
      </w:pPr>
    </w:p>
    <w:p>
      <w:pPr>
        <w:ind w:left="917" w:hanging="917"/>
        <w:spacing w:after="0"/>
        <w:tabs>
          <w:tab w:leader="none" w:pos="917" w:val="left"/>
        </w:tabs>
        <w:numPr>
          <w:ilvl w:val="0"/>
          <w:numId w:val="39"/>
        </w:numPr>
        <w:rPr>
          <w:rFonts w:ascii="Arial" w:cs="Arial" w:eastAsia="Arial" w:hAnsi="Arial"/>
          <w:sz w:val="16"/>
          <w:szCs w:val="16"/>
          <w:color w:val="auto"/>
        </w:rPr>
      </w:pPr>
      <w:r>
        <w:rPr>
          <w:rFonts w:ascii="Arial" w:cs="Arial" w:eastAsia="Arial" w:hAnsi="Arial"/>
          <w:sz w:val="16"/>
          <w:szCs w:val="16"/>
          <w:color w:val="auto"/>
        </w:rPr>
        <w:t>4.61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17" w:hanging="917"/>
        <w:spacing w:after="0"/>
        <w:tabs>
          <w:tab w:leader="none" w:pos="9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4.77</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917" w:hanging="917"/>
        <w:spacing w:after="0"/>
        <w:tabs>
          <w:tab w:leader="none" w:pos="9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4.46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left="-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
        <w:spacing w:after="0"/>
        <w:rPr>
          <w:sz w:val="20"/>
          <w:szCs w:val="20"/>
          <w:color w:val="auto"/>
        </w:rPr>
      </w:pPr>
      <w:r>
        <w:rPr>
          <w:rFonts w:ascii="Arial" w:cs="Arial" w:eastAsia="Arial" w:hAnsi="Arial"/>
          <w:sz w:val="17"/>
          <w:szCs w:val="17"/>
          <w:color w:val="auto"/>
        </w:rPr>
        <w:t>Class 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88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821,146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821,146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886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648,646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88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88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7.00 years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6.57 years</w:t>
      </w:r>
    </w:p>
    <w:p>
      <w:pPr>
        <w:spacing w:after="0" w:line="200" w:lineRule="exact"/>
        <w:rPr>
          <w:sz w:val="20"/>
          <w:szCs w:val="20"/>
          <w:color w:val="auto"/>
        </w:rPr>
      </w:pPr>
    </w:p>
    <w:p>
      <w:pPr>
        <w:spacing w:after="0" w:line="268" w:lineRule="exact"/>
        <w:rPr>
          <w:sz w:val="20"/>
          <w:szCs w:val="20"/>
          <w:color w:val="auto"/>
        </w:rPr>
      </w:pPr>
    </w:p>
    <w:p>
      <w:pPr>
        <w:ind w:left="523" w:hanging="523"/>
        <w:spacing w:after="0"/>
        <w:tabs>
          <w:tab w:leader="none" w:pos="5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3,666,085</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23" w:hanging="523"/>
        <w:spacing w:after="0"/>
        <w:tabs>
          <w:tab w:leader="none" w:pos="5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3,460,285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88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7886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left="92" w:right="128"/>
        <w:spacing w:after="0" w:line="311" w:lineRule="auto"/>
        <w:rPr>
          <w:sz w:val="20"/>
          <w:szCs w:val="20"/>
          <w:color w:val="auto"/>
        </w:rPr>
      </w:pPr>
      <w:r>
        <w:rPr>
          <w:rFonts w:ascii="Arial" w:cs="Arial" w:eastAsia="Arial" w:hAnsi="Arial"/>
          <w:sz w:val="16"/>
          <w:szCs w:val="16"/>
          <w:color w:val="auto"/>
        </w:rPr>
        <w:t>Weighted Average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88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2" w:lineRule="exact"/>
        <w:rPr>
          <w:sz w:val="20"/>
          <w:szCs w:val="20"/>
          <w:color w:val="auto"/>
        </w:rPr>
      </w:pPr>
    </w:p>
    <w:p>
      <w:pPr>
        <w:ind w:left="932" w:hanging="932"/>
        <w:spacing w:after="0"/>
        <w:tabs>
          <w:tab w:leader="none" w:pos="932" w:val="left"/>
        </w:tabs>
        <w:numPr>
          <w:ilvl w:val="0"/>
          <w:numId w:val="42"/>
        </w:numPr>
        <w:rPr>
          <w:rFonts w:ascii="Arial" w:cs="Arial" w:eastAsia="Arial" w:hAnsi="Arial"/>
          <w:sz w:val="15"/>
          <w:szCs w:val="15"/>
          <w:color w:val="auto"/>
        </w:rPr>
      </w:pPr>
      <w:r>
        <w:rPr>
          <w:rFonts w:ascii="Arial" w:cs="Arial" w:eastAsia="Arial" w:hAnsi="Arial"/>
          <w:sz w:val="15"/>
          <w:szCs w:val="15"/>
          <w:color w:val="auto"/>
        </w:rPr>
        <w:t>5.48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32" w:hanging="932"/>
        <w:spacing w:after="0"/>
        <w:tabs>
          <w:tab w:leader="none" w:pos="932" w:val="left"/>
        </w:tabs>
        <w:numPr>
          <w:ilvl w:val="0"/>
          <w:numId w:val="43"/>
        </w:numPr>
        <w:rPr>
          <w:rFonts w:ascii="Arial" w:cs="Arial" w:eastAsia="Arial" w:hAnsi="Arial"/>
          <w:sz w:val="15"/>
          <w:szCs w:val="15"/>
          <w:color w:val="auto"/>
        </w:rPr>
      </w:pPr>
      <w:r>
        <w:rPr>
          <w:rFonts w:ascii="Arial" w:cs="Arial" w:eastAsia="Arial" w:hAnsi="Arial"/>
          <w:sz w:val="15"/>
          <w:szCs w:val="15"/>
          <w:color w:val="auto"/>
        </w:rPr>
        <w:t>5.48</w:t>
      </w:r>
    </w:p>
    <w:p>
      <w:pPr>
        <w:spacing w:after="0" w:line="200" w:lineRule="exact"/>
        <w:rPr>
          <w:rFonts w:ascii="Arial" w:cs="Arial" w:eastAsia="Arial" w:hAnsi="Arial"/>
          <w:sz w:val="15"/>
          <w:szCs w:val="15"/>
          <w:color w:val="auto"/>
        </w:rPr>
      </w:pPr>
    </w:p>
    <w:p>
      <w:pPr>
        <w:spacing w:after="0" w:line="343" w:lineRule="exact"/>
        <w:rPr>
          <w:rFonts w:ascii="Arial" w:cs="Arial" w:eastAsia="Arial" w:hAnsi="Arial"/>
          <w:sz w:val="15"/>
          <w:szCs w:val="15"/>
          <w:color w:val="auto"/>
        </w:rPr>
      </w:pPr>
    </w:p>
    <w:p>
      <w:pPr>
        <w:ind w:left="932" w:hanging="932"/>
        <w:spacing w:after="0"/>
        <w:tabs>
          <w:tab w:leader="none" w:pos="932" w:val="left"/>
        </w:tabs>
        <w:numPr>
          <w:ilvl w:val="0"/>
          <w:numId w:val="43"/>
        </w:numPr>
        <w:rPr>
          <w:rFonts w:ascii="Arial" w:cs="Arial" w:eastAsia="Arial" w:hAnsi="Arial"/>
          <w:sz w:val="15"/>
          <w:szCs w:val="15"/>
          <w:color w:val="auto"/>
        </w:rPr>
      </w:pPr>
      <w:r>
        <w:rPr>
          <w:rFonts w:ascii="Arial" w:cs="Arial" w:eastAsia="Arial" w:hAnsi="Arial"/>
          <w:sz w:val="15"/>
          <w:szCs w:val="15"/>
          <w:color w:val="auto"/>
        </w:rPr>
        <w:t>4.67</w:t>
      </w:r>
    </w:p>
    <w:p>
      <w:pPr>
        <w:spacing w:after="0" w:line="3731" w:lineRule="exact"/>
        <w:rPr>
          <w:sz w:val="20"/>
          <w:szCs w:val="20"/>
          <w:color w:val="auto"/>
        </w:rPr>
      </w:pPr>
    </w:p>
    <w:p>
      <w:pPr>
        <w:sectPr>
          <w:pgSz w:w="11900" w:h="16838" w:orient="portrait"/>
          <w:cols w:equalWidth="0" w:num="5">
            <w:col w:w="4940" w:space="232"/>
            <w:col w:w="1288" w:space="283"/>
            <w:col w:w="1237" w:space="337"/>
            <w:col w:w="1243" w:space="328"/>
            <w:col w:w="1352"/>
          </w:cols>
          <w:pgMar w:left="320" w:top="692" w:right="339" w:bottom="1440" w:gutter="0" w:footer="0" w:header="0"/>
          <w:type w:val="continuous"/>
        </w:sectPr>
      </w:pPr>
    </w:p>
    <w:p>
      <w:pPr>
        <w:spacing w:after="0" w:line="51" w:lineRule="exact"/>
        <w:rPr>
          <w:sz w:val="20"/>
          <w:szCs w:val="20"/>
          <w:color w:val="auto"/>
        </w:rPr>
      </w:pPr>
    </w:p>
    <w:p>
      <w:pPr>
        <w:ind w:left="280" w:hanging="209"/>
        <w:spacing w:after="0" w:line="277" w:lineRule="auto"/>
        <w:rPr>
          <w:sz w:val="20"/>
          <w:szCs w:val="20"/>
          <w:color w:val="auto"/>
        </w:rPr>
      </w:pPr>
      <w:r>
        <w:rPr>
          <w:rFonts w:ascii="Arial" w:cs="Arial" w:eastAsia="Arial" w:hAnsi="Arial"/>
          <w:sz w:val="18"/>
          <w:szCs w:val="18"/>
          <w:color w:val="auto"/>
        </w:rPr>
        <w:t>(1)The Company used a stock price of $10.00 as of March 31, 2022, which was the closing price of the Company’s Class A shares on Nasdaq for that day, to derive intrinsic value.</w:t>
      </w:r>
    </w:p>
    <w:p>
      <w:pPr>
        <w:spacing w:after="0" w:line="2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total intrinsic value (which is the amount by which the fair value of the underlying stock exceeds the exercise price of an option on the exercise date) of stock options exercised during the three month periods ended March 31,2023 and 2022 was $176,935 and $395,831,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3" w:name="page34"/>
    <w:bookmarkEnd w:id="33"/>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5) Stock Compensation Plans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(“RSUs”)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 based compensation expense for RSUs issued of $742 and nil has been recognized under these plans for the three month periods ended March 31, 2023 and 2022, respectively, and is included in personnel expenses on the condensed consolidated statements of earnings. As of March 31, 2023, the total unrecognized compensation expense related to the RSUs issued was nil. The fair value of each RSU granted is determined based on the Company’s stock price on the date of grant. Prior to December 2022, the Company did not grant any RSUs.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Activity of the RSUs during the three month period ended March 31, 2023 is summarized as follows: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Non-vested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63740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63740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37405"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Non-vested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463740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37405" cy="14605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Available RSUs for future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463740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37405" cy="154305"/>
                    </a:xfrm>
                    <a:prstGeom prst="rect">
                      <a:avLst/>
                    </a:prstGeom>
                    <a:noFill/>
                  </pic:spPr>
                </pic:pic>
              </a:graphicData>
            </a:graphic>
          </wp:anchor>
        </w:drawing>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Aggregated intrinsic value of RSUs outstanding at March 31, 2023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2858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Weighted Average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Grant Date Fair</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87"/>
              </w:rPr>
              <w:t>Class A 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195"/>
        </w:trPr>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1,620</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32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640" w:space="560"/>
            <w:col w:w="7040"/>
          </w:cols>
          <w:pgMar w:left="320" w:top="692" w:right="339" w:bottom="1440" w:gutter="0" w:footer="0" w:header="0"/>
          <w:type w:val="continuous"/>
        </w:sectPr>
      </w:pP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(1)The Company used a stock price of $6.23 as of March 31, 2023 to derive intrinsic value.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4" w:name="page35"/>
    <w:bookmarkEnd w:id="34"/>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ind w:left="540"/>
              <w:spacing w:after="0"/>
              <w:rPr>
                <w:sz w:val="20"/>
                <w:szCs w:val="20"/>
                <w:color w:val="auto"/>
              </w:rPr>
            </w:pPr>
            <w:r>
              <w:rPr>
                <w:rFonts w:ascii="Arial" w:cs="Arial" w:eastAsia="Arial" w:hAnsi="Arial"/>
                <w:sz w:val="18"/>
                <w:szCs w:val="18"/>
                <w:color w:val="auto"/>
              </w:rPr>
              <w:t>Three Months Ended</w:t>
            </w:r>
          </w:p>
        </w:tc>
      </w:tr>
      <w:tr>
        <w:trPr>
          <w:trHeight w:val="230"/>
        </w:trPr>
        <w:tc>
          <w:tcPr>
            <w:tcW w:w="4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March 31</w:t>
            </w: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CCEEFF"/>
            </w:tcBorders>
          </w:tcPr>
          <w:p>
            <w:pPr>
              <w:spacing w:after="0"/>
              <w:rPr>
                <w:sz w:val="19"/>
                <w:szCs w:val="19"/>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45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1,240,172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3,228,718</w:t>
            </w:r>
          </w:p>
        </w:tc>
        <w:tc>
          <w:tcPr>
            <w:tcW w:w="60" w:type="dxa"/>
            <w:vAlign w:val="bottom"/>
          </w:tcPr>
          <w:p>
            <w:pPr>
              <w:spacing w:after="0"/>
              <w:rPr>
                <w:sz w:val="24"/>
                <w:szCs w:val="24"/>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Basic weighted-average shares outstanding</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21,080,549</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21,381,988</w:t>
            </w:r>
          </w:p>
        </w:tc>
        <w:tc>
          <w:tcPr>
            <w:tcW w:w="6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Employee stock options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531,486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884,485</w:t>
            </w:r>
          </w:p>
        </w:tc>
        <w:tc>
          <w:tcPr>
            <w:tcW w:w="60" w:type="dxa"/>
            <w:vAlign w:val="bottom"/>
          </w:tcPr>
          <w:p>
            <w:pPr>
              <w:spacing w:after="0"/>
              <w:rPr>
                <w:sz w:val="18"/>
                <w:szCs w:val="18"/>
                <w:color w:val="auto"/>
              </w:rPr>
            </w:pPr>
          </w:p>
        </w:tc>
      </w:tr>
      <w:tr>
        <w:trPr>
          <w:trHeight w:val="230"/>
        </w:trPr>
        <w:tc>
          <w:tcPr>
            <w:tcW w:w="45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76"/>
        </w:trPr>
        <w:tc>
          <w:tcPr>
            <w:tcW w:w="4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weighted-average shares outstanding</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21,612,035</w:t>
            </w: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22,266,473</w:t>
            </w:r>
          </w:p>
        </w:tc>
        <w:tc>
          <w:tcPr>
            <w:tcW w:w="60" w:type="dxa"/>
            <w:vAlign w:val="bottom"/>
            <w:tcBorders>
              <w:bottom w:val="single" w:sz="8" w:color="CCEEFF"/>
            </w:tcBorders>
          </w:tcPr>
          <w:p>
            <w:pPr>
              <w:spacing w:after="0"/>
              <w:rPr>
                <w:sz w:val="24"/>
                <w:szCs w:val="24"/>
                <w:color w:val="auto"/>
              </w:rPr>
            </w:pPr>
          </w:p>
        </w:tc>
      </w:tr>
      <w:tr>
        <w:trPr>
          <w:trHeight w:val="197"/>
        </w:trPr>
        <w:tc>
          <w:tcPr>
            <w:tcW w:w="4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9"/>
                <w:szCs w:val="19"/>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6"/>
        </w:trPr>
        <w:tc>
          <w:tcPr>
            <w:tcW w:w="4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21"/>
                <w:szCs w:val="21"/>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 periods ended March 31, 2023, and 2022, there were 730,270 and nil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shares of capital stock.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Class A</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Class C</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at December 31, 2021</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17,642,722</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2,866,565</w:t>
            </w:r>
          </w:p>
        </w:tc>
        <w:tc>
          <w:tcPr>
            <w:tcW w:w="392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50,223</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920" w:type="dxa"/>
            <w:vAlign w:val="bottom"/>
          </w:tcPr>
          <w:p>
            <w:pPr>
              <w:spacing w:after="0"/>
              <w:rPr>
                <w:sz w:val="18"/>
                <w:szCs w:val="18"/>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Conversion of Class C to Class A</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3920" w:type="dxa"/>
            <w:vAlign w:val="bottom"/>
          </w:tcPr>
          <w:p>
            <w:pPr>
              <w:spacing w:after="0"/>
              <w:rPr>
                <w:sz w:val="19"/>
                <w:szCs w:val="19"/>
                <w:color w:val="auto"/>
              </w:rPr>
            </w:pPr>
          </w:p>
        </w:tc>
      </w:tr>
      <w:tr>
        <w:trPr>
          <w:trHeight w:val="210"/>
        </w:trPr>
        <w:tc>
          <w:tcPr>
            <w:tcW w:w="4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920" w:type="dxa"/>
            <w:vAlign w:val="bottom"/>
          </w:tcPr>
          <w:p>
            <w:pPr>
              <w:spacing w:after="0"/>
              <w:rPr>
                <w:sz w:val="18"/>
                <w:szCs w:val="18"/>
                <w:color w:val="auto"/>
              </w:rPr>
            </w:pPr>
          </w:p>
        </w:tc>
      </w:tr>
      <w:tr>
        <w:trPr>
          <w:trHeight w:val="283"/>
        </w:trPr>
        <w:tc>
          <w:tcPr>
            <w:tcW w:w="4240" w:type="dxa"/>
            <w:vAlign w:val="bottom"/>
          </w:tcPr>
          <w:p>
            <w:pPr>
              <w:spacing w:after="0"/>
              <w:rPr>
                <w:sz w:val="20"/>
                <w:szCs w:val="20"/>
                <w:color w:val="auto"/>
              </w:rPr>
            </w:pPr>
            <w:r>
              <w:rPr>
                <w:rFonts w:ascii="Arial" w:cs="Arial" w:eastAsia="Arial" w:hAnsi="Arial"/>
                <w:sz w:val="18"/>
                <w:szCs w:val="18"/>
                <w:color w:val="auto"/>
              </w:rPr>
              <w:t>Outstanding shares at March 31, 2022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17,693,152</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2,866,358</w:t>
            </w:r>
          </w:p>
        </w:tc>
        <w:tc>
          <w:tcPr>
            <w:tcW w:w="3920" w:type="dxa"/>
            <w:vAlign w:val="bottom"/>
          </w:tcPr>
          <w:p>
            <w:pPr>
              <w:spacing w:after="0"/>
              <w:rPr>
                <w:sz w:val="24"/>
                <w:szCs w:val="24"/>
                <w:color w:val="auto"/>
              </w:rPr>
            </w:pPr>
          </w:p>
        </w:tc>
      </w:tr>
      <w:tr>
        <w:trPr>
          <w:trHeight w:val="196"/>
        </w:trPr>
        <w:tc>
          <w:tcPr>
            <w:tcW w:w="42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Outstanding shares at December 31, 2022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18,758,031</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2,889,859</w:t>
            </w:r>
          </w:p>
        </w:tc>
        <w:tc>
          <w:tcPr>
            <w:tcW w:w="39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48,046</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920" w:type="dxa"/>
            <w:vAlign w:val="bottom"/>
          </w:tcPr>
          <w:p>
            <w:pPr>
              <w:spacing w:after="0"/>
              <w:rPr>
                <w:sz w:val="18"/>
                <w:szCs w:val="18"/>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Class C to Class A</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3920" w:type="dxa"/>
            <w:vAlign w:val="bottom"/>
          </w:tcPr>
          <w:p>
            <w:pPr>
              <w:spacing w:after="0"/>
              <w:rPr>
                <w:sz w:val="19"/>
                <w:szCs w:val="19"/>
                <w:color w:val="auto"/>
              </w:rPr>
            </w:pPr>
          </w:p>
        </w:tc>
      </w:tr>
      <w:tr>
        <w:trPr>
          <w:trHeight w:val="210"/>
        </w:trPr>
        <w:tc>
          <w:tcPr>
            <w:tcW w:w="4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5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at March 31, 2023</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18,807,013</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2,888,923</w:t>
            </w:r>
          </w:p>
        </w:tc>
        <w:tc>
          <w:tcPr>
            <w:tcW w:w="3920" w:type="dxa"/>
            <w:vAlign w:val="bottom"/>
          </w:tcPr>
          <w:p>
            <w:pPr>
              <w:spacing w:after="0"/>
              <w:rPr>
                <w:sz w:val="21"/>
                <w:szCs w:val="2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20"/>
        </w:trPr>
        <w:tc>
          <w:tcPr>
            <w:tcW w:w="4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33</w:t>
            </w: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5" w:name="page36"/>
    <w:bookmarkEnd w:id="35"/>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2022. Intersegment revenues are recorded at cost plus an agreed upon intercompany profit, and are eliminated upon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7) Business Segment Information (Continued)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Cemetery/</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181"/>
              <w:spacing w:after="0"/>
              <w:rPr>
                <w:sz w:val="20"/>
                <w:szCs w:val="20"/>
                <w:color w:val="auto"/>
              </w:rPr>
            </w:pPr>
            <w:r>
              <w:rPr>
                <w:rFonts w:ascii="Arial" w:cs="Arial" w:eastAsia="Arial" w:hAnsi="Arial"/>
                <w:sz w:val="18"/>
                <w:szCs w:val="18"/>
                <w:color w:val="auto"/>
                <w:w w:val="95"/>
              </w:rPr>
              <w:t>Intercompany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Life Insurance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Mortuary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Mortgage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Arial" w:cs="Arial" w:eastAsia="Arial" w:hAnsi="Arial"/>
                <w:sz w:val="18"/>
                <w:szCs w:val="18"/>
                <w:color w:val="auto"/>
                <w:w w:val="92"/>
              </w:rPr>
              <w:t>Eliminations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Consolidated</w:t>
            </w: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Three Months Ended</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740" w:type="dxa"/>
            <w:vAlign w:val="bottom"/>
            <w:gridSpan w:val="2"/>
          </w:tcPr>
          <w:p>
            <w:pPr>
              <w:spacing w:after="0" w:line="176" w:lineRule="exact"/>
              <w:rPr>
                <w:sz w:val="20"/>
                <w:szCs w:val="20"/>
                <w:color w:val="auto"/>
              </w:rPr>
            </w:pPr>
            <w:r>
              <w:rPr>
                <w:rFonts w:ascii="Arial" w:cs="Arial" w:eastAsia="Arial" w:hAnsi="Arial"/>
                <w:sz w:val="18"/>
                <w:szCs w:val="18"/>
                <w:color w:val="auto"/>
              </w:rPr>
              <w:t>March 31, 2023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45,415,297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7,198,396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26,887,041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79,500,734</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1,510,028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83,836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(1,717,563)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(loss) before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3,683,735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1,784,592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(3,883,439)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1,584,888</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1,308,954,075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87,354,333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152,745,312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(111,225,073)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1,437,828,647</w:t>
            </w:r>
          </w:p>
        </w:tc>
        <w:tc>
          <w:tcPr>
            <w:tcW w:w="100" w:type="dxa"/>
            <w:vAlign w:val="bottom"/>
            <w:shd w:val="clear" w:color="auto" w:fill="CCEEFF"/>
          </w:tcPr>
          <w:p>
            <w:pPr>
              <w:spacing w:after="0"/>
              <w:rPr>
                <w:sz w:val="18"/>
                <w:szCs w:val="18"/>
                <w:color w:val="auto"/>
              </w:rPr>
            </w:pPr>
          </w:p>
        </w:tc>
      </w:tr>
      <w:tr>
        <w:trPr>
          <w:trHeight w:val="229"/>
        </w:trPr>
        <w:tc>
          <w:tcPr>
            <w:tcW w:w="3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2,765,570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2,488,213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5,253,783</w:t>
            </w:r>
          </w:p>
        </w:tc>
        <w:tc>
          <w:tcPr>
            <w:tcW w:w="100" w:type="dxa"/>
            <w:vAlign w:val="bottom"/>
          </w:tcPr>
          <w:p>
            <w:pPr>
              <w:spacing w:after="0"/>
              <w:rPr>
                <w:sz w:val="19"/>
                <w:szCs w:val="19"/>
                <w:color w:val="auto"/>
              </w:rPr>
            </w:pPr>
          </w:p>
        </w:tc>
      </w:tr>
      <w:tr>
        <w:trPr>
          <w:trHeight w:val="263"/>
        </w:trPr>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1,311,719,645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89,842,546</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152,745,312</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(111,225,073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1,443,082,430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197"/>
        </w:trPr>
        <w:tc>
          <w:tcPr>
            <w:tcW w:w="1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Three Months Ended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740" w:type="dxa"/>
            <w:vAlign w:val="bottom"/>
            <w:gridSpan w:val="2"/>
          </w:tcPr>
          <w:p>
            <w:pPr>
              <w:spacing w:after="0" w:line="176" w:lineRule="exact"/>
              <w:rPr>
                <w:sz w:val="20"/>
                <w:szCs w:val="20"/>
                <w:color w:val="auto"/>
              </w:rPr>
            </w:pPr>
            <w:r>
              <w:rPr>
                <w:rFonts w:ascii="Arial" w:cs="Arial" w:eastAsia="Arial" w:hAnsi="Arial"/>
                <w:sz w:val="18"/>
                <w:szCs w:val="18"/>
                <w:color w:val="auto"/>
              </w:rPr>
              <w:t>March 31, 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41,501,809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7,463,194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53,460,904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102,425,907</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1,695,779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182,589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(1,953,077)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816,485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2,020,317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4,443,516</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1,241,160,139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77,002,286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295,671,662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(99,284,078)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1,514,550,009</w:t>
            </w:r>
          </w:p>
        </w:tc>
        <w:tc>
          <w:tcPr>
            <w:tcW w:w="100" w:type="dxa"/>
            <w:vAlign w:val="bottom"/>
            <w:shd w:val="clear" w:color="auto" w:fill="CCEEFF"/>
          </w:tcPr>
          <w:p>
            <w:pPr>
              <w:spacing w:after="0"/>
              <w:rPr>
                <w:sz w:val="18"/>
                <w:szCs w:val="18"/>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2,765,570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2,488,213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5,253,783</w:t>
            </w:r>
          </w:p>
        </w:tc>
        <w:tc>
          <w:tcPr>
            <w:tcW w:w="100" w:type="dxa"/>
            <w:vAlign w:val="bottom"/>
          </w:tcPr>
          <w:p>
            <w:pPr>
              <w:spacing w:after="0"/>
              <w:rPr>
                <w:sz w:val="19"/>
                <w:szCs w:val="19"/>
                <w:color w:val="auto"/>
              </w:rPr>
            </w:pPr>
          </w:p>
        </w:tc>
      </w:tr>
      <w:tr>
        <w:trPr>
          <w:trHeight w:val="263"/>
        </w:trPr>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1,243,925,709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79,490,499</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295,671,662</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(99,284,078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1,519,803,792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7" w:name="page38"/>
    <w:bookmarkEnd w:id="37"/>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financial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can access.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financial liabilities whose values are based on the following:</w:t>
      </w:r>
    </w:p>
    <w:p>
      <w:pPr>
        <w:spacing w:after="0" w:line="23" w:lineRule="exact"/>
        <w:rPr>
          <w:sz w:val="20"/>
          <w:szCs w:val="20"/>
          <w:color w:val="auto"/>
        </w:rPr>
      </w:pPr>
    </w:p>
    <w:p>
      <w:pPr>
        <w:ind w:left="860" w:hanging="204"/>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860" w:hanging="204"/>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or</w:t>
      </w:r>
    </w:p>
    <w:p>
      <w:pPr>
        <w:spacing w:after="0" w:line="9" w:lineRule="exact"/>
        <w:rPr>
          <w:rFonts w:ascii="Arial" w:cs="Arial" w:eastAsia="Arial" w:hAnsi="Arial"/>
          <w:sz w:val="18"/>
          <w:szCs w:val="18"/>
          <w:color w:val="auto"/>
        </w:rPr>
      </w:pPr>
    </w:p>
    <w:p>
      <w:pPr>
        <w:ind w:left="860" w:hanging="204"/>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financial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by the Company in estimating the fair value disclosures related to significant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1 and Level 2 are valued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Fixed Maturity Securities Available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fixed maturity securities are based on quoted market prices, when available. For fixed</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equity securities are based on quoted market prices.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Restricted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 portion of these assets include mutual funds and equity securities and fixed maturity securities that have quoted market prices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Cemetery Perpetual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and fixed maturity securities that have quoted market prices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Call and Put Option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call and put options are based on quoted market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right="7340" w:firstLine="8"/>
        <w:spacing w:after="0" w:line="563" w:lineRule="auto"/>
        <w:tabs>
          <w:tab w:leader="none" w:pos="1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Fair Value of Financial Instruments (Continued) The items shown under Level 3 are valued as follows: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elected the fair value option for loans held for sale. The fair value is based on quoted market prices, when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When a quoted market price is not readily available, the Company uses the market price from its last sale of similar assets. Fair value is often difficult to determine and may contain significant unobservable inputs.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into loan commitments with potential borrowers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sale commitments to sell loans with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Impaired Real Estate Held for Investment</w:t>
      </w:r>
      <w:r>
        <w:rPr>
          <w:rFonts w:ascii="Arial" w:cs="Arial" w:eastAsia="Arial" w:hAnsi="Arial"/>
          <w:sz w:val="18"/>
          <w:szCs w:val="18"/>
          <w:color w:val="auto"/>
        </w:rPr>
        <w:t>: The Company believes that in an orderly market, fair value will approximate the replacement cost of a home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color w:val="auto"/>
        </w:rPr>
        <w:t>: The Company initially recognizes Mortgage Servicing Rights (“MSRs”) at their estimated fair values derived from the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associated with the servicing contracts, where the Company assumes the obligation to service the loan in the sale transaction.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8) Fair Value of Financial Instruments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March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0"/>
              </w:rPr>
              <w:t>Quoted Prices in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color w:val="auto"/>
                <w:w w:val="93"/>
              </w:rPr>
              <w:t>Significant</w:t>
            </w:r>
          </w:p>
        </w:tc>
      </w:t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240" w:type="dxa"/>
            <w:vAlign w:val="bottom"/>
            <w:gridSpan w:val="2"/>
          </w:tcPr>
          <w:p>
            <w:pPr>
              <w:jc w:val="center"/>
              <w:ind w:right="201"/>
              <w:spacing w:after="0"/>
              <w:rPr>
                <w:sz w:val="20"/>
                <w:szCs w:val="20"/>
                <w:color w:val="auto"/>
              </w:rPr>
            </w:pPr>
            <w:r>
              <w:rPr>
                <w:rFonts w:ascii="Arial" w:cs="Arial" w:eastAsia="Arial" w:hAnsi="Arial"/>
                <w:sz w:val="18"/>
                <w:szCs w:val="18"/>
                <w:color w:val="auto"/>
                <w:w w:val="90"/>
              </w:rPr>
              <w:t>Unobservable</w:t>
            </w:r>
          </w:p>
        </w:tc>
      </w:t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color w:val="auto"/>
                <w:w w:val="85"/>
              </w:rPr>
              <w:t>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color w:val="auto"/>
                <w:w w:val="93"/>
              </w:rPr>
              <w:t>Inputs</w:t>
            </w:r>
          </w:p>
        </w:tc>
      </w:tr>
      <w:tr>
        <w:trPr>
          <w:trHeight w:val="230"/>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color w:val="auto"/>
                <w:w w:val="94"/>
              </w:rPr>
              <w:t>(Level 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0"/>
                <w:szCs w:val="20"/>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color w:val="auto"/>
                <w:w w:val="94"/>
              </w:rPr>
              <w:t>(Level 3)</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357,570,527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356,135,008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1,435,519</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12,354,007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12,354,007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Loans held for sale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173,015,404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173,015,404</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1,217,307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1,217,307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Restricted assets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5,660,427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5,660,427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256,422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256,422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3,691,958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3,691,958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6,560,948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6,560,948</w:t>
            </w:r>
          </w:p>
        </w:tc>
        <w:tc>
          <w:tcPr>
            <w:tcW w:w="100" w:type="dxa"/>
            <w:vAlign w:val="bottom"/>
            <w:shd w:val="clear" w:color="auto" w:fill="CCEEFF"/>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assets accounted for at fair value on a recurring basis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560,327,000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21,706,392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357,608,737</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181,011,871</w:t>
            </w:r>
          </w:p>
        </w:tc>
        <w:tc>
          <w:tcPr>
            <w:tcW w:w="100" w:type="dxa"/>
            <w:vAlign w:val="bottom"/>
          </w:tcPr>
          <w:p>
            <w:pPr>
              <w:spacing w:after="0"/>
              <w:rPr>
                <w:sz w:val="19"/>
                <w:szCs w:val="19"/>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5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(3,176,119)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(3,176,119)</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liabilities accounted for at fair value on a recurring basis</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(3,176,119</w:t>
            </w:r>
          </w:p>
        </w:tc>
        <w:tc>
          <w:tcPr>
            <w:tcW w:w="3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(3,176,119</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858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Fixed maturity securities available for sale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Equity securities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8) Fair Value of Financial Instruments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Quoted Prices 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center"/>
              <w:ind w:right="121"/>
              <w:spacing w:after="0"/>
              <w:rPr>
                <w:sz w:val="20"/>
                <w:szCs w:val="20"/>
                <w:color w:val="auto"/>
              </w:rPr>
            </w:pPr>
            <w:r>
              <w:rPr>
                <w:rFonts w:ascii="Arial" w:cs="Arial" w:eastAsia="Arial" w:hAnsi="Arial"/>
                <w:sz w:val="18"/>
                <w:szCs w:val="18"/>
                <w:color w:val="auto"/>
                <w:w w:val="94"/>
              </w:rPr>
              <w:t>Active Markets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color w:val="auto"/>
                <w:w w:val="93"/>
              </w:rPr>
              <w:t>Significant</w:t>
            </w:r>
          </w:p>
        </w:tc>
      </w:t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1"/>
              <w:spacing w:after="0"/>
              <w:rPr>
                <w:sz w:val="20"/>
                <w:szCs w:val="20"/>
                <w:color w:val="auto"/>
              </w:rPr>
            </w:pPr>
            <w:r>
              <w:rPr>
                <w:rFonts w:ascii="Arial" w:cs="Arial" w:eastAsia="Arial" w:hAnsi="Arial"/>
                <w:sz w:val="18"/>
                <w:szCs w:val="18"/>
                <w:color w:val="auto"/>
                <w:w w:val="94"/>
              </w:rPr>
              <w:t>for Identical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240" w:type="dxa"/>
            <w:vAlign w:val="bottom"/>
            <w:gridSpan w:val="2"/>
          </w:tcPr>
          <w:p>
            <w:pPr>
              <w:jc w:val="center"/>
              <w:ind w:right="201"/>
              <w:spacing w:after="0"/>
              <w:rPr>
                <w:sz w:val="20"/>
                <w:szCs w:val="20"/>
                <w:color w:val="auto"/>
              </w:rPr>
            </w:pPr>
            <w:r>
              <w:rPr>
                <w:rFonts w:ascii="Arial" w:cs="Arial" w:eastAsia="Arial" w:hAnsi="Arial"/>
                <w:sz w:val="18"/>
                <w:szCs w:val="18"/>
                <w:color w:val="auto"/>
                <w:w w:val="90"/>
              </w:rPr>
              <w:t>Unobservable</w:t>
            </w:r>
          </w:p>
        </w:tc>
      </w:t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1"/>
              <w:spacing w:after="0"/>
              <w:rPr>
                <w:sz w:val="20"/>
                <w:szCs w:val="20"/>
                <w:color w:val="auto"/>
              </w:rPr>
            </w:pPr>
            <w:r>
              <w:rPr>
                <w:rFonts w:ascii="Arial" w:cs="Arial" w:eastAsia="Arial" w:hAnsi="Arial"/>
                <w:sz w:val="18"/>
                <w:szCs w:val="18"/>
                <w:color w:val="auto"/>
                <w:w w:val="85"/>
              </w:rPr>
              <w:t>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color w:val="auto"/>
                <w:w w:val="93"/>
              </w:rPr>
              <w:t>Inputs</w:t>
            </w:r>
          </w:p>
        </w:tc>
      </w:tr>
      <w:tr>
        <w:trPr>
          <w:trHeight w:val="230"/>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300" w:type="dxa"/>
            <w:vAlign w:val="bottom"/>
            <w:gridSpan w:val="2"/>
          </w:tcPr>
          <w:p>
            <w:pPr>
              <w:jc w:val="center"/>
              <w:ind w:right="241"/>
              <w:spacing w:after="0"/>
              <w:rPr>
                <w:sz w:val="20"/>
                <w:szCs w:val="20"/>
                <w:color w:val="auto"/>
              </w:rPr>
            </w:pPr>
            <w:r>
              <w:rPr>
                <w:rFonts w:ascii="Arial" w:cs="Arial" w:eastAsia="Arial" w:hAnsi="Arial"/>
                <w:sz w:val="18"/>
                <w:szCs w:val="18"/>
                <w:color w:val="auto"/>
                <w:w w:val="94"/>
              </w:rPr>
              <w:t>(Level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0"/>
                <w:szCs w:val="20"/>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color w:val="auto"/>
                <w:w w:val="94"/>
              </w:rPr>
              <w:t>(Level 3)</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345,858,492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344,422,973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1,435,519</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11,682,526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11,682,526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Loans held for sale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141,179,620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141,179,620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1,217,308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1,217,308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Restricted assets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5,348,244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5,348,244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254,731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3,605,162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3,605,162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4,089,856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4,089,856</w:t>
            </w:r>
          </w:p>
        </w:tc>
        <w:tc>
          <w:tcPr>
            <w:tcW w:w="100" w:type="dxa"/>
            <w:vAlign w:val="bottom"/>
            <w:shd w:val="clear" w:color="auto" w:fill="CCEEFF"/>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assets accounted for at fair value on a recurring basis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513,235,939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20,635,932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345,895,012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146,704,995</w:t>
            </w:r>
          </w:p>
        </w:tc>
        <w:tc>
          <w:tcPr>
            <w:tcW w:w="100" w:type="dxa"/>
            <w:vAlign w:val="bottom"/>
          </w:tcPr>
          <w:p>
            <w:pPr>
              <w:spacing w:after="0"/>
              <w:rPr>
                <w:sz w:val="19"/>
                <w:szCs w:val="19"/>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5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(4)</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(29,715)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(29,715)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Derivatives - put options (4)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(13,888)</w:t>
            </w:r>
          </w:p>
        </w:tc>
        <w:tc>
          <w:tcPr>
            <w:tcW w:w="1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(13,888)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(1,382,979)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(1,382,979)</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liabilities accounted for at fair value on a recurring basis</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(1,426,582</w:t>
            </w:r>
          </w:p>
        </w:tc>
        <w:tc>
          <w:tcPr>
            <w:tcW w:w="3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(43,603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(1,382,979</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858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Fixed maturity securities available for sale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Equity securities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8) Fair Value of Financial Instruments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March 31, 2023, the significant unobservable inputs used in the fair value measurements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21"/>
                <w:szCs w:val="21"/>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8"/>
                <w:szCs w:val="18"/>
                <w:color w:val="auto"/>
              </w:rPr>
              <w:t>Range of Inputs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09"/>
        </w:trPr>
        <w:tc>
          <w:tcPr>
            <w:tcW w:w="3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2"/>
              </w:rPr>
              <w:t>Fair Value at</w:t>
            </w: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5"/>
              </w:rPr>
              <w:t>Minimum</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Maximum</w:t>
            </w:r>
          </w:p>
        </w:tc>
        <w:tc>
          <w:tcPr>
            <w:tcW w:w="3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Weighted</w:t>
            </w:r>
          </w:p>
        </w:tc>
      </w:tr>
      <w:tr>
        <w:trPr>
          <w:trHeight w:val="230"/>
        </w:trPr>
        <w:tc>
          <w:tcPr>
            <w:tcW w:w="3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3/31/2023</w:t>
            </w:r>
          </w:p>
        </w:tc>
        <w:tc>
          <w:tcPr>
            <w:tcW w:w="3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2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22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Value</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r>
      <w:tr>
        <w:trPr>
          <w:trHeight w:val="195"/>
        </w:trPr>
        <w:tc>
          <w:tcPr>
            <w:tcW w:w="3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Investor contract pricing</w:t>
            </w: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16"/>
        </w:trPr>
        <w:tc>
          <w:tcPr>
            <w:tcW w:w="3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1"/>
              </w:rPr>
              <w:t>as a percentage of unpaid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$ 173,015,404</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approach</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3,384,829</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approach</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3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Initial-Value</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 bps</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 bps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 bps</w:t>
            </w:r>
          </w:p>
        </w:tc>
      </w:tr>
      <w:tr>
        <w:trPr>
          <w:trHeight w:val="216"/>
        </w:trPr>
        <w:tc>
          <w:tcPr>
            <w:tcW w:w="3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 securities available for</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1,435,519</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Broker quotes</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111.11</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104.97</w:t>
            </w:r>
          </w:p>
        </w:tc>
        <w:tc>
          <w:tcPr>
            <w:tcW w:w="1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December 31, 2022, the significant unobservable inputs used in the fair value measurements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20"/>
                <w:szCs w:val="20"/>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8"/>
                <w:szCs w:val="18"/>
                <w:color w:val="auto"/>
              </w:rPr>
              <w:t>Range of Inputs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3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2"/>
              </w:rPr>
              <w:t>Fair Value at</w:t>
            </w: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5"/>
              </w:rPr>
              <w:t>Minimum</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Maximum</w:t>
            </w:r>
          </w:p>
        </w:tc>
        <w:tc>
          <w:tcPr>
            <w:tcW w:w="3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Weighted</w:t>
            </w:r>
          </w:p>
        </w:tc>
      </w:tr>
      <w:tr>
        <w:trPr>
          <w:trHeight w:val="230"/>
        </w:trPr>
        <w:tc>
          <w:tcPr>
            <w:tcW w:w="31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12/31/2022</w:t>
            </w:r>
          </w:p>
        </w:tc>
        <w:tc>
          <w:tcPr>
            <w:tcW w:w="3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2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22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Value</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r>
      <w:tr>
        <w:trPr>
          <w:trHeight w:val="195"/>
        </w:trPr>
        <w:tc>
          <w:tcPr>
            <w:tcW w:w="314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Investor contract pricing</w:t>
            </w:r>
          </w:p>
        </w:tc>
        <w:tc>
          <w:tcPr>
            <w:tcW w:w="2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3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1"/>
              </w:rPr>
              <w:t>as a percentage of unpaid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$ 141,179,620</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approach</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16"/>
        </w:trPr>
        <w:tc>
          <w:tcPr>
            <w:tcW w:w="3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2,706,877</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approach</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16"/>
        </w:trPr>
        <w:tc>
          <w:tcPr>
            <w:tcW w:w="3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Initial-Value</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 bps</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 bps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 bps</w:t>
            </w:r>
          </w:p>
        </w:tc>
      </w:tr>
      <w:tr>
        <w:trPr>
          <w:trHeight w:val="216"/>
        </w:trPr>
        <w:tc>
          <w:tcPr>
            <w:tcW w:w="3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 securities available for</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1,435,519</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Broker quotes</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111.11</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104.97</w:t>
            </w:r>
          </w:p>
        </w:tc>
        <w:tc>
          <w:tcPr>
            <w:tcW w:w="140" w:type="dxa"/>
            <w:vAlign w:val="bottom"/>
            <w:shd w:val="clear" w:color="auto" w:fill="CCEEFF"/>
          </w:tcPr>
          <w:p>
            <w:pPr>
              <w:spacing w:after="0"/>
              <w:rPr>
                <w:sz w:val="20"/>
                <w:szCs w:val="20"/>
                <w:color w:val="auto"/>
              </w:rPr>
            </w:pPr>
          </w:p>
        </w:tc>
      </w:tr>
      <w:tr>
        <w:trPr>
          <w:trHeight w:val="439"/>
        </w:trPr>
        <w:tc>
          <w:tcPr>
            <w:tcW w:w="3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2" w:name="page43"/>
    <w:bookmarkEnd w:id="42"/>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three month periods ended March 31, 2023:</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Balance -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Originations and purchases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Sales, maturities and paydowns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gains (losses):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Included in earnings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 -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4230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Fixed Maturity</w:t>
            </w:r>
          </w:p>
        </w:tc>
      </w:tr>
      <w:tr>
        <w:trPr>
          <w:trHeight w:val="216"/>
        </w:trPr>
        <w:tc>
          <w:tcPr>
            <w:tcW w:w="160" w:type="dxa"/>
            <w:vAlign w:val="bottom"/>
          </w:tcPr>
          <w:p>
            <w:pPr>
              <w:spacing w:after="0"/>
              <w:rPr>
                <w:sz w:val="18"/>
                <w:szCs w:val="18"/>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color w:val="auto"/>
              </w:rPr>
              <w:t>Net Loan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Securities Available</w:t>
            </w:r>
          </w:p>
        </w:tc>
      </w:tr>
      <w:tr>
        <w:trPr>
          <w:trHeight w:val="230"/>
        </w:trPr>
        <w:tc>
          <w:tcPr>
            <w:tcW w:w="160" w:type="dxa"/>
            <w:vAlign w:val="bottom"/>
          </w:tcPr>
          <w:p>
            <w:pPr>
              <w:spacing w:after="0"/>
              <w:rPr>
                <w:sz w:val="20"/>
                <w:szCs w:val="20"/>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w w:val="97"/>
              </w:rPr>
              <w:t>Commitments</w:t>
            </w:r>
          </w:p>
        </w:tc>
        <w:tc>
          <w:tcPr>
            <w:tcW w:w="100" w:type="dxa"/>
            <w:vAlign w:val="bottom"/>
          </w:tcPr>
          <w:p>
            <w:pPr>
              <w:spacing w:after="0"/>
              <w:rPr>
                <w:sz w:val="20"/>
                <w:szCs w:val="20"/>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8"/>
                <w:szCs w:val="18"/>
                <w:color w:val="auto"/>
                <w:w w:val="91"/>
              </w:rPr>
              <w:t>Loans Held for 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for Sale</w:t>
            </w:r>
          </w:p>
        </w:tc>
      </w:tr>
      <w:tr>
        <w:trPr>
          <w:trHeight w:val="195"/>
        </w:trPr>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2,706,877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3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141,179,620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1,435,519</w:t>
            </w:r>
          </w:p>
        </w:tc>
        <w:tc>
          <w:tcPr>
            <w:tcW w:w="2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531,867,796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(511,909,942)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445"/>
        </w:trPr>
        <w:tc>
          <w:tcPr>
            <w:tcW w:w="160" w:type="dxa"/>
            <w:vAlign w:val="bottom"/>
          </w:tcPr>
          <w:p>
            <w:pPr>
              <w:spacing w:after="0"/>
              <w:rPr>
                <w:sz w:val="24"/>
                <w:szCs w:val="24"/>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677,952(1)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11,877,930(1)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r>
      <w:tr>
        <w:trPr>
          <w:trHeight w:val="45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3,384,829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173,015,404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1,435,519</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-1019810</wp:posOffset>
            </wp:positionV>
            <wp:extent cx="642048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0485"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-745490</wp:posOffset>
            </wp:positionV>
            <wp:extent cx="642048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20485"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-471170</wp:posOffset>
            </wp:positionV>
            <wp:extent cx="6420485"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20485" cy="14541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-179705</wp:posOffset>
            </wp:positionV>
            <wp:extent cx="642048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204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600"/>
          </w:cols>
          <w:pgMar w:left="320" w:top="692" w:right="339" w:bottom="1440" w:gutter="0" w:footer="0" w:header="0"/>
          <w:type w:val="continuous"/>
        </w:sectPr>
      </w:pPr>
    </w:p>
    <w:p>
      <w:pPr>
        <w:spacing w:after="0" w:line="4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three month periods ended March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Fixed Maturity</w:t>
            </w: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3"/>
          </w:tcPr>
          <w:p>
            <w:pPr>
              <w:jc w:val="right"/>
              <w:ind w:right="800"/>
              <w:spacing w:after="0"/>
              <w:rPr>
                <w:sz w:val="20"/>
                <w:szCs w:val="20"/>
                <w:color w:val="auto"/>
              </w:rPr>
            </w:pPr>
            <w:r>
              <w:rPr>
                <w:rFonts w:ascii="Arial" w:cs="Arial" w:eastAsia="Arial" w:hAnsi="Arial"/>
                <w:sz w:val="18"/>
                <w:szCs w:val="18"/>
                <w:color w:val="auto"/>
              </w:rPr>
              <w:t>Net Loan</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rPr>
              <w:t>Securities Available</w:t>
            </w:r>
          </w:p>
        </w:tc>
      </w:tr>
      <w:tr>
        <w:trPr>
          <w:trHeight w:val="230"/>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Commitments</w:t>
            </w:r>
          </w:p>
        </w:tc>
        <w:tc>
          <w:tcPr>
            <w:tcW w:w="1920" w:type="dxa"/>
            <w:vAlign w:val="bottom"/>
            <w:gridSpan w:val="4"/>
          </w:tcPr>
          <w:p>
            <w:pPr>
              <w:ind w:left="4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for Sale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7,015,515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302,776,827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2,023,348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1,039,216,582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(1,132,085,830)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gains (losses):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2,675,371(1)</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24,105,293(1)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961(2)</w:t>
            </w: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(587)</w:t>
            </w:r>
          </w:p>
        </w:tc>
      </w:tr>
      <w:tr>
        <w:trPr>
          <w:trHeight w:val="210"/>
        </w:trPr>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Balance - March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9,690,886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234,012,872</w:t>
            </w:r>
          </w:p>
        </w:tc>
        <w:tc>
          <w:tcPr>
            <w:tcW w:w="20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2,011,772</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43" w:name="page44"/>
    <w:bookmarkEnd w:id="43"/>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didn’t have any financial assets and financial liabilities measured at fair value on a nonrecurring basis at March 31, 2023.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Level 1, 2 and 3 financial assets and financial liabilities measured at fair value on a nonrecurring basis by their classification in the condensed consolidated balance sheet at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Quoted Prices in</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Active Markets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for Identical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3"/>
              </w:rPr>
              <w:t>Significant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Unobservable</w:t>
            </w:r>
          </w:p>
        </w:tc>
      </w:t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Assets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0"/>
              </w:rPr>
              <w:t>Observable Inputs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r>
      <w:tr>
        <w:trPr>
          <w:trHeight w:val="230"/>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(Level 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4"/>
              </w:rPr>
              <w:t>(Level 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Assets accounted for at fair value on a nonrecurring basis</w:t>
            </w: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Impaired mortgage loans held for investment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794,224</w:t>
            </w:r>
          </w:p>
        </w:tc>
        <w:tc>
          <w:tcPr>
            <w:tcW w:w="16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794,224</w:t>
            </w:r>
          </w:p>
        </w:tc>
        <w:tc>
          <w:tcPr>
            <w:tcW w:w="100" w:type="dxa"/>
            <w:vAlign w:val="bottom"/>
          </w:tcPr>
          <w:p>
            <w:pPr>
              <w:spacing w:after="0"/>
              <w:rPr>
                <w:sz w:val="21"/>
                <w:szCs w:val="21"/>
                <w:color w:val="auto"/>
              </w:rPr>
            </w:pPr>
          </w:p>
        </w:tc>
      </w:tr>
      <w:tr>
        <w:trPr>
          <w:trHeight w:val="182"/>
        </w:trPr>
        <w:tc>
          <w:tcPr>
            <w:tcW w:w="4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assets accounted for at fair value on a nonrecurring</w:t>
            </w: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794,224</w:t>
            </w:r>
          </w:p>
        </w:tc>
        <w:tc>
          <w:tcPr>
            <w:tcW w:w="16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794,224</w:t>
            </w:r>
          </w:p>
        </w:tc>
        <w:tc>
          <w:tcPr>
            <w:tcW w:w="100" w:type="dxa"/>
            <w:vAlign w:val="bottom"/>
            <w:shd w:val="clear" w:color="auto" w:fill="CCEEFF"/>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March 31, 2023 and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March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r>
      <w:tr>
        <w:trPr>
          <w:trHeight w:val="216"/>
        </w:trPr>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Estimated Fair</w:t>
            </w:r>
          </w:p>
        </w:tc>
      </w:tr>
      <w:tr>
        <w:trPr>
          <w:trHeight w:val="230"/>
        </w:trPr>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91,417,171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89,949,922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89,949,922</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145,531,682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145,531,682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145,531,682</w:t>
            </w:r>
          </w:p>
        </w:tc>
        <w:tc>
          <w:tcPr>
            <w:tcW w:w="100" w:type="dxa"/>
            <w:vAlign w:val="bottom"/>
          </w:tcPr>
          <w:p>
            <w:pPr>
              <w:spacing w:after="0"/>
              <w:rPr>
                <w:sz w:val="18"/>
                <w:szCs w:val="18"/>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49,597,786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48,049,451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48,049,451</w:t>
            </w:r>
          </w:p>
        </w:tc>
        <w:tc>
          <w:tcPr>
            <w:tcW w:w="100" w:type="dxa"/>
            <w:vAlign w:val="bottom"/>
            <w:shd w:val="clear" w:color="auto" w:fill="CCEEFF"/>
          </w:tcPr>
          <w:p>
            <w:pPr>
              <w:spacing w:after="0"/>
              <w:rPr>
                <w:sz w:val="19"/>
                <w:szCs w:val="19"/>
                <w:color w:val="auto"/>
              </w:rPr>
            </w:pPr>
          </w:p>
        </w:tc>
      </w:tr>
      <w:tr>
        <w:trPr>
          <w:trHeight w:val="20"/>
        </w:trPr>
        <w:tc>
          <w:tcPr>
            <w:tcW w:w="37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Mortgage loans held for investment, net</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286,546,639</w:t>
            </w:r>
          </w:p>
        </w:tc>
        <w:tc>
          <w:tcPr>
            <w:tcW w:w="200" w:type="dxa"/>
            <w:vAlign w:val="bottom"/>
          </w:tcPr>
          <w:p>
            <w:pPr>
              <w:spacing w:after="0"/>
              <w:rPr>
                <w:sz w:val="18"/>
                <w:szCs w:val="18"/>
                <w:color w:val="auto"/>
              </w:rPr>
            </w:pP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283,531,055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283,531,055</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13,012,347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13,012,347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13,012,347</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43,887,930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43,887,930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43,887,930</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2,936,896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2,936,896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2,936,896</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2,709,339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2,709,339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2,709,339</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3,166,133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4,164,686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4,164,686</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(138,391,846)</w:t>
            </w: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(138,391,846)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(138,391,846)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(40,865,405)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(41,529,360)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(41,529,360)</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(106,474,611)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(128,238,451)</w:t>
            </w: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(128,238,451)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4230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3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condensed consolidated balance sheets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condensed 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r>
      <w:tr>
        <w:trPr>
          <w:trHeight w:val="216"/>
        </w:trPr>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Estimated Fair</w:t>
            </w:r>
          </w:p>
        </w:tc>
      </w:tr>
      <w:tr>
        <w:trPr>
          <w:trHeight w:val="230"/>
        </w:trPr>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90,290,776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88,575,293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88,575,293</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172,139,077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172,139,077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172,139,077</w:t>
            </w:r>
          </w:p>
        </w:tc>
        <w:tc>
          <w:tcPr>
            <w:tcW w:w="100" w:type="dxa"/>
            <w:vAlign w:val="bottom"/>
          </w:tcPr>
          <w:p>
            <w:pPr>
              <w:spacing w:after="0"/>
              <w:rPr>
                <w:sz w:val="18"/>
                <w:szCs w:val="18"/>
                <w:color w:val="auto"/>
              </w:rPr>
            </w:pPr>
          </w:p>
        </w:tc>
      </w:tr>
      <w:tr>
        <w:trPr>
          <w:trHeight w:val="243"/>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45,694,074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44,079,537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44,079,537</w:t>
            </w:r>
          </w:p>
        </w:tc>
        <w:tc>
          <w:tcPr>
            <w:tcW w:w="100" w:type="dxa"/>
            <w:vAlign w:val="bottom"/>
            <w:shd w:val="clear" w:color="auto" w:fill="CCEEFF"/>
          </w:tcPr>
          <w:p>
            <w:pPr>
              <w:spacing w:after="0"/>
              <w:rPr>
                <w:sz w:val="21"/>
                <w:szCs w:val="2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color w:val="auto"/>
              </w:rPr>
              <w:t>Mortgage loans held for investment, net</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308,123,927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jc w:val="right"/>
              <w:ind w:right="77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304,793,907</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304,793,907</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13,095,473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13,095,473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13,095,473</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45,332,585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45,332,585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45,332,585</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1,731,469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1,731,469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1,731,469</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1,506,517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1,506,517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1,506,517</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3,039,765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3,927,877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3,927,877</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(161,712,804)</w:t>
            </w:r>
          </w:p>
        </w:tc>
        <w:tc>
          <w:tcPr>
            <w:tcW w:w="108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(161,712,804)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(161,712,804)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(41,146,171)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(42,181,089)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(42,181,089)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(106,637,094)</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(126,078,031)</w:t>
            </w: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(126,078,031)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4230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3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consolidated balance sheets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consolidated balance sheets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these financial instruments are summarized as follows: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Residential Construction – These loans are primarily short in maturity. Accordingly, the estimated fair value is determined to be the carrying value.</w:t>
      </w:r>
    </w:p>
    <w:p>
      <w:pPr>
        <w:spacing w:after="0" w:line="24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Commercial – The estimated fair value is determined by estimating expected future cash flows of payments and discounting them using current interest rates for commercial mortgages.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Policy Loans</w:t>
      </w:r>
      <w:r>
        <w:rPr>
          <w:rFonts w:ascii="Arial" w:cs="Arial" w:eastAsia="Arial" w:hAnsi="Arial"/>
          <w:sz w:val="18"/>
          <w:szCs w:val="18"/>
          <w:color w:val="auto"/>
        </w:rPr>
        <w:t>: The carrying amounts reported in the accompanying condensed consolidated balance sheet for these financial instruments approximate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because they are fully collateralized by the cash surrender value of the underlying insurance policies.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Insurance Assignments, Net</w:t>
      </w:r>
      <w:r>
        <w:rPr>
          <w:rFonts w:ascii="Arial" w:cs="Arial" w:eastAsia="Arial" w:hAnsi="Arial"/>
          <w:sz w:val="18"/>
          <w:szCs w:val="18"/>
          <w:color w:val="auto"/>
        </w:rPr>
        <w:t>: These investments are primarily short in maturity, accordingly, the carrying amounts reported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for these financial instruments approximate their fair values.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00" w:hanging="192"/>
        <w:spacing w:after="0"/>
        <w:tabs>
          <w:tab w:leader="none" w:pos="2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Bank and Other Loans Payable</w:t>
      </w:r>
      <w:r>
        <w:rPr>
          <w:rFonts w:ascii="Arial" w:cs="Arial" w:eastAsia="Arial" w:hAnsi="Arial"/>
          <w:sz w:val="18"/>
          <w:szCs w:val="18"/>
          <w:color w:val="auto"/>
        </w:rPr>
        <w:t>: The carrying amounts reported in the accompanying condensed consolidated balance sheet for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values due to their relatively short-term maturities and variable interest rates.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Policyholder Account Balances and Future Policy Benefits-Annuities</w:t>
      </w:r>
      <w:r>
        <w:rPr>
          <w:rFonts w:ascii="Arial" w:cs="Arial" w:eastAsia="Arial" w:hAnsi="Arial"/>
          <w:sz w:val="16"/>
          <w:szCs w:val="16"/>
          <w:color w:val="auto"/>
        </w:rPr>
        <w:t>: Future policy benefit reserves for interest-sensitive insurance products are computed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66" w:lineRule="exact"/>
        <w:rPr>
          <w:sz w:val="20"/>
          <w:szCs w:val="20"/>
          <w:color w:val="auto"/>
        </w:rPr>
      </w:pPr>
    </w:p>
    <w:p>
      <w:pPr>
        <w:ind w:left="200" w:hanging="192"/>
        <w:spacing w:after="0"/>
        <w:tabs>
          <w:tab w:leader="none" w:pos="2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right="8460" w:firstLine="8"/>
        <w:spacing w:after="0" w:line="563" w:lineRule="auto"/>
        <w:tabs>
          <w:tab w:leader="none" w:pos="19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Derivative Instruments (Continued) Forward Sale Commitments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and Put Options Derivatives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discontinued its use of selling “out of the money” call options on its equity securities and the use of selling put options as a source of revenue in the first quarter of 2023.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 and notional amounts of derivative instruments.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8"/>
              </w:rPr>
              <w:t>Balance Sheet</w:t>
            </w:r>
          </w:p>
        </w:tc>
        <w:tc>
          <w:tcPr>
            <w:tcW w:w="10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91"/>
              </w:rPr>
              <w:t>March 31, 2023</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December 31, 2022</w:t>
            </w: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Notional</w:t>
            </w:r>
          </w:p>
        </w:tc>
        <w:tc>
          <w:tcPr>
            <w:tcW w:w="260" w:type="dxa"/>
            <w:vAlign w:val="bottom"/>
          </w:tcPr>
          <w:p>
            <w:pPr>
              <w:spacing w:after="0"/>
              <w:rPr>
                <w:sz w:val="16"/>
                <w:szCs w:val="16"/>
                <w:color w:val="auto"/>
              </w:rPr>
            </w:pPr>
          </w:p>
        </w:tc>
        <w:tc>
          <w:tcPr>
            <w:tcW w:w="110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8"/>
              </w:rPr>
              <w:t>Asset Fair</w:t>
            </w:r>
          </w:p>
        </w:tc>
        <w:tc>
          <w:tcPr>
            <w:tcW w:w="8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Liability</w:t>
            </w:r>
          </w:p>
        </w:tc>
        <w:tc>
          <w:tcPr>
            <w:tcW w:w="280" w:type="dxa"/>
            <w:vAlign w:val="bottom"/>
          </w:tcPr>
          <w:p>
            <w:pPr>
              <w:spacing w:after="0"/>
              <w:rPr>
                <w:sz w:val="16"/>
                <w:szCs w:val="16"/>
                <w:color w:val="auto"/>
              </w:rPr>
            </w:pPr>
          </w:p>
        </w:tc>
        <w:tc>
          <w:tcPr>
            <w:tcW w:w="10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Notional</w:t>
            </w:r>
          </w:p>
        </w:tc>
        <w:tc>
          <w:tcPr>
            <w:tcW w:w="280" w:type="dxa"/>
            <w:vAlign w:val="bottom"/>
          </w:tcPr>
          <w:p>
            <w:pPr>
              <w:spacing w:after="0"/>
              <w:rPr>
                <w:sz w:val="16"/>
                <w:szCs w:val="16"/>
                <w:color w:val="auto"/>
              </w:rPr>
            </w:pPr>
          </w:p>
        </w:tc>
        <w:tc>
          <w:tcPr>
            <w:tcW w:w="106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w w:val="93"/>
              </w:rPr>
              <w:t>Asset Fair</w:t>
            </w:r>
          </w:p>
        </w:tc>
        <w:tc>
          <w:tcPr>
            <w:tcW w:w="4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Location</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Fair Value</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4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Derivatives not designated as hedging</w:t>
            </w: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13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86"/>
              </w:rPr>
              <w:t>Other assets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and Other</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Loan commitments</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liabilities</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$441,138,434</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$6,560,948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$3,176,119</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$453,371,808</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$4,089,859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$1,382,979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Call options</w:t>
            </w:r>
          </w:p>
        </w:tc>
        <w:tc>
          <w:tcPr>
            <w:tcW w:w="1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Other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Put options</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Other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654,500</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441,138,434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6,560,948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3,176,119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454,894,908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4,089,859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1,426,582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the gains on derivatives. There were no gains or losses reclassified from accumulated other comprehensive income into income or gains or losses recognized in income on derivatives ineffective portion, or any amounts excluded from effective testing.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Net Amount Gain (Loss)</w:t>
            </w:r>
          </w:p>
        </w:tc>
        <w:tc>
          <w:tcPr>
            <w:tcW w:w="224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Three Months Ended March 31</w:t>
            </w:r>
          </w:p>
        </w:tc>
        <w:tc>
          <w:tcPr>
            <w:tcW w:w="2240" w:type="dxa"/>
            <w:vAlign w:val="bottom"/>
          </w:tcPr>
          <w:p>
            <w:pPr>
              <w:spacing w:after="0"/>
              <w:rPr>
                <w:sz w:val="20"/>
                <w:szCs w:val="20"/>
                <w:color w:val="auto"/>
              </w:rPr>
            </w:pPr>
          </w:p>
        </w:tc>
      </w:tr>
      <w:tr>
        <w:trPr>
          <w:trHeight w:val="237"/>
        </w:trPr>
        <w:tc>
          <w:tcPr>
            <w:tcW w:w="36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Derivative</w:t>
            </w:r>
          </w:p>
        </w:tc>
        <w:tc>
          <w:tcPr>
            <w:tcW w:w="18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Classification</w:t>
            </w:r>
          </w:p>
        </w:tc>
        <w:tc>
          <w:tcPr>
            <w:tcW w:w="1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240" w:type="dxa"/>
            <w:vAlign w:val="bottom"/>
          </w:tcPr>
          <w:p>
            <w:pPr>
              <w:spacing w:after="0"/>
              <w:rPr>
                <w:sz w:val="20"/>
                <w:szCs w:val="20"/>
                <w:color w:val="auto"/>
              </w:rPr>
            </w:pPr>
          </w:p>
        </w:tc>
      </w:tr>
      <w:tr>
        <w:trPr>
          <w:trHeight w:val="23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677,952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2,675,371</w:t>
            </w:r>
          </w:p>
        </w:tc>
        <w:tc>
          <w:tcPr>
            <w:tcW w:w="100" w:type="dxa"/>
            <w:vAlign w:val="bottom"/>
            <w:shd w:val="clear" w:color="auto" w:fill="CCEEFF"/>
          </w:tcPr>
          <w:p>
            <w:pPr>
              <w:spacing w:after="0"/>
              <w:rPr>
                <w:sz w:val="20"/>
                <w:szCs w:val="20"/>
                <w:color w:val="auto"/>
              </w:rPr>
            </w:pPr>
          </w:p>
        </w:tc>
        <w:tc>
          <w:tcPr>
            <w:tcW w:w="2240" w:type="dxa"/>
            <w:vAlign w:val="bottom"/>
          </w:tcPr>
          <w:p>
            <w:pPr>
              <w:spacing w:after="0"/>
              <w:rPr>
                <w:sz w:val="20"/>
                <w:szCs w:val="20"/>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7"/>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2"/>
        </w:trPr>
        <w:tc>
          <w:tcPr>
            <w:tcW w:w="3600" w:type="dxa"/>
            <w:vAlign w:val="bottom"/>
            <w:shd w:val="clear" w:color="auto" w:fill="CCEEFF"/>
          </w:tcPr>
          <w:p>
            <w:pPr>
              <w:spacing w:after="0"/>
              <w:rPr>
                <w:sz w:val="17"/>
                <w:szCs w:val="17"/>
                <w:color w:val="auto"/>
              </w:rPr>
            </w:pPr>
          </w:p>
        </w:tc>
        <w:tc>
          <w:tcPr>
            <w:tcW w:w="234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Gains on investments and</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84"/>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Call and put options</w:t>
            </w:r>
          </w:p>
        </w:tc>
        <w:tc>
          <w:tcPr>
            <w:tcW w:w="2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49,963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61,195</w:t>
            </w:r>
          </w:p>
        </w:tc>
        <w:tc>
          <w:tcPr>
            <w:tcW w:w="100" w:type="dxa"/>
            <w:vAlign w:val="bottom"/>
            <w:shd w:val="clear" w:color="auto" w:fill="CCEEFF"/>
          </w:tcPr>
          <w:p>
            <w:pPr>
              <w:spacing w:after="0"/>
              <w:rPr>
                <w:sz w:val="24"/>
                <w:szCs w:val="24"/>
                <w:color w:val="auto"/>
              </w:rPr>
            </w:pPr>
          </w:p>
        </w:tc>
        <w:tc>
          <w:tcPr>
            <w:tcW w:w="2240" w:type="dxa"/>
            <w:vAlign w:val="bottom"/>
          </w:tcPr>
          <w:p>
            <w:pPr>
              <w:spacing w:after="0"/>
              <w:rPr>
                <w:sz w:val="24"/>
                <w:szCs w:val="24"/>
                <w:color w:val="auto"/>
              </w:rPr>
            </w:pPr>
          </w:p>
        </w:tc>
      </w:tr>
      <w:tr>
        <w:trPr>
          <w:trHeight w:val="419"/>
        </w:trPr>
        <w:tc>
          <w:tcPr>
            <w:tcW w:w="360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47" w:name="page48"/>
    <w:bookmarkEnd w:id="47"/>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follows the procedure of reinsuring risks in excess of a specified limit, which ranges from $25,000 to $100,000. The Company is liable for these amounts in the event such reinsurers are unable to pay their portion of the claims. The Company evaluates the financial condition of reinsurers and monitors the concentration of credit risk. The Company has also assumed insurance from other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subsidiary SecurityNational Mortgage, has a $100,000,000 line of credit with Wells Fargo Bank N.A. The agreement charges interest at the 1-Month SOFR rate plus 2.1% and matures on June 2, 2023.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Texas Capital Bank N.A. This agreement with the bank allows SecurityNational Mortgage to borrow up to $100,000,000 for the sole purpose of funding mortgage loans. The agreement charges interest at the 1-Month SOFR rate plus 2% and matures on November 9, 2023.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Comerica Bank. This agreement with the bank allows SecurityNational Mortgage to borrow up to $75,000,000 for the sole purpose of funding mortgage loans. The agreement charges interest at the 1-Month SOFR rate plus 2.50% and matures on May 26,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U.S Bank. This agreement with the bank allows SecurityNational Mortgage to borrow up to $50,000,000 for the sole purpose of funding mortgage loans. The agreement charges interest at 2.10% plus the greater of (i) 0%, and (ii) the one-month forward-looking term rate based on SOFR and matures on June 2,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agreements for warehouse lines include cross default provisions in that a covenant violation under one agreement constitutes a covenant violation under the other agreement. As of March 31, 2023, the Company was not in compliance with the net income covenant on its warehouse line with U.S. Bank and has received or is in the process of receiving waivers from the warehouse banks. In the unlikely event the Company is required to repay the outstanding advances of approximately $8,900,000 on the Texas Capital Bank N.A. warehouse line that has not provided a covenant waiver, the Company has sufficient cash and borrowing capacity on the warehouse lines that have provided covenant waivers to fund its origination activities.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 and Commitments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March 31, 2023, the Company’s commitments were approximately $192,542,000 for these loans, of which $151,740,182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5.25% to 8.50% per annum. Maturities range between six and eighteen months.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defendant in various other legal actions arising from the normal conduct of business. Management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initially records these MSRs at fair value as discussed in Note 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The following table presents the MSR activity.</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As of March 31</w:t>
            </w:r>
          </w:p>
        </w:tc>
        <w:tc>
          <w:tcPr>
            <w:tcW w:w="160" w:type="dxa"/>
            <w:vAlign w:val="bottom"/>
          </w:tcPr>
          <w:p>
            <w:pPr>
              <w:spacing w:after="0"/>
              <w:rPr>
                <w:sz w:val="24"/>
                <w:szCs w:val="24"/>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As of December 31</w:t>
            </w:r>
          </w:p>
        </w:tc>
      </w:tr>
      <w:tr>
        <w:trPr>
          <w:trHeight w:val="230"/>
        </w:trPr>
        <w:tc>
          <w:tcPr>
            <w:tcW w:w="6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7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3,039,765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53,060,455</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MSR additions resulting from loan sales (1)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287,710</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10,243,922</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Amortization (2)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(161,342)</w:t>
            </w:r>
          </w:p>
        </w:tc>
        <w:tc>
          <w:tcPr>
            <w:tcW w:w="16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(9,078,706)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Sale of MSRs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(51,185,906)</w:t>
            </w: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rPr>
              <w:t>Application of valuation allowance to write down MSRs with other than temporary</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6480" w:type="dxa"/>
            <w:vAlign w:val="bottom"/>
          </w:tcPr>
          <w:p>
            <w:pPr>
              <w:spacing w:after="0"/>
              <w:rPr>
                <w:sz w:val="20"/>
                <w:szCs w:val="20"/>
                <w:color w:val="auto"/>
              </w:rPr>
            </w:pPr>
            <w:r>
              <w:rPr>
                <w:rFonts w:ascii="Arial" w:cs="Arial" w:eastAsia="Arial" w:hAnsi="Arial"/>
                <w:sz w:val="18"/>
                <w:szCs w:val="18"/>
                <w:color w:val="auto"/>
              </w:rPr>
              <w:t>impairment</w:t>
            </w: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23"/>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before valuation allowance at end of period</w:t>
            </w:r>
          </w:p>
        </w:tc>
        <w:tc>
          <w:tcPr>
            <w:tcW w:w="5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3,166,133</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3,039,765</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6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impairment of MSRs: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7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rPr>
              <w:t>Application of valuation allowance to write down MSRs with other than temporary</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480" w:type="dxa"/>
            <w:vAlign w:val="bottom"/>
          </w:tcPr>
          <w:p>
            <w:pPr>
              <w:spacing w:after="0"/>
              <w:rPr>
                <w:sz w:val="20"/>
                <w:szCs w:val="20"/>
                <w:color w:val="auto"/>
              </w:rPr>
            </w:pPr>
            <w:r>
              <w:rPr>
                <w:rFonts w:ascii="Arial" w:cs="Arial" w:eastAsia="Arial" w:hAnsi="Arial"/>
                <w:sz w:val="18"/>
                <w:szCs w:val="18"/>
                <w:color w:val="auto"/>
              </w:rPr>
              <w:t>impairment</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7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10"/>
        </w:trPr>
        <w:tc>
          <w:tcPr>
            <w:tcW w:w="6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7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3,166,133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3,039,765</w:t>
            </w:r>
          </w:p>
        </w:tc>
        <w:tc>
          <w:tcPr>
            <w:tcW w:w="100" w:type="dxa"/>
            <w:vAlign w:val="bottom"/>
            <w:shd w:val="clear" w:color="auto" w:fill="CCEEFF"/>
          </w:tcPr>
          <w:p>
            <w:pPr>
              <w:spacing w:after="0"/>
              <w:rPr>
                <w:sz w:val="21"/>
                <w:szCs w:val="2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MSRs at end of period</w:t>
            </w:r>
          </w:p>
        </w:tc>
        <w:tc>
          <w:tcPr>
            <w:tcW w:w="7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4,164,686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3,927,877</w:t>
            </w:r>
          </w:p>
        </w:tc>
        <w:tc>
          <w:tcPr>
            <w:tcW w:w="100" w:type="dxa"/>
            <w:vAlign w:val="bottom"/>
            <w:shd w:val="clear" w:color="auto" w:fill="CCEEFF"/>
          </w:tcPr>
          <w:p>
            <w:pPr>
              <w:spacing w:after="0"/>
              <w:rPr>
                <w:sz w:val="21"/>
                <w:szCs w:val="2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Included in mortgage fee income on the condensed consolidated statements of earnings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Included in other expenses on the condensed consolidated statements of earnings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280" w:hanging="272"/>
        <w:spacing w:after="0"/>
        <w:tabs>
          <w:tab w:leader="none" w:pos="2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summarizes the Company’s estimate of future amortization of its existing MSRs carried at amortized cost. This projection was developed using the assumptions made by management in its March 31, 2023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Estimated MSR</w:t>
            </w:r>
          </w:p>
        </w:tc>
      </w:t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20"/>
                <w:szCs w:val="20"/>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345,340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309,193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277,298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246,874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221,541</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1,765,887</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3,166,133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collected the following contractual servicing fee income and late fee income as reported in other revenues on the condensed consolidated statement of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r>
      <w:tr>
        <w:trPr>
          <w:trHeight w:val="230"/>
        </w:trPr>
        <w:tc>
          <w:tcPr>
            <w:tcW w:w="5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9"/>
                <w:szCs w:val="19"/>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410,400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4,506,260</w:t>
            </w:r>
          </w:p>
        </w:tc>
        <w:tc>
          <w:tcPr>
            <w:tcW w:w="60" w:type="dxa"/>
            <w:vAlign w:val="bottom"/>
            <w:shd w:val="clear" w:color="auto" w:fill="CCEEFF"/>
          </w:tcPr>
          <w:p>
            <w:pPr>
              <w:spacing w:after="0"/>
              <w:rPr>
                <w:sz w:val="18"/>
                <w:szCs w:val="18"/>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Late fees</w:t>
            </w:r>
          </w:p>
        </w:tc>
        <w:tc>
          <w:tcPr>
            <w:tcW w:w="2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49,313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100,038</w:t>
            </w:r>
          </w:p>
        </w:tc>
        <w:tc>
          <w:tcPr>
            <w:tcW w:w="60" w:type="dxa"/>
            <w:vAlign w:val="bottom"/>
          </w:tcPr>
          <w:p>
            <w:pPr>
              <w:spacing w:after="0"/>
              <w:rPr>
                <w:sz w:val="21"/>
                <w:szCs w:val="21"/>
                <w:color w:val="auto"/>
              </w:rPr>
            </w:pPr>
          </w:p>
        </w:tc>
      </w:tr>
      <w:tr>
        <w:trPr>
          <w:trHeight w:val="26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459,713</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4,606,298</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color w:val="auto"/>
                <w:w w:val="94"/>
              </w:rPr>
              <w:t>As of March 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As of December 31</w:t>
            </w:r>
          </w:p>
        </w:tc>
      </w:tr>
      <w:tr>
        <w:trPr>
          <w:trHeight w:val="230"/>
        </w:trPr>
        <w:tc>
          <w:tcPr>
            <w:tcW w:w="3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Servicing UPB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376,394,059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360,023,384</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Prepayment</w:t>
            </w:r>
          </w:p>
        </w:tc>
        <w:tc>
          <w:tcPr>
            <w:tcW w:w="2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Average</w:t>
            </w:r>
          </w:p>
        </w:tc>
        <w:tc>
          <w:tcPr>
            <w:tcW w:w="22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Discount</w:t>
            </w:r>
          </w:p>
        </w:tc>
      </w:tr>
      <w:tr>
        <w:trPr>
          <w:trHeight w:val="230"/>
        </w:trPr>
        <w:tc>
          <w:tcPr>
            <w:tcW w:w="7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Speeds</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Life (Years)</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Rate</w:t>
            </w:r>
          </w:p>
        </w:tc>
        <w:tc>
          <w:tcPr>
            <w:tcW w:w="60" w:type="dxa"/>
            <w:vAlign w:val="bottom"/>
          </w:tcPr>
          <w:p>
            <w:pPr>
              <w:spacing w:after="0"/>
              <w:rPr>
                <w:sz w:val="20"/>
                <w:szCs w:val="20"/>
                <w:color w:val="auto"/>
              </w:rPr>
            </w:pPr>
          </w:p>
        </w:tc>
      </w:tr>
      <w:tr>
        <w:trPr>
          <w:trHeight w:val="209"/>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March 31,</w:t>
            </w:r>
          </w:p>
        </w:tc>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60" w:type="dxa"/>
            <w:vAlign w:val="bottom"/>
            <w:shd w:val="clear" w:color="auto" w:fill="CCEEFF"/>
          </w:tcPr>
          <w:p>
            <w:pPr>
              <w:spacing w:after="0"/>
              <w:rPr>
                <w:sz w:val="18"/>
                <w:szCs w:val="18"/>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89"/>
              </w:rPr>
              <w:t>December</w:t>
            </w:r>
          </w:p>
        </w:tc>
        <w:tc>
          <w:tcPr>
            <w:tcW w:w="3020" w:type="dxa"/>
            <w:vAlign w:val="bottom"/>
          </w:tcPr>
          <w:p>
            <w:pPr>
              <w:ind w:left="40"/>
              <w:spacing w:after="0"/>
              <w:rPr>
                <w:sz w:val="20"/>
                <w:szCs w:val="20"/>
                <w:color w:val="auto"/>
              </w:rPr>
            </w:pPr>
            <w:r>
              <w:rPr>
                <w:rFonts w:ascii="Arial" w:cs="Arial" w:eastAsia="Arial" w:hAnsi="Arial"/>
                <w:sz w:val="18"/>
                <w:szCs w:val="18"/>
                <w:color w:val="auto"/>
              </w:rPr>
              <w:t>31, 2022</w:t>
            </w:r>
          </w:p>
        </w:tc>
        <w:tc>
          <w:tcPr>
            <w:tcW w:w="1180" w:type="dxa"/>
            <w:vAlign w:val="bottom"/>
          </w:tcPr>
          <w:p>
            <w:pPr>
              <w:jc w:val="right"/>
              <w:spacing w:after="0"/>
              <w:rPr>
                <w:sz w:val="20"/>
                <w:szCs w:val="20"/>
                <w:color w:val="auto"/>
              </w:rPr>
            </w:pPr>
            <w:r>
              <w:rPr>
                <w:rFonts w:ascii="Arial" w:cs="Arial" w:eastAsia="Arial" w:hAnsi="Arial"/>
                <w:sz w:val="18"/>
                <w:szCs w:val="18"/>
                <w:color w:val="auto"/>
              </w:rPr>
              <w:t>8.12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31, 2022, the Company sold certain of its MSRs. The MSRs related to mortgage loans previously originated by the Company in aggregate unpaid principal amount of approximately $7.02 billion. As a result of the sale, the book value of the Company’s MSRs decreased $51,185,906 and generated a gain of $34,051,938 included in mortgage fee income on the consolidated statements of earnings. Substantially all of the consideration was received by the Company with the remainder subject to certain holdbacks during transfer of the MSRs. The Company completed the physical transfer of files prior to its deadline. The Company received half of the holdbacks in the first quarter of 2023 and anticipates the release of the remaining holdbacks in the second quarter of 2023.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overall effective tax rate for the three month periods ended March 31, 2023 and 2022 was 21.8% and 27.3%, respectively, which resulted in a provision for income taxes of $344,716 and $1,214,798, respectively. The Company’s effective tax rates differ from the U.S. federal statutory rate of 21% partially due to its provision for state income taxes. The decrease in the effective tax rate when compared to the prior year is partially due to the Company’s provision for state income taxes.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65"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reports revenues from contracts with customers pursuant to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types of future obligations are as follows: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Pre-need Merchandise and Service Revenue</w:t>
      </w:r>
      <w:r>
        <w:rPr>
          <w:rFonts w:ascii="Arial" w:cs="Arial" w:eastAsia="Arial" w:hAnsi="Arial"/>
          <w:sz w:val="17"/>
          <w:szCs w:val="17"/>
          <w:color w:val="auto"/>
        </w:rPr>
        <w:t>: All pre-need merchandise and service revenue is deferred, and the funds are placed in trust until the need</w:t>
      </w:r>
      <w:r>
        <w:rPr>
          <w:rFonts w:ascii="Arial" w:cs="Arial" w:eastAsia="Arial" w:hAnsi="Arial"/>
          <w:sz w:val="17"/>
          <w:szCs w:val="17"/>
          <w:i w:val="1"/>
          <w:iCs w:val="1"/>
          <w:color w:val="auto"/>
        </w:rPr>
        <w:t xml:space="preserve"> </w:t>
      </w:r>
      <w:r>
        <w:rPr>
          <w:rFonts w:ascii="Arial" w:cs="Arial" w:eastAsia="Arial" w:hAnsi="Arial"/>
          <w:sz w:val="17"/>
          <w:szCs w:val="17"/>
          <w:color w:val="auto"/>
        </w:rPr>
        <w:t>arises, the merchandise is received or the service is performed. The trust is then relieved, and the revenue and commissions are recognized.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 merchandise ordered from a manufacturer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markers and bases. When specialty merchandise is ordered, it can take time to manufacture and deliver the product. Revenue is deferred until the at-need merchandise is received.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Deferred Pre-need Land Revenue</w:t>
      </w:r>
      <w:r>
        <w:rPr>
          <w:rFonts w:ascii="Arial" w:cs="Arial" w:eastAsia="Arial" w:hAnsi="Arial"/>
          <w:sz w:val="18"/>
          <w:szCs w:val="18"/>
          <w:color w:val="auto"/>
        </w:rPr>
        <w:t>: Deferred pre-need revenue and corresponding commissions are deferred until 10% of the funds are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through regular monthly payments. Deferred pre-need land revenue is not placed in trust.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13) Revenues from Contracts with Customers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the Company’s receivables, contract assets and contract liabilities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Contract Balances</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Receivables (1)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Contract Asset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Contract Liability</w:t>
            </w:r>
          </w:p>
        </w:tc>
        <w:tc>
          <w:tcPr>
            <w:tcW w:w="100" w:type="dxa"/>
            <w:vAlign w:val="bottom"/>
          </w:tcPr>
          <w:p>
            <w:pPr>
              <w:spacing w:after="0"/>
              <w:rPr>
                <w:sz w:val="19"/>
                <w:szCs w:val="19"/>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Opening (1/1/2023)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5,392,779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16,226,836</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Closing (3/31/2023)</w:t>
            </w:r>
          </w:p>
        </w:tc>
        <w:tc>
          <w:tcPr>
            <w:tcW w:w="200" w:type="dxa"/>
            <w:vAlign w:val="bottom"/>
          </w:tcPr>
          <w:p>
            <w:pPr>
              <w:spacing w:after="0"/>
              <w:rPr>
                <w:sz w:val="21"/>
                <w:szCs w:val="21"/>
                <w:color w:val="auto"/>
              </w:rPr>
            </w:pPr>
          </w:p>
        </w:tc>
        <w:tc>
          <w:tcPr>
            <w:tcW w:w="1700" w:type="dxa"/>
            <w:vAlign w:val="bottom"/>
            <w:gridSpan w:val="2"/>
          </w:tcPr>
          <w:p>
            <w:pPr>
              <w:jc w:val="right"/>
              <w:ind w:right="101"/>
              <w:spacing w:after="0"/>
              <w:rPr>
                <w:sz w:val="20"/>
                <w:szCs w:val="20"/>
                <w:color w:val="auto"/>
              </w:rPr>
            </w:pPr>
            <w:r>
              <w:rPr>
                <w:rFonts w:ascii="Arial" w:cs="Arial" w:eastAsia="Arial" w:hAnsi="Arial"/>
                <w:sz w:val="18"/>
                <w:szCs w:val="18"/>
                <w:color w:val="auto"/>
              </w:rPr>
              <w:t>5,145,833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16,583,024</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(246,946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Contract Balances</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401"/>
              <w:spacing w:after="0"/>
              <w:rPr>
                <w:sz w:val="20"/>
                <w:szCs w:val="20"/>
                <w:color w:val="auto"/>
              </w:rPr>
            </w:pPr>
            <w:r>
              <w:rPr>
                <w:rFonts w:ascii="Arial" w:cs="Arial" w:eastAsia="Arial" w:hAnsi="Arial"/>
                <w:sz w:val="18"/>
                <w:szCs w:val="18"/>
                <w:color w:val="auto"/>
                <w:w w:val="95"/>
              </w:rPr>
              <w:t>Receivables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color w:val="auto"/>
                <w:w w:val="89"/>
              </w:rPr>
              <w:t>Contract Asset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Contract Liability</w:t>
            </w: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(1/1/2022)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5,298,636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Closing (12/31/2022)</w:t>
            </w:r>
          </w:p>
        </w:tc>
        <w:tc>
          <w:tcPr>
            <w:tcW w:w="200" w:type="dxa"/>
            <w:vAlign w:val="bottom"/>
          </w:tcPr>
          <w:p>
            <w:pPr>
              <w:spacing w:after="0"/>
              <w:rPr>
                <w:sz w:val="19"/>
                <w:szCs w:val="19"/>
                <w:color w:val="auto"/>
              </w:rPr>
            </w:pPr>
          </w:p>
        </w:tc>
        <w:tc>
          <w:tcPr>
            <w:tcW w:w="1700" w:type="dxa"/>
            <w:vAlign w:val="bottom"/>
            <w:gridSpan w:val="2"/>
          </w:tcPr>
          <w:p>
            <w:pPr>
              <w:jc w:val="right"/>
              <w:ind w:right="101"/>
              <w:spacing w:after="0"/>
              <w:rPr>
                <w:sz w:val="20"/>
                <w:szCs w:val="20"/>
                <w:color w:val="auto"/>
              </w:rPr>
            </w:pPr>
            <w:r>
              <w:rPr>
                <w:rFonts w:ascii="Arial" w:cs="Arial" w:eastAsia="Arial" w:hAnsi="Arial"/>
                <w:sz w:val="18"/>
                <w:szCs w:val="18"/>
                <w:color w:val="auto"/>
              </w:rPr>
              <w:t>5,392,779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16,226,836</w:t>
            </w:r>
          </w:p>
        </w:tc>
      </w:tr>
      <w:tr>
        <w:trPr>
          <w:trHeight w:val="20"/>
        </w:trPr>
        <w:tc>
          <w:tcPr>
            <w:tcW w:w="4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2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94,143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1,718,814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  Included in Receivables, net on the condensed consolidated balance sheets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revenue recognized and included in the opening contract liability balance for the three month periods ended March 31, 2023 and 2022 was $1,119,898 and $1,064,104,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420"/>
              <w:spacing w:after="0"/>
              <w:rPr>
                <w:sz w:val="20"/>
                <w:szCs w:val="20"/>
                <w:color w:val="auto"/>
              </w:rPr>
            </w:pPr>
            <w:r>
              <w:rPr>
                <w:rFonts w:ascii="Arial" w:cs="Arial" w:eastAsia="Arial" w:hAnsi="Arial"/>
                <w:sz w:val="18"/>
                <w:szCs w:val="18"/>
                <w:color w:val="auto"/>
              </w:rPr>
              <w:t>Three Months Ended</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Major goods/service lines</w:t>
            </w:r>
          </w:p>
        </w:tc>
        <w:tc>
          <w:tcPr>
            <w:tcW w:w="2160" w:type="dxa"/>
            <w:vAlign w:val="bottom"/>
            <w:tcBorders>
              <w:bottom w:val="single" w:sz="8" w:color="CCEEFF"/>
            </w:tcBorders>
            <w:gridSpan w:val="2"/>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At-need</w:t>
            </w:r>
          </w:p>
        </w:tc>
        <w:tc>
          <w:tcPr>
            <w:tcW w:w="21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5,154,036</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5,866,878</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Pre-need</w:t>
            </w:r>
          </w:p>
        </w:tc>
        <w:tc>
          <w:tcPr>
            <w:tcW w:w="1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1,317,393</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1,338,843</w:t>
            </w:r>
          </w:p>
        </w:tc>
        <w:tc>
          <w:tcPr>
            <w:tcW w:w="100" w:type="dxa"/>
            <w:vAlign w:val="bottom"/>
            <w:shd w:val="clear" w:color="auto" w:fill="CCEEFF"/>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6,471,429</w:t>
            </w:r>
          </w:p>
        </w:tc>
        <w:tc>
          <w:tcPr>
            <w:tcW w:w="2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7,205,721</w:t>
            </w:r>
          </w:p>
        </w:tc>
        <w:tc>
          <w:tcPr>
            <w:tcW w:w="100" w:type="dxa"/>
            <w:vAlign w:val="bottom"/>
            <w:tcBorders>
              <w:bottom w:val="single" w:sz="8" w:color="CCEEFF"/>
            </w:tcBorders>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Timing of Revenue Recognition</w:t>
            </w: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21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4,029,666</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4,180,545</w:t>
            </w:r>
          </w:p>
        </w:tc>
        <w:tc>
          <w:tcPr>
            <w:tcW w:w="10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Services transferred at a point in time</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2,441,763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3,025,176</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6,471,429</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7,205,721</w:t>
            </w:r>
          </w:p>
        </w:tc>
        <w:tc>
          <w:tcPr>
            <w:tcW w:w="100" w:type="dxa"/>
            <w:vAlign w:val="bottom"/>
            <w:shd w:val="clear" w:color="auto" w:fill="CCEEFF"/>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51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53" w:name="page54"/>
    <w:bookmarkEnd w:id="53"/>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13) Revenues from Contracts with Customers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revenues from cemetery and mortuary contracts to Note 7 – Business Segment Information for the Cemetery/Mortuary Segment for the periods presented:</w:t>
      </w:r>
    </w:p>
    <w:p>
      <w:pPr>
        <w:spacing w:after="0" w:line="170" w:lineRule="exact"/>
        <w:rPr>
          <w:sz w:val="20"/>
          <w:szCs w:val="20"/>
          <w:color w:val="auto"/>
        </w:rPr>
      </w:pPr>
    </w:p>
    <w:p>
      <w:pPr>
        <w:jc w:val="center"/>
        <w:ind w:left="358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358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5715</wp:posOffset>
            </wp:positionV>
            <wp:extent cx="18859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6,471,429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7,205,721</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Gains (losses) on investments and other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53,931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(254,525)</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601,491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496,459</w:t>
            </w:r>
          </w:p>
        </w:tc>
        <w:tc>
          <w:tcPr>
            <w:tcW w:w="100" w:type="dxa"/>
            <w:vAlign w:val="bottom"/>
            <w:shd w:val="clear" w:color="auto" w:fill="CCEEFF"/>
          </w:tcPr>
          <w:p>
            <w:pPr>
              <w:spacing w:after="0"/>
              <w:rPr>
                <w:sz w:val="18"/>
                <w:szCs w:val="18"/>
                <w:color w:val="auto"/>
              </w:rPr>
            </w:pPr>
          </w:p>
        </w:tc>
      </w:tr>
      <w:tr>
        <w:trPr>
          <w:trHeight w:val="229"/>
        </w:trPr>
        <w:tc>
          <w:tcPr>
            <w:tcW w:w="5220" w:type="dxa"/>
            <w:vAlign w:val="bottom"/>
            <w:gridSpan w:val="3"/>
          </w:tcPr>
          <w:p>
            <w:pPr>
              <w:spacing w:after="0"/>
              <w:rPr>
                <w:sz w:val="20"/>
                <w:szCs w:val="20"/>
                <w:color w:val="auto"/>
              </w:rPr>
            </w:pPr>
            <w:r>
              <w:rPr>
                <w:rFonts w:ascii="Arial" w:cs="Arial" w:eastAsia="Arial" w:hAnsi="Arial"/>
                <w:sz w:val="18"/>
                <w:szCs w:val="18"/>
                <w:color w:val="auto"/>
              </w:rPr>
              <w:t>Other revenues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71,545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15,539</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7,198,396</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7,463,194</w:t>
            </w:r>
          </w:p>
        </w:tc>
        <w:tc>
          <w:tcPr>
            <w:tcW w:w="100" w:type="dxa"/>
            <w:vAlign w:val="bottom"/>
            <w:shd w:val="clear" w:color="auto" w:fill="CCEEFF"/>
          </w:tcPr>
          <w:p>
            <w:pPr>
              <w:spacing w:after="0"/>
              <w:rPr>
                <w:sz w:val="22"/>
                <w:szCs w:val="22"/>
                <w:color w:val="auto"/>
              </w:rPr>
            </w:pPr>
          </w:p>
        </w:tc>
      </w:tr>
      <w:tr>
        <w:trPr>
          <w:trHeight w:val="372"/>
        </w:trPr>
        <w:tc>
          <w:tcPr>
            <w:tcW w:w="52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14) Receivables</w:t>
            </w:r>
          </w:p>
        </w:tc>
        <w:tc>
          <w:tcPr>
            <w:tcW w:w="7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220" w:type="dxa"/>
            <w:vAlign w:val="bottom"/>
            <w:gridSpan w:val="3"/>
          </w:tcPr>
          <w:p>
            <w:pPr>
              <w:spacing w:after="0"/>
              <w:rPr>
                <w:sz w:val="20"/>
                <w:szCs w:val="20"/>
                <w:color w:val="auto"/>
              </w:rPr>
            </w:pPr>
            <w:r>
              <w:rPr>
                <w:rFonts w:ascii="Arial" w:cs="Arial" w:eastAsia="Arial" w:hAnsi="Arial"/>
                <w:sz w:val="18"/>
                <w:szCs w:val="18"/>
                <w:color w:val="auto"/>
              </w:rPr>
              <w:t>Receivables consist of the following:</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4"/>
          </w:tcPr>
          <w:p>
            <w:pPr>
              <w:jc w:val="right"/>
              <w:ind w:right="220"/>
              <w:spacing w:after="0"/>
              <w:rPr>
                <w:sz w:val="20"/>
                <w:szCs w:val="20"/>
                <w:color w:val="auto"/>
              </w:rPr>
            </w:pPr>
            <w:r>
              <w:rPr>
                <w:rFonts w:ascii="Arial" w:cs="Arial" w:eastAsia="Arial" w:hAnsi="Arial"/>
                <w:sz w:val="18"/>
                <w:szCs w:val="18"/>
                <w:color w:val="auto"/>
                <w:w w:val="91"/>
              </w:rPr>
              <w:t>As of December 31,</w:t>
            </w:r>
          </w:p>
        </w:tc>
      </w:tr>
      <w:tr>
        <w:trPr>
          <w:trHeight w:val="230"/>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96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As of March 31, 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09"/>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Contracts with customers</w:t>
            </w: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5,145,833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5,392,779</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Receivables from sales agents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2,254,183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2,209,185</w:t>
            </w:r>
          </w:p>
        </w:tc>
        <w:tc>
          <w:tcPr>
            <w:tcW w:w="100" w:type="dxa"/>
            <w:vAlign w:val="bottom"/>
          </w:tcPr>
          <w:p>
            <w:pPr>
              <w:spacing w:after="0"/>
              <w:rPr>
                <w:sz w:val="18"/>
                <w:szCs w:val="18"/>
                <w:color w:val="auto"/>
              </w:rPr>
            </w:pPr>
          </w:p>
        </w:tc>
      </w:tr>
      <w:tr>
        <w:trPr>
          <w:trHeight w:val="243"/>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10,844,499</w:t>
            </w:r>
          </w:p>
        </w:tc>
        <w:tc>
          <w:tcPr>
            <w:tcW w:w="2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23,200,919</w:t>
            </w:r>
          </w:p>
        </w:tc>
        <w:tc>
          <w:tcPr>
            <w:tcW w:w="100" w:type="dxa"/>
            <w:vAlign w:val="bottom"/>
            <w:shd w:val="clear" w:color="auto" w:fill="CCEEFF"/>
          </w:tcPr>
          <w:p>
            <w:pPr>
              <w:spacing w:after="0"/>
              <w:rPr>
                <w:sz w:val="21"/>
                <w:szCs w:val="21"/>
                <w:color w:val="auto"/>
              </w:rPr>
            </w:pPr>
          </w:p>
        </w:tc>
      </w:tr>
      <w:tr>
        <w:trPr>
          <w:trHeight w:val="210"/>
        </w:trPr>
        <w:tc>
          <w:tcPr>
            <w:tcW w:w="5220" w:type="dxa"/>
            <w:vAlign w:val="bottom"/>
            <w:gridSpan w:val="3"/>
          </w:tcPr>
          <w:p>
            <w:pPr>
              <w:spacing w:after="0"/>
              <w:rPr>
                <w:sz w:val="20"/>
                <w:szCs w:val="20"/>
                <w:color w:val="auto"/>
              </w:rPr>
            </w:pPr>
            <w:r>
              <w:rPr>
                <w:rFonts w:ascii="Arial" w:cs="Arial" w:eastAsia="Arial" w:hAnsi="Arial"/>
                <w:sz w:val="18"/>
                <w:szCs w:val="18"/>
                <w:color w:val="auto"/>
              </w:rPr>
              <w:t>Total receivables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18,244,515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30,802,883</w:t>
            </w:r>
          </w:p>
        </w:tc>
        <w:tc>
          <w:tcPr>
            <w:tcW w:w="100" w:type="dxa"/>
            <w:vAlign w:val="bottom"/>
          </w:tcPr>
          <w:p>
            <w:pPr>
              <w:spacing w:after="0"/>
              <w:rPr>
                <w:sz w:val="18"/>
                <w:szCs w:val="18"/>
                <w:color w:val="auto"/>
              </w:rPr>
            </w:pPr>
          </w:p>
        </w:tc>
      </w:tr>
      <w:tr>
        <w:trPr>
          <w:trHeight w:val="229"/>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(1,867,124)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(2,229,791)</w:t>
            </w:r>
          </w:p>
        </w:tc>
      </w:tr>
      <w:tr>
        <w:trPr>
          <w:trHeight w:val="237"/>
        </w:trPr>
        <w:tc>
          <w:tcPr>
            <w:tcW w:w="52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Net receivables</w:t>
            </w:r>
          </w:p>
        </w:tc>
        <w:tc>
          <w:tcPr>
            <w:tcW w:w="7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16,377,391</w:t>
            </w:r>
          </w:p>
        </w:tc>
        <w:tc>
          <w:tcPr>
            <w:tcW w:w="24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28,573,092</w:t>
            </w:r>
          </w:p>
        </w:tc>
        <w:tc>
          <w:tcPr>
            <w:tcW w:w="100" w:type="dxa"/>
            <w:vAlign w:val="bottom"/>
            <w:tcBorders>
              <w:top w:val="single" w:sz="8" w:color="CCEEFF"/>
            </w:tcBorders>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an allowance for credit losses for its receivables in accordance with GAAP. See Note 2 regarding the adoption of ASU 2016-13.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The following table presents a roll forward of the allowance for credit losses.</w:t>
            </w: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7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Allowance</w:t>
            </w:r>
          </w:p>
        </w:tc>
        <w:tc>
          <w:tcPr>
            <w:tcW w:w="340" w:type="dxa"/>
            <w:vAlign w:val="bottom"/>
          </w:tcPr>
          <w:p>
            <w:pPr>
              <w:spacing w:after="0"/>
              <w:rPr>
                <w:sz w:val="24"/>
                <w:szCs w:val="24"/>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 January 1, 2023</w:t>
            </w:r>
          </w:p>
        </w:tc>
        <w:tc>
          <w:tcPr>
            <w:tcW w:w="2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2,229,791</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Change in provision for credit losses</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(318,664)(1)</w:t>
            </w:r>
          </w:p>
        </w:tc>
      </w:tr>
      <w:tr>
        <w:trPr>
          <w:trHeight w:val="243"/>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(44,003)</w:t>
            </w:r>
          </w:p>
        </w:tc>
      </w:tr>
      <w:tr>
        <w:trPr>
          <w:trHeight w:val="263"/>
        </w:trPr>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 - March 31, 2023</w:t>
            </w:r>
          </w:p>
        </w:tc>
        <w:tc>
          <w:tcPr>
            <w:tcW w:w="16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1,867,124</w:t>
            </w:r>
          </w:p>
        </w:tc>
        <w:tc>
          <w:tcPr>
            <w:tcW w:w="340" w:type="dxa"/>
            <w:vAlign w:val="bottom"/>
            <w:tcBorders>
              <w:bottom w:val="single" w:sz="8" w:color="CCEEFF"/>
            </w:tcBorders>
          </w:tcPr>
          <w:p>
            <w:pPr>
              <w:spacing w:after="0"/>
              <w:rPr>
                <w:sz w:val="22"/>
                <w:szCs w:val="22"/>
                <w:color w:val="auto"/>
              </w:rPr>
            </w:pPr>
          </w:p>
        </w:tc>
      </w:tr>
      <w:tr>
        <w:trPr>
          <w:trHeight w:val="197"/>
        </w:trPr>
        <w:tc>
          <w:tcPr>
            <w:tcW w:w="7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Beginning balance - January 1, 2022</w:t>
            </w:r>
          </w:p>
        </w:tc>
        <w:tc>
          <w:tcPr>
            <w:tcW w:w="2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1,800,725</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provision for credit losses</w:t>
            </w: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799,888(1)</w:t>
            </w: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(370,822)</w:t>
            </w:r>
          </w:p>
        </w:tc>
      </w:tr>
      <w:tr>
        <w:trPr>
          <w:trHeight w:val="20"/>
        </w:trPr>
        <w:tc>
          <w:tcPr>
            <w:tcW w:w="7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 December 31, 2022</w:t>
            </w:r>
          </w:p>
        </w:tc>
        <w:tc>
          <w:tcPr>
            <w:tcW w:w="16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2,229,791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22" w:lineRule="exact"/>
        <w:rPr>
          <w:sz w:val="20"/>
          <w:szCs w:val="20"/>
          <w:color w:val="auto"/>
        </w:rPr>
      </w:pPr>
    </w:p>
    <w:p>
      <w:pPr>
        <w:ind w:left="5540" w:right="5080" w:hanging="5532"/>
        <w:spacing w:after="0" w:line="460" w:lineRule="auto"/>
        <w:tabs>
          <w:tab w:leader="none" w:pos="338"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Included in other expenses on the condensed consolidated statements of earnings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Also, management has determined that the Company is the primary beneficiary of these trusts, as it absorbs both a majority of the losses and returns associated with the trusts. The Company has consolidated cemetery endowment care trust investments with a corresponding amount recorded as Cemetery Perpetual Care Obligation in the accompanying consolidated balance sheets</w:t>
      </w:r>
      <w:r>
        <w:rPr>
          <w:rFonts w:ascii="Arial" w:cs="Arial" w:eastAsia="Arial" w:hAnsi="Arial"/>
          <w:sz w:val="18"/>
          <w:szCs w:val="18"/>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cemetery perpetual care investments and obligation as of March 31,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Amortized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Allowance for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Credit Losses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169"/>
        </w:trPr>
        <w:tc>
          <w:tcPr>
            <w:tcW w:w="41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March 31, 2023:</w:t>
            </w: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89,004</w:t>
            </w:r>
          </w:p>
        </w:tc>
        <w:tc>
          <w:tcPr>
            <w:tcW w:w="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172,966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(5,928)</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167,038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3,251,768</w:t>
            </w:r>
          </w:p>
        </w:tc>
        <w:tc>
          <w:tcPr>
            <w:tcW w:w="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602,286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(162,096)</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3,691,958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3,251,768</w:t>
            </w:r>
          </w:p>
        </w:tc>
        <w:tc>
          <w:tcPr>
            <w:tcW w:w="32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602,286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(162,096)</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3,691,958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20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w w:val="96"/>
              </w:rPr>
              <w:t>Mortgage loans held for investment at amortized cost: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2,709,339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spacing w:after="0"/>
              <w:rPr>
                <w:sz w:val="20"/>
                <w:szCs w:val="20"/>
                <w:color w:val="auto"/>
              </w:rPr>
            </w:pPr>
            <w:r>
              <w:rPr>
                <w:rFonts w:ascii="Arial" w:cs="Arial" w:eastAsia="Arial" w:hAnsi="Arial"/>
                <w:sz w:val="18"/>
                <w:szCs w:val="18"/>
                <w:color w:val="auto"/>
              </w:rPr>
              <w:t>Less: Allowance for credit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2,707,143</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 estate held for investment: Residential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55,531</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749,358</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cemetery perpetual care trust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7,460,412</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(5,143,233)</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Trust investments in excess of trust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2,317,179</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center"/>
              <w:ind w:left="10"/>
              <w:spacing w:after="0"/>
              <w:rPr>
                <w:sz w:val="20"/>
                <w:szCs w:val="20"/>
                <w:color w:val="auto"/>
              </w:rPr>
            </w:pPr>
            <w:r>
              <w:rPr>
                <w:rFonts w:ascii="Arial" w:cs="Arial" w:eastAsia="Arial" w:hAnsi="Arial"/>
                <w:sz w:val="18"/>
                <w:szCs w:val="18"/>
                <w:color w:val="auto"/>
                <w:w w:val="89"/>
              </w:rPr>
              <w:t>53</w:t>
            </w: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55" w:name="page56"/>
    <w:bookmarkEnd w:id="55"/>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300" w:hanging="292"/>
        <w:spacing w:after="0"/>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cemetery perpetual care investments and obligation as of December 31,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Gross Unrealized</w:t>
            </w:r>
          </w:p>
        </w:tc>
        <w:tc>
          <w:tcPr>
            <w:tcW w:w="180" w:type="dxa"/>
            <w:vAlign w:val="bottom"/>
          </w:tcPr>
          <w:p>
            <w:pPr>
              <w:spacing w:after="0"/>
              <w:rPr>
                <w:sz w:val="18"/>
                <w:szCs w:val="18"/>
                <w:color w:val="auto"/>
              </w:rPr>
            </w:pPr>
          </w:p>
        </w:tc>
        <w:tc>
          <w:tcPr>
            <w:tcW w:w="1540" w:type="dxa"/>
            <w:vAlign w:val="bottom"/>
            <w:gridSpan w:val="3"/>
          </w:tcPr>
          <w:p>
            <w:pPr>
              <w:jc w:val="right"/>
              <w:ind w:right="161"/>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Amortized Cost</w:t>
            </w:r>
          </w:p>
        </w:tc>
        <w:tc>
          <w:tcPr>
            <w:tcW w:w="28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189"/>
        </w:trPr>
        <w:tc>
          <w:tcPr>
            <w:tcW w:w="14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December 31, 2022:</w:t>
            </w:r>
          </w:p>
        </w:tc>
        <w:tc>
          <w:tcPr>
            <w:tcW w:w="32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20" w:type="dxa"/>
            <w:vAlign w:val="bottom"/>
            <w:gridSpan w:val="3"/>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89,004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174,201</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(8,478)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165,723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263,205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3,195,942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584,383</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(175,163)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3,605,162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3,195,942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584,383</w:t>
            </w:r>
          </w:p>
        </w:tc>
        <w:tc>
          <w:tcPr>
            <w:tcW w:w="44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(175,163)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3,605,162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1,506,517</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4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Real estate held for investment: Residential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(16,178)</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1,925,978</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cemetery perpetual care trust investments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7,276,210</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(5,099,542)</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Trust investments in excess of trust obligations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2,176,668</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Fixed Maturity Securities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summarize unrealized losses on fixed maturities securities that were carried at estimated fair value at March 31, 2023 and at December 31, 2022. The unrealized losses were primarily related to interest rate fluctuations and inflation. The tables set forth unrealized losses by duration with the fair value of the related fixed maturity securities: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Unrealized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Losses for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color w:val="auto"/>
              </w:rPr>
              <w:t>Losses for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Less than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color w:val="auto"/>
              </w:rPr>
              <w:t>More than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Total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Twelve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Twelve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0"/>
              </w:rPr>
              <w:t>Unrealized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Months</w:t>
            </w:r>
          </w:p>
        </w:tc>
        <w:tc>
          <w:tcPr>
            <w:tcW w:w="30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Months</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Loss</w:t>
            </w:r>
          </w:p>
        </w:tc>
        <w:tc>
          <w:tcPr>
            <w:tcW w:w="32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13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At March 31, 2023</w:t>
            </w:r>
          </w:p>
        </w:tc>
        <w:tc>
          <w:tcPr>
            <w:tcW w:w="31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4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54,401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5,493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112,637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5,928</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167,038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54,401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112,637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167,038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3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At December 31, 2022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40" w:type="dxa"/>
            <w:vAlign w:val="bottom"/>
            <w:gridSpan w:val="3"/>
          </w:tcPr>
          <w:p>
            <w:pPr>
              <w:spacing w:after="0" w:line="201" w:lineRule="exact"/>
              <w:rPr>
                <w:sz w:val="20"/>
                <w:szCs w:val="20"/>
                <w:color w:val="auto"/>
              </w:rPr>
            </w:pPr>
            <w:r>
              <w:rPr>
                <w:rFonts w:ascii="Arial" w:cs="Arial" w:eastAsia="Arial" w:hAnsi="Arial"/>
                <w:sz w:val="18"/>
                <w:szCs w:val="18"/>
                <w:color w:val="auto"/>
                <w:w w:val="93"/>
              </w:rPr>
              <w:t>U.S. Treasury securities and obligations of U.S. Government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agencies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59,392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1,845</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94,612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6,633</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71,112</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165,724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Arial" w:cs="Arial" w:eastAsia="Arial" w:hAnsi="Arial"/>
                <w:sz w:val="18"/>
                <w:szCs w:val="18"/>
                <w:color w:val="auto"/>
              </w:rPr>
              <w:t>Total unrealized losses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154,004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71,112</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225,116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w w:val="89"/>
              </w:rPr>
              <w:t>54</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56" w:name="page57"/>
    <w:bookmarkEnd w:id="56"/>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3 securities with fair value of 96.6% of aggregate amortized cost at March 31, 2023. There were 5 securities with fair value of 96.4% of aggregate amortized cost at December 31, 2022. No credit losses have been recognized for the three month periods ended March 31, 2023 and 2022, since the increase in unrealized losses is primarily a result of the recent rise in interest rates and inflation.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amortized cost and estimated fair value of fixed maturity securities available for sale at March 31, 2023, by contractual maturity. Expected maturities may differ from contractual maturities because certain borrowers may have the right to call or prepay obligations with or without call or prepayment penalties.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Estimated Fair</w:t>
            </w:r>
          </w:p>
        </w:tc>
      </w:tr>
      <w:tr>
        <w:trPr>
          <w:trHeight w:val="243"/>
        </w:trPr>
        <w:tc>
          <w:tcPr>
            <w:tcW w:w="4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1 year</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Due in 2-5 years</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76,509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71,788</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Due in 5-10 years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6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Due in more than 10 years</w:t>
            </w: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54,835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54,401</w:t>
            </w:r>
          </w:p>
        </w:tc>
        <w:tc>
          <w:tcPr>
            <w:tcW w:w="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261,969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256,422</w:t>
            </w:r>
          </w:p>
        </w:tc>
        <w:tc>
          <w:tcPr>
            <w:tcW w:w="60" w:type="dxa"/>
            <w:vAlign w:val="bottom"/>
            <w:shd w:val="clear" w:color="auto" w:fill="CCEEFF"/>
          </w:tcPr>
          <w:p>
            <w:pPr>
              <w:spacing w:after="0"/>
              <w:rPr>
                <w:sz w:val="21"/>
                <w:szCs w:val="2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Restricted assets as of March 31,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Allowance for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Estimated Fair</w:t>
            </w:r>
          </w:p>
        </w:tc>
      </w:tr>
      <w:tr>
        <w:trPr>
          <w:trHeight w:val="230"/>
        </w:trPr>
        <w:tc>
          <w:tcPr>
            <w:tcW w:w="1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Gains</w:t>
            </w: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Credit Losses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r>
      <w:tr>
        <w:trPr>
          <w:trHeight w:val="169"/>
        </w:trPr>
        <w:tc>
          <w:tcPr>
            <w:tcW w:w="41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March 31, 2023:</w:t>
            </w: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1,030,141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(12,436)</w:t>
            </w:r>
          </w:p>
        </w:tc>
        <w:tc>
          <w:tcPr>
            <w:tcW w:w="1220" w:type="dxa"/>
            <w:vAlign w:val="bottom"/>
            <w:gridSpan w:val="2"/>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1,018,384</w:t>
            </w:r>
          </w:p>
        </w:tc>
        <w:tc>
          <w:tcPr>
            <w:tcW w:w="100" w:type="dxa"/>
            <w:vAlign w:val="bottom"/>
            <w:shd w:val="clear" w:color="auto" w:fill="CCEEFF"/>
          </w:tcPr>
          <w:p>
            <w:pPr>
              <w:spacing w:after="0"/>
              <w:rPr>
                <w:sz w:val="18"/>
                <w:szCs w:val="18"/>
                <w:color w:val="auto"/>
              </w:rPr>
            </w:pP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200,543</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198,923</w:t>
            </w:r>
          </w:p>
        </w:tc>
        <w:tc>
          <w:tcPr>
            <w:tcW w:w="100" w:type="dxa"/>
            <w:vAlign w:val="bottom"/>
          </w:tcPr>
          <w:p>
            <w:pPr>
              <w:spacing w:after="0"/>
              <w:rPr>
                <w:sz w:val="21"/>
                <w:szCs w:val="21"/>
                <w:color w:val="auto"/>
              </w:rPr>
            </w:pPr>
          </w:p>
        </w:tc>
      </w:tr>
      <w:tr>
        <w:trPr>
          <w:trHeight w:val="263"/>
        </w:trPr>
        <w:tc>
          <w:tcPr>
            <w:tcW w:w="41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1,230,685</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197"/>
        </w:trPr>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5,241,033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692,339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(272,945)</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5,660,427</w:t>
            </w:r>
          </w:p>
        </w:tc>
        <w:tc>
          <w:tcPr>
            <w:tcW w:w="100" w:type="dxa"/>
            <w:vAlign w:val="bottom"/>
            <w:shd w:val="clear" w:color="auto" w:fill="CCEEFF"/>
          </w:tcPr>
          <w:p>
            <w:pPr>
              <w:spacing w:after="0"/>
              <w:rPr>
                <w:sz w:val="21"/>
                <w:szCs w:val="21"/>
                <w:color w:val="auto"/>
              </w:rPr>
            </w:pPr>
          </w:p>
        </w:tc>
      </w:tr>
      <w:tr>
        <w:trPr>
          <w:trHeight w:val="263"/>
        </w:trPr>
        <w:tc>
          <w:tcPr>
            <w:tcW w:w="4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5,241,033</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692,339</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(272,945</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5,660,427</w:t>
            </w:r>
          </w:p>
        </w:tc>
        <w:tc>
          <w:tcPr>
            <w:tcW w:w="100" w:type="dxa"/>
            <w:vAlign w:val="bottom"/>
            <w:tcBorders>
              <w:bottom w:val="single" w:sz="8" w:color="CCEEFF"/>
            </w:tcBorders>
          </w:tcPr>
          <w:p>
            <w:pPr>
              <w:spacing w:after="0"/>
              <w:rPr>
                <w:sz w:val="22"/>
                <w:szCs w:val="22"/>
                <w:color w:val="auto"/>
              </w:rPr>
            </w:pPr>
          </w:p>
        </w:tc>
      </w:tr>
      <w:tr>
        <w:trPr>
          <w:trHeight w:val="197"/>
        </w:trPr>
        <w:tc>
          <w:tcPr>
            <w:tcW w:w="12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w w:val="96"/>
              </w:rPr>
              <w:t>Mortgage loans held for investment at amortized cost: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2,936,896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Less: Allowance for credit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(5,874)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2,931,023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9,228,113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restricted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19,036,870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9" w:lineRule="exact"/>
        <w:rPr>
          <w:sz w:val="20"/>
          <w:szCs w:val="20"/>
          <w:color w:val="auto"/>
        </w:rPr>
      </w:pPr>
    </w:p>
    <w:p>
      <w:pPr>
        <w:ind w:left="5540" w:right="3940" w:hanging="5532"/>
        <w:spacing w:after="0" w:line="527" w:lineRule="auto"/>
        <w:tabs>
          <w:tab w:leader="none" w:pos="33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Including cash and cash equivalents of $8,232,615 for the life insurance and mortgage segments.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right="4200" w:firstLine="8"/>
        <w:spacing w:after="0" w:line="500" w:lineRule="auto"/>
        <w:tabs>
          <w:tab w:leader="none" w:pos="28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r>
        <w:rPr>
          <w:rFonts w:ascii="Arial" w:cs="Arial" w:eastAsia="Arial" w:hAnsi="Arial"/>
          <w:sz w:val="18"/>
          <w:szCs w:val="18"/>
          <w:color w:val="auto"/>
        </w:rPr>
        <w:t xml:space="preserve"> (Continued) Restricted assets as of December 31, 2022,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Gross Unrealized</w:t>
            </w:r>
          </w:p>
        </w:tc>
        <w:tc>
          <w:tcPr>
            <w:tcW w:w="180" w:type="dxa"/>
            <w:vAlign w:val="bottom"/>
          </w:tcPr>
          <w:p>
            <w:pPr>
              <w:spacing w:after="0"/>
              <w:rPr>
                <w:sz w:val="18"/>
                <w:szCs w:val="18"/>
                <w:color w:val="auto"/>
              </w:rPr>
            </w:pPr>
          </w:p>
        </w:tc>
        <w:tc>
          <w:tcPr>
            <w:tcW w:w="1540" w:type="dxa"/>
            <w:vAlign w:val="bottom"/>
            <w:gridSpan w:val="3"/>
          </w:tcPr>
          <w:p>
            <w:pPr>
              <w:jc w:val="right"/>
              <w:ind w:right="161"/>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Estimated Fair</w:t>
            </w:r>
          </w:p>
        </w:tc>
      </w:tr>
      <w:tr>
        <w:trPr>
          <w:trHeight w:val="230"/>
        </w:trPr>
        <w:tc>
          <w:tcPr>
            <w:tcW w:w="1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Amortized Cost</w:t>
            </w:r>
          </w:p>
        </w:tc>
        <w:tc>
          <w:tcPr>
            <w:tcW w:w="28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Value</w:t>
            </w:r>
          </w:p>
        </w:tc>
      </w:tr>
      <w:tr>
        <w:trPr>
          <w:trHeight w:val="189"/>
        </w:trPr>
        <w:tc>
          <w:tcPr>
            <w:tcW w:w="14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December 31, 2022:</w:t>
            </w:r>
          </w:p>
        </w:tc>
        <w:tc>
          <w:tcPr>
            <w:tcW w:w="3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1,033,047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1,018,553</w:t>
            </w:r>
          </w:p>
        </w:tc>
        <w:tc>
          <w:tcPr>
            <w:tcW w:w="100" w:type="dxa"/>
            <w:vAlign w:val="bottom"/>
            <w:shd w:val="clear" w:color="auto" w:fill="CCEEFF"/>
          </w:tcPr>
          <w:p>
            <w:pPr>
              <w:spacing w:after="0"/>
              <w:rPr>
                <w:sz w:val="18"/>
                <w:szCs w:val="18"/>
                <w:color w:val="auto"/>
              </w:rPr>
            </w:pPr>
          </w:p>
        </w:tc>
      </w:tr>
      <w:tr>
        <w:trPr>
          <w:trHeight w:val="243"/>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201,771</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198,755</w:t>
            </w:r>
          </w:p>
        </w:tc>
        <w:tc>
          <w:tcPr>
            <w:tcW w:w="100" w:type="dxa"/>
            <w:vAlign w:val="bottom"/>
          </w:tcPr>
          <w:p>
            <w:pPr>
              <w:spacing w:after="0"/>
              <w:rPr>
                <w:sz w:val="21"/>
                <w:szCs w:val="21"/>
                <w:color w:val="auto"/>
              </w:rPr>
            </w:pPr>
          </w:p>
        </w:tc>
      </w:tr>
      <w:tr>
        <w:trPr>
          <w:trHeight w:val="223"/>
        </w:trPr>
        <w:tc>
          <w:tcPr>
            <w:tcW w:w="472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1,234,818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4,955,360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703,049</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(310,165)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5,348,244</w:t>
            </w:r>
          </w:p>
        </w:tc>
        <w:tc>
          <w:tcPr>
            <w:tcW w:w="100" w:type="dxa"/>
            <w:vAlign w:val="bottom"/>
            <w:shd w:val="clear" w:color="auto" w:fill="CCEEFF"/>
          </w:tcPr>
          <w:p>
            <w:pPr>
              <w:spacing w:after="0"/>
              <w:rPr>
                <w:sz w:val="19"/>
                <w:szCs w:val="19"/>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77"/>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4,955,360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703,049</w:t>
            </w:r>
          </w:p>
        </w:tc>
        <w:tc>
          <w:tcPr>
            <w:tcW w:w="44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(310,165)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5,348,244</w:t>
            </w: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1,731,469</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0"/>
        </w:trPr>
        <w:tc>
          <w:tcPr>
            <w:tcW w:w="148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10,638,034</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restricted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18,935,055</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9" w:lineRule="exact"/>
        <w:rPr>
          <w:sz w:val="20"/>
          <w:szCs w:val="20"/>
          <w:color w:val="auto"/>
        </w:rPr>
      </w:pPr>
    </w:p>
    <w:p>
      <w:pPr>
        <w:ind w:right="3940" w:firstLine="8"/>
        <w:spacing w:after="0" w:line="500" w:lineRule="auto"/>
        <w:tabs>
          <w:tab w:leader="none" w:pos="3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Including cash and cash equivalents of $8,527,620 for the life insurance and mortgage segments. </w:t>
      </w:r>
      <w:r>
        <w:rPr>
          <w:rFonts w:ascii="Arial" w:cs="Arial" w:eastAsia="Arial" w:hAnsi="Arial"/>
          <w:sz w:val="18"/>
          <w:szCs w:val="18"/>
          <w:u w:val="single" w:color="auto"/>
          <w:color w:val="auto"/>
        </w:rPr>
        <w:t>Fixed Maturity Securities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summarize unrealized losses on fixed maturities securities that were carried at estimated fair value at March 31, 2023 and at December 31, 2022. The unrealized losses were primarily related to interest rate fluctuations and inflation. The tables set forth unrealized losses by duration with the fair value of the related fixed maturity securities:</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March 31, 2023</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Obligations of states and political subdivisions Corporate securities including public utilities</w:t>
      </w:r>
    </w:p>
    <w:p>
      <w:pPr>
        <w:spacing w:after="0"/>
        <w:rPr>
          <w:sz w:val="20"/>
          <w:szCs w:val="20"/>
          <w:color w:val="auto"/>
        </w:rPr>
      </w:pPr>
      <w:r>
        <w:rPr>
          <w:rFonts w:ascii="Arial" w:cs="Arial" w:eastAsia="Arial" w:hAnsi="Arial"/>
          <w:sz w:val="18"/>
          <w:szCs w:val="18"/>
          <w:color w:val="auto"/>
        </w:rPr>
        <w:t>Total unrealized losses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Losses for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Losses for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Less than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More than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Twelve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Twelve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Months</w:t>
            </w:r>
          </w:p>
        </w:tc>
        <w:tc>
          <w:tcPr>
            <w:tcW w:w="34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Months</w:t>
            </w:r>
          </w:p>
        </w:tc>
        <w:tc>
          <w:tcPr>
            <w:tcW w:w="34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Loss</w:t>
            </w:r>
          </w:p>
        </w:tc>
        <w:tc>
          <w:tcPr>
            <w:tcW w:w="34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Fair Value</w:t>
            </w:r>
          </w:p>
        </w:tc>
      </w:tr>
      <w:tr>
        <w:trPr>
          <w:trHeight w:val="425"/>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2,670</w:t>
            </w:r>
          </w:p>
        </w:tc>
        <w:tc>
          <w:tcPr>
            <w:tcW w:w="340" w:type="dxa"/>
            <w:vAlign w:val="bottom"/>
          </w:tcPr>
          <w:p>
            <w:pPr>
              <w:spacing w:after="0"/>
              <w:rPr>
                <w:sz w:val="24"/>
                <w:szCs w:val="24"/>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338,301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9,767</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500,955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12,436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839,256</w:t>
            </w:r>
          </w:p>
        </w:tc>
      </w:tr>
      <w:tr>
        <w:trPr>
          <w:trHeight w:val="230"/>
        </w:trPr>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198,923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198,923</w:t>
            </w:r>
          </w:p>
        </w:tc>
      </w:tr>
      <w:tr>
        <w:trPr>
          <w:trHeight w:val="20"/>
        </w:trPr>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4,290</w:t>
            </w:r>
          </w:p>
        </w:tc>
        <w:tc>
          <w:tcPr>
            <w:tcW w:w="340" w:type="dxa"/>
            <w:vAlign w:val="bottom"/>
          </w:tcPr>
          <w:p>
            <w:pPr>
              <w:spacing w:after="0"/>
              <w:rPr>
                <w:sz w:val="20"/>
                <w:szCs w:val="20"/>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537,225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9,767</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500,955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14,056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1,038,179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-616585</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-334010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660"/>
            <w:col w:w="7200"/>
          </w:cols>
          <w:pgMar w:left="320" w:top="66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700" w:type="dxa"/>
            <w:vAlign w:val="bottom"/>
            <w:gridSpan w:val="2"/>
          </w:tcPr>
          <w:p>
            <w:pPr>
              <w:spacing w:after="0" w:line="176" w:lineRule="exact"/>
              <w:rPr>
                <w:sz w:val="20"/>
                <w:szCs w:val="20"/>
                <w:color w:val="auto"/>
              </w:rPr>
            </w:pPr>
            <w:r>
              <w:rPr>
                <w:rFonts w:ascii="Arial" w:cs="Arial" w:eastAsia="Arial" w:hAnsi="Arial"/>
                <w:sz w:val="18"/>
                <w:szCs w:val="18"/>
                <w:color w:val="auto"/>
              </w:rPr>
              <w:t>At December 31, 2022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11,891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760,255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58,072</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818,327</w:t>
            </w:r>
          </w:p>
        </w:tc>
        <w:tc>
          <w:tcPr>
            <w:tcW w:w="100" w:type="dxa"/>
            <w:vAlign w:val="bottom"/>
            <w:shd w:val="clear" w:color="auto" w:fill="CCEEFF"/>
          </w:tcPr>
          <w:p>
            <w:pPr>
              <w:spacing w:after="0"/>
              <w:rPr>
                <w:sz w:val="18"/>
                <w:szCs w:val="18"/>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Corporate securities including public utilities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3,016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198,755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198,755</w:t>
            </w:r>
          </w:p>
        </w:tc>
        <w:tc>
          <w:tcPr>
            <w:tcW w:w="10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14,907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959,010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58,072</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1,017,082</w:t>
            </w:r>
          </w:p>
        </w:tc>
        <w:tc>
          <w:tcPr>
            <w:tcW w:w="100" w:type="dxa"/>
            <w:vAlign w:val="bottom"/>
            <w:shd w:val="clear" w:color="auto" w:fill="CCEEFF"/>
          </w:tcPr>
          <w:p>
            <w:pPr>
              <w:spacing w:after="0"/>
              <w:rPr>
                <w:sz w:val="21"/>
                <w:szCs w:val="2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17 securities with fair value of 98.7% of aggregate amortized cost at March 31, 2023. There were 17 securities with fair value of 98.2% of aggregate amortized cost at December 31, 2022. No credit losses have been recognized for the three month periods ended March 31, 2023 and 2022, since the increase in unrealized losses is primarily a result of the recent rise in interest rates and inflation.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58" w:name="page59"/>
    <w:bookmarkEnd w:id="58"/>
    <w:p>
      <w:pPr>
        <w:jc w:val="center"/>
        <w:ind w:left="340" w:right="270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ind w:left="300" w:hanging="292"/>
        <w:spacing w:after="0"/>
        <w:tabs>
          <w:tab w:leader="none" w:pos="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amortized cost and estimated fair value of fixed maturity securities available for sale at March 31, 2023, by contractual maturity. Expected maturities may differ from contractual maturities because certain borrowers may have the right to call or prepay obligations with or without call or prepayment penalties.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Estimated Fair</w:t>
            </w:r>
          </w:p>
        </w:tc>
      </w:tr>
      <w:tr>
        <w:trPr>
          <w:trHeight w:val="243"/>
        </w:trPr>
        <w:tc>
          <w:tcPr>
            <w:tcW w:w="3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1 year</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Due in 2-5 years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318,067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311,893</w:t>
            </w:r>
          </w:p>
        </w:tc>
        <w:tc>
          <w:tcPr>
            <w:tcW w:w="6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Due in 5-10 years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151,610</w:t>
            </w:r>
          </w:p>
        </w:tc>
        <w:tc>
          <w:tcPr>
            <w:tcW w:w="60" w:type="dxa"/>
            <w:vAlign w:val="bottom"/>
            <w:shd w:val="clear" w:color="auto" w:fill="CCEEFF"/>
          </w:tcPr>
          <w:p>
            <w:pPr>
              <w:spacing w:after="0"/>
              <w:rPr>
                <w:sz w:val="18"/>
                <w:szCs w:val="18"/>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Due in more than 10 years</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759,334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753,804</w:t>
            </w:r>
          </w:p>
        </w:tc>
        <w:tc>
          <w:tcPr>
            <w:tcW w:w="6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1,230,685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1,217,307</w:t>
            </w:r>
          </w:p>
        </w:tc>
        <w:tc>
          <w:tcPr>
            <w:tcW w:w="60" w:type="dxa"/>
            <w:vAlign w:val="bottom"/>
            <w:shd w:val="clear" w:color="auto" w:fill="CCEEFF"/>
          </w:tcPr>
          <w:p>
            <w:pPr>
              <w:spacing w:after="0"/>
              <w:rPr>
                <w:sz w:val="21"/>
                <w:szCs w:val="2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3 and 8 for additional information regarding restricted assets and cemetery perpetual care trust investments.</w:t>
      </w:r>
    </w:p>
    <w:p>
      <w:pPr>
        <w:spacing w:after="0" w:line="225" w:lineRule="exact"/>
        <w:rPr>
          <w:sz w:val="20"/>
          <w:szCs w:val="20"/>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accumulated other comprehensive income (loss):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6"/>
          </w:tcPr>
          <w:p>
            <w:pPr>
              <w:jc w:val="right"/>
              <w:ind w:right="561"/>
              <w:spacing w:after="0"/>
              <w:rPr>
                <w:sz w:val="20"/>
                <w:szCs w:val="20"/>
                <w:color w:val="auto"/>
              </w:rPr>
            </w:pPr>
            <w:r>
              <w:rPr>
                <w:rFonts w:ascii="Arial" w:cs="Arial" w:eastAsia="Arial" w:hAnsi="Arial"/>
                <w:sz w:val="18"/>
                <w:szCs w:val="18"/>
                <w:color w:val="auto"/>
                <w:w w:val="99"/>
              </w:rPr>
              <w:t>Three Months Ended March 31</w:t>
            </w:r>
          </w:p>
        </w:tc>
      </w:tr>
      <w:tr>
        <w:trPr>
          <w:trHeight w:val="223"/>
        </w:trPr>
        <w:tc>
          <w:tcPr>
            <w:tcW w:w="66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r>
      <w:tr>
        <w:trPr>
          <w:trHeight w:val="209"/>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fixed maturity securities available for sale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5,436,929</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(15,372,096)</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Amounts reclassified into net earnings</w:t>
            </w:r>
          </w:p>
        </w:tc>
        <w:tc>
          <w:tcPr>
            <w:tcW w:w="3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(218,900)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45,193</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(losses) before taxes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5,218,029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(15,326,903)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Tax (expense) benefit</w:t>
            </w:r>
          </w:p>
        </w:tc>
        <w:tc>
          <w:tcPr>
            <w:tcW w:w="3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(1,095,787)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3,218,648</w:t>
            </w:r>
          </w:p>
        </w:tc>
      </w:tr>
      <w:tr>
        <w:trPr>
          <w:trHeight w:val="20"/>
        </w:trPr>
        <w:tc>
          <w:tcPr>
            <w:tcW w:w="6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4,122,242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(12,108,255)</w:t>
            </w:r>
          </w:p>
        </w:tc>
      </w:tr>
      <w:tr>
        <w:trPr>
          <w:trHeight w:val="20"/>
        </w:trPr>
        <w:tc>
          <w:tcPr>
            <w:tcW w:w="6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Arial" w:cs="Arial" w:eastAsia="Arial" w:hAnsi="Arial"/>
                <w:sz w:val="18"/>
                <w:szCs w:val="18"/>
                <w:color w:val="auto"/>
              </w:rPr>
              <w:t>Unrealized gains (losses) on restricted assets (1)</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(71,946)</w:t>
            </w: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17,922</w:t>
            </w:r>
          </w:p>
        </w:tc>
      </w:tr>
      <w:tr>
        <w:trPr>
          <w:trHeight w:val="223"/>
        </w:trPr>
        <w:tc>
          <w:tcPr>
            <w:tcW w:w="6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cemetery perpetual care trust investments (1)</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(37,357)</w:t>
            </w:r>
          </w:p>
        </w:tc>
        <w:tc>
          <w:tcPr>
            <w:tcW w:w="100" w:type="dxa"/>
            <w:vAlign w:val="bottom"/>
            <w:shd w:val="clear" w:color="auto" w:fill="CCEEFF"/>
          </w:tcPr>
          <w:p>
            <w:pPr>
              <w:spacing w:after="0"/>
              <w:rPr>
                <w:sz w:val="18"/>
                <w:szCs w:val="18"/>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Tax (expense) benefit</w:t>
            </w:r>
          </w:p>
        </w:tc>
        <w:tc>
          <w:tcPr>
            <w:tcW w:w="3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9,306</w:t>
            </w:r>
          </w:p>
        </w:tc>
      </w:tr>
      <w:tr>
        <w:trPr>
          <w:trHeight w:val="20"/>
        </w:trPr>
        <w:tc>
          <w:tcPr>
            <w:tcW w:w="6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(28,051)</w:t>
            </w:r>
          </w:p>
        </w:tc>
      </w:tr>
      <w:tr>
        <w:trPr>
          <w:trHeight w:val="20"/>
        </w:trPr>
        <w:tc>
          <w:tcPr>
            <w:tcW w:w="6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Other comprehensive income (loss) changes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4,127,558</w:t>
            </w:r>
          </w:p>
        </w:tc>
        <w:tc>
          <w:tcPr>
            <w:tcW w:w="18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(12,190,330)</w:t>
            </w:r>
          </w:p>
        </w:tc>
      </w:tr>
      <w:tr>
        <w:trPr>
          <w:trHeight w:val="20"/>
        </w:trPr>
        <w:tc>
          <w:tcPr>
            <w:tcW w:w="6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  Fixed maturity securities available for sale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center"/>
        <w:ind w:left="460" w:right="258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16) Accumulated Other Comprehensive Income (loss)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accumulated balances of other comprehensive income (loss) as of March 31, 2023:</w:t>
      </w:r>
    </w:p>
    <w:p>
      <w:pPr>
        <w:spacing w:after="0" w:line="22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Ending Balance March</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Unrealized gains (losses) on fixed maturity securities available for sale Unrealized gains (losses) on restricted assets (1)</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Unrealized gains (losses) on cemetery perpetual care trust investments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900" w:type="dxa"/>
            <w:vAlign w:val="bottom"/>
            <w:gridSpan w:val="3"/>
          </w:tcPr>
          <w:p>
            <w:pPr>
              <w:jc w:val="right"/>
              <w:ind w:right="461"/>
              <w:spacing w:after="0"/>
              <w:rPr>
                <w:sz w:val="20"/>
                <w:szCs w:val="20"/>
                <w:color w:val="auto"/>
              </w:rPr>
            </w:pPr>
            <w:r>
              <w:rPr>
                <w:rFonts w:ascii="Arial" w:cs="Arial" w:eastAsia="Arial" w:hAnsi="Arial"/>
                <w:sz w:val="18"/>
                <w:szCs w:val="18"/>
                <w:color w:val="auto"/>
                <w:w w:val="91"/>
              </w:rPr>
              <w:t>Beginning Balance</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1900" w:type="dxa"/>
            <w:vAlign w:val="bottom"/>
            <w:gridSpan w:val="3"/>
          </w:tcPr>
          <w:p>
            <w:pPr>
              <w:jc w:val="right"/>
              <w:ind w:right="441"/>
              <w:spacing w:after="0"/>
              <w:rPr>
                <w:sz w:val="20"/>
                <w:szCs w:val="20"/>
                <w:color w:val="auto"/>
              </w:rPr>
            </w:pPr>
            <w:r>
              <w:rPr>
                <w:rFonts w:ascii="Arial" w:cs="Arial" w:eastAsia="Arial" w:hAnsi="Arial"/>
                <w:sz w:val="18"/>
                <w:szCs w:val="18"/>
                <w:color w:val="auto"/>
                <w:w w:val="88"/>
              </w:rPr>
              <w:t>December 31, 2022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3"/>
              </w:rPr>
              <w:t>Change for the period</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0"/>
                <w:szCs w:val="20"/>
                <w:color w:val="auto"/>
              </w:rPr>
            </w:pPr>
          </w:p>
        </w:tc>
      </w:tr>
      <w:tr>
        <w:trPr>
          <w:trHeight w:val="19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(13,050,767)</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4,122,242</w:t>
            </w:r>
          </w:p>
        </w:tc>
        <w:tc>
          <w:tcPr>
            <w:tcW w:w="340" w:type="dxa"/>
            <w:vAlign w:val="bottom"/>
          </w:tcPr>
          <w:p>
            <w:pPr>
              <w:spacing w:after="0"/>
              <w:rPr>
                <w:sz w:val="16"/>
                <w:szCs w:val="16"/>
                <w:color w:val="auto"/>
              </w:rPr>
            </w:pPr>
          </w:p>
        </w:tc>
        <w:tc>
          <w:tcPr>
            <w:tcW w:w="38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(8,928,525)</w:t>
            </w:r>
          </w:p>
        </w:tc>
        <w:tc>
          <w:tcPr>
            <w:tcW w:w="4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1900" w:type="dxa"/>
            <w:vAlign w:val="bottom"/>
            <w:gridSpan w:val="3"/>
          </w:tcPr>
          <w:p>
            <w:pPr>
              <w:jc w:val="right"/>
              <w:ind w:right="241"/>
              <w:spacing w:after="0"/>
              <w:rPr>
                <w:sz w:val="20"/>
                <w:szCs w:val="20"/>
                <w:color w:val="auto"/>
              </w:rPr>
            </w:pPr>
            <w:r>
              <w:rPr>
                <w:rFonts w:ascii="Arial" w:cs="Arial" w:eastAsia="Arial" w:hAnsi="Arial"/>
                <w:sz w:val="18"/>
                <w:szCs w:val="18"/>
                <w:color w:val="auto"/>
              </w:rPr>
              <w:t>(13,148)</w:t>
            </w: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3,104</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(10,044)</w:t>
            </w:r>
          </w:p>
        </w:tc>
      </w:tr>
      <w:tr>
        <w:trPr>
          <w:trHeight w:val="459"/>
        </w:trPr>
        <w:tc>
          <w:tcPr>
            <w:tcW w:w="120" w:type="dxa"/>
            <w:vAlign w:val="bottom"/>
          </w:tcPr>
          <w:p>
            <w:pPr>
              <w:spacing w:after="0"/>
              <w:rPr>
                <w:sz w:val="24"/>
                <w:szCs w:val="24"/>
                <w:color w:val="auto"/>
              </w:rPr>
            </w:pPr>
          </w:p>
        </w:tc>
        <w:tc>
          <w:tcPr>
            <w:tcW w:w="1900" w:type="dxa"/>
            <w:vAlign w:val="bottom"/>
            <w:gridSpan w:val="3"/>
          </w:tcPr>
          <w:p>
            <w:pPr>
              <w:jc w:val="right"/>
              <w:ind w:right="241"/>
              <w:spacing w:after="0"/>
              <w:rPr>
                <w:sz w:val="20"/>
                <w:szCs w:val="20"/>
                <w:color w:val="auto"/>
              </w:rPr>
            </w:pPr>
            <w:r>
              <w:rPr>
                <w:rFonts w:ascii="Arial" w:cs="Arial" w:eastAsia="Arial" w:hAnsi="Arial"/>
                <w:sz w:val="18"/>
                <w:szCs w:val="18"/>
                <w:color w:val="auto"/>
              </w:rPr>
              <w:t>(6,362)</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(4,150)</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(13,070,277</w:t>
            </w:r>
          </w:p>
        </w:tc>
        <w:tc>
          <w:tcPr>
            <w:tcW w:w="320" w:type="dxa"/>
            <w:vAlign w:val="bottom"/>
          </w:tcPr>
          <w:p>
            <w:pPr>
              <w:jc w:val="right"/>
              <w:ind w:right="241"/>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4,127,558</w:t>
            </w: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(8,942,719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-745490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-471170</wp:posOffset>
            </wp:positionV>
            <wp:extent cx="713232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220"/>
            <w:col w:w="5840"/>
          </w:cols>
          <w:pgMar w:left="320" w:top="665"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40" w:type="dxa"/>
            <w:vAlign w:val="bottom"/>
            <w:shd w:val="clear" w:color="auto" w:fill="000000"/>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(1)  Fixed maturity securities available for sale</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7980" w:type="dxa"/>
            <w:vAlign w:val="bottom"/>
            <w:gridSpan w:val="6"/>
          </w:tcPr>
          <w:p>
            <w:pPr>
              <w:spacing w:after="0"/>
              <w:rPr>
                <w:sz w:val="20"/>
                <w:szCs w:val="20"/>
                <w:color w:val="auto"/>
              </w:rPr>
            </w:pPr>
            <w:r>
              <w:rPr>
                <w:rFonts w:ascii="Arial" w:cs="Arial" w:eastAsia="Arial" w:hAnsi="Arial"/>
                <w:sz w:val="18"/>
                <w:szCs w:val="18"/>
                <w:color w:val="auto"/>
                <w:w w:val="93"/>
              </w:rPr>
              <w:t>The following is the accumulated balances of other comprehensive income (loss) as of December 31, 2022:</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Ending Balance</w:t>
            </w:r>
          </w:p>
        </w:tc>
      </w:tr>
      <w:tr>
        <w:trPr>
          <w:trHeight w:val="216"/>
        </w:trPr>
        <w:tc>
          <w:tcPr>
            <w:tcW w:w="2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color w:val="auto"/>
              </w:rPr>
              <w:t>Beginning Balance</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r>
      <w:tr>
        <w:trPr>
          <w:trHeight w:val="230"/>
        </w:trPr>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188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Change for the period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Unrealized gains (losses) on fixed maturity securities available for sale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18,021,265</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(31,072,032)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(13,050,767)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Unrealized gains (losses) on restricted assets (1)</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40,192</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(53,340)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(13,148)</w:t>
            </w:r>
          </w:p>
        </w:tc>
      </w:tr>
      <w:tr>
        <w:trPr>
          <w:trHeight w:val="202"/>
        </w:trPr>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Unrealized gains (losses) on cemetery perpetual care trust investments</w:t>
            </w:r>
          </w:p>
        </w:tc>
        <w:tc>
          <w:tcPr>
            <w:tcW w:w="12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(15,353)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(6,362)</w:t>
            </w:r>
          </w:p>
        </w:tc>
      </w:tr>
      <w:tr>
        <w:trPr>
          <w:trHeight w:val="20"/>
        </w:trPr>
        <w:tc>
          <w:tcPr>
            <w:tcW w:w="224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4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18,070,448</w:t>
            </w:r>
          </w:p>
        </w:tc>
        <w:tc>
          <w:tcPr>
            <w:tcW w:w="32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(31,140,725)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(13,070,277)</w:t>
            </w: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  Fixed maturity securities available for sale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60" w:name="page61"/>
    <w:bookmarkEnd w:id="6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COVID-19 pandemic, the Company’s life insurance sales force began using virtual and tele sales processes to market products. During the third quarter 2021, the life insurance sales force returned to in person sales, however, it continues to use virtual and tele sales where needed. Currently, approximately 75% of insurance operations office staff work in the office with the flexibility for hybrid-remote or completely remote working arrangements as needed.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insurance operations for three month periods ended March 31, 2023, and 2022.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7"/>
          </w:tcPr>
          <w:p>
            <w:pPr>
              <w:jc w:val="center"/>
              <w:ind w:left="750"/>
              <w:spacing w:after="0"/>
              <w:rPr>
                <w:sz w:val="20"/>
                <w:szCs w:val="20"/>
                <w:color w:val="auto"/>
              </w:rPr>
            </w:pPr>
            <w:r>
              <w:rPr>
                <w:rFonts w:ascii="Arial" w:cs="Arial" w:eastAsia="Arial" w:hAnsi="Arial"/>
                <w:sz w:val="18"/>
                <w:szCs w:val="18"/>
                <w:color w:val="auto"/>
                <w:w w:val="89"/>
              </w:rPr>
              <w:t>Three months ended March 31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color w:val="auto"/>
                <w:w w:val="91"/>
              </w:rPr>
              <w:t>(in thousands of dollars)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3"/>
              </w:rPr>
              <w:t>% Increase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89"/>
              </w:rPr>
              <w:t>2022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w w:val="92"/>
              </w:rPr>
              <w:t>(Decrease)</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Insurance premiums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27,968</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26,342</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fee income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16,755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14,580</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investments and other assets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1,510</w:t>
            </w: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1,696</w:t>
            </w:r>
          </w:p>
        </w:tc>
        <w:tc>
          <w:tcPr>
            <w:tcW w:w="26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3,684</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816</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Intersegment revenues are primarily interest income from the warehouse line for loans held for sale provided to SecurityNational Mortgage Company (“SecurityNational Mortgage”). Profitability for the three month period ended March 31, 2023 increased due to (a) a $2,175,000 increase in net investment income, (b) a $1,626,000 increase in insurance premiums and other considerations, (c) a $739,000 decrease in selling, general and administrative expenses,</w:t>
      </w:r>
    </w:p>
    <w:p>
      <w:pPr>
        <w:spacing w:after="0" w:line="2" w:lineRule="exact"/>
        <w:rPr>
          <w:sz w:val="20"/>
          <w:szCs w:val="20"/>
          <w:color w:val="auto"/>
        </w:rPr>
      </w:pPr>
    </w:p>
    <w:p>
      <w:pPr>
        <w:jc w:val="both"/>
        <w:ind w:firstLine="8"/>
        <w:spacing w:after="0" w:line="273" w:lineRule="auto"/>
        <w:tabs>
          <w:tab w:leader="none" w:pos="256"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$397,000 decrease in death, surrenders and other policy benefits, (e) a $119,000 increase in other revenues, and (f) a $44,000 increase in mortgage fee income, which were partially offset by (i) a $1,283,000 increase in future policy benefits, (ii) a $523,000 increase in amortization of deferred policy acquisition costs, (iii) a $186,000 decrease in intersegment revenue, (iv) a $128,000 increase in interest expense, (v) a $61,000 increase in intersegment interest expense and other expenses, and (vi) a $51,000 decrease in gains on investments and other assets.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Cemetery and Mortuary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COVID-19 pandemic, the cemetery and mortuary’s pre-need sales force began using virtual selling processes to market its products and services including some in home sales as local regulations permitted. During the third quarter 2021, the sales force returned mostly to in home sales, however, it continues to use virtual selling where needed. Currently, the cemetery and mortuary operations office staff works in the office with the flexibility for hybrid-remote or completely remote working arrangements as needed.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cemetery and mortuary operations for the three month periods ended March 31, 2023, and 2022.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40" w:type="dxa"/>
            <w:vAlign w:val="bottom"/>
            <w:gridSpan w:val="8"/>
          </w:tcPr>
          <w:p>
            <w:pPr>
              <w:jc w:val="center"/>
              <w:ind w:left="130"/>
              <w:spacing w:after="0"/>
              <w:rPr>
                <w:sz w:val="20"/>
                <w:szCs w:val="20"/>
                <w:color w:val="auto"/>
              </w:rPr>
            </w:pPr>
            <w:r>
              <w:rPr>
                <w:rFonts w:ascii="Arial" w:cs="Arial" w:eastAsia="Arial" w:hAnsi="Arial"/>
                <w:sz w:val="18"/>
                <w:szCs w:val="18"/>
                <w:color w:val="auto"/>
                <w:w w:val="89"/>
              </w:rPr>
              <w:t>Three months ended March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color w:val="auto"/>
                <w:w w:val="91"/>
              </w:rPr>
              <w:t>(in thousands of dollars)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1"/>
              </w:rPr>
              <w:t>% Increase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89"/>
              </w:rPr>
              <w:t>2022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410"/>
              <w:spacing w:after="0"/>
              <w:rPr>
                <w:sz w:val="20"/>
                <w:szCs w:val="20"/>
                <w:color w:val="auto"/>
              </w:rPr>
            </w:pPr>
            <w:r>
              <w:rPr>
                <w:rFonts w:ascii="Arial" w:cs="Arial" w:eastAsia="Arial" w:hAnsi="Arial"/>
                <w:sz w:val="18"/>
                <w:szCs w:val="18"/>
                <w:color w:val="auto"/>
                <w:w w:val="89"/>
              </w:rPr>
              <w:t>(Decrease)</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Mortuary revenues</w:t>
            </w:r>
          </w:p>
        </w:tc>
        <w:tc>
          <w:tcPr>
            <w:tcW w:w="880" w:type="dxa"/>
            <w:vAlign w:val="bottom"/>
            <w:gridSpan w:val="2"/>
          </w:tcPr>
          <w:p>
            <w:pPr>
              <w:jc w:val="right"/>
              <w:ind w:right="749"/>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3,275</w:t>
            </w:r>
          </w:p>
        </w:tc>
        <w:tc>
          <w:tcPr>
            <w:tcW w:w="20" w:type="dxa"/>
            <w:vAlign w:val="bottom"/>
          </w:tcPr>
          <w:p>
            <w:pPr>
              <w:spacing w:after="0"/>
              <w:rPr>
                <w:sz w:val="18"/>
                <w:szCs w:val="18"/>
                <w:color w:val="auto"/>
              </w:rPr>
            </w:pP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3,766</w:t>
            </w:r>
          </w:p>
        </w:tc>
        <w:tc>
          <w:tcPr>
            <w:tcW w:w="2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Cemetery revenues</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3,196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601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investments and other assets</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26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96"/>
        </w:trPr>
        <w:tc>
          <w:tcPr>
            <w:tcW w:w="42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1,785</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2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Profitability in the three month period ended March 31, 2023 decreased due to (a) a $491,000 decrease in mortuary at-need sales, (b) a $222,000 decrease in cemetery pre-need sales, (c) a $99,000 decrease in intersegment revenues, and (d) a $21,000 decrease in cemetery at-need sales, which were partially offset by (i) a $308,000 increase in gains on investments and other assets primarily attributable to an increase in the fair value of equity securities classified as restricted assets and cemetery perpetual care trust investments, (ii) a $105,000 increase in net investment income, (iii) an $80,000 decrease in selling, general and administrative expenses, (iv) a $56,000 increase in other revenues, (v) a $36,000 decrease in amortization of deferred policy acquisition costs, and (vi) a $13,000 decrease in intersegment interest expense and other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wholly owned subsidiary, SecurityNational Mortgage, is a mortgage lender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spacing w:after="0" w:line="293" w:lineRule="auto"/>
        <w:rPr>
          <w:sz w:val="20"/>
          <w:szCs w:val="20"/>
          <w:color w:val="auto"/>
        </w:rPr>
      </w:pPr>
      <w:r>
        <w:rPr>
          <w:rFonts w:ascii="Arial" w:cs="Arial" w:eastAsia="Arial" w:hAnsi="Arial"/>
          <w:sz w:val="16"/>
          <w:szCs w:val="16"/>
          <w:color w:val="auto"/>
        </w:rPr>
        <w:t>SecurityNational Mortgage receive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6% of its loan origination volume. These mortgage loans are serviced by either SecurityNational Mortgage or an approved third-party sub-servicer. On October 31, 2022, the Company sold certain of its MSRs. The MSRs related to mortgage loans previously originated by the Company in aggregate unpaid principal amount of approximately $7.02 billion. As a result of the sale, the book value of the Company’s MSRs decreased by $51,185,906.</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rates have followed the US Treasury yields up in response to the higher than expected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 periods ended March 31, 2023 and 2022, SecurityNational Mortgage originated 1,702 loans ($531,868,000 total volume) and 3,356 loans ($1,039,217,000 total volume),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the Company’s mortgage operations integrated employee work from home accommodations into its standard operating procedures. A large percentage of fulfillment employees are in office, however, the flexibility remains to accommodate in office or work from home functionality.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mortgage operations for the three month periods ended March 31, 2023, and 2022.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60" w:type="dxa"/>
            <w:vAlign w:val="bottom"/>
            <w:gridSpan w:val="9"/>
          </w:tcPr>
          <w:p>
            <w:pPr>
              <w:jc w:val="center"/>
              <w:ind w:right="410"/>
              <w:spacing w:after="0"/>
              <w:rPr>
                <w:sz w:val="20"/>
                <w:szCs w:val="20"/>
                <w:color w:val="auto"/>
              </w:rPr>
            </w:pPr>
            <w:r>
              <w:rPr>
                <w:rFonts w:ascii="Arial" w:cs="Arial" w:eastAsia="Arial" w:hAnsi="Arial"/>
                <w:sz w:val="18"/>
                <w:szCs w:val="18"/>
                <w:color w:val="auto"/>
                <w:w w:val="88"/>
              </w:rPr>
              <w:t>Three months ended September 30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(in thousands of dollars)</w:t>
            </w: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 Increase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89"/>
              </w:rPr>
              <w:t>2021</w:t>
            </w:r>
          </w:p>
        </w:tc>
        <w:tc>
          <w:tcPr>
            <w:tcW w:w="260" w:type="dxa"/>
            <w:vAlign w:val="bottom"/>
          </w:tcPr>
          <w:p>
            <w:pPr>
              <w:spacing w:after="0"/>
              <w:rPr>
                <w:sz w:val="20"/>
                <w:szCs w:val="20"/>
                <w:color w:val="auto"/>
              </w:rPr>
            </w:pPr>
          </w:p>
        </w:tc>
        <w:tc>
          <w:tcPr>
            <w:tcW w:w="1560" w:type="dxa"/>
            <w:vAlign w:val="bottom"/>
            <w:gridSpan w:val="2"/>
          </w:tcPr>
          <w:p>
            <w:pPr>
              <w:jc w:val="right"/>
              <w:ind w:right="41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Secondary gains from investors</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17,917</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39,603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loan originations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8,813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Change in fair value of loans held for sale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(2,747)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loan commitments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4,680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97"/>
        </w:trPr>
        <w:tc>
          <w:tcPr>
            <w:tcW w:w="42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(3,883</w:t>
            </w:r>
          </w:p>
        </w:tc>
        <w:tc>
          <w:tcPr>
            <w:tcW w:w="1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1,607</w:t>
            </w:r>
          </w:p>
        </w:tc>
        <w:tc>
          <w:tcPr>
            <w:tcW w:w="26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(342</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Included in other revenues is service fee income. Profitability for the three month period ended March 31, 2023 decreased due to (a) a $21,686,000 decrease in secondary gains from investors, (b) a $4,156,000 decrease in other revenues, (c) a $2,258,000 decrease in income from loan originations, (d) a $1,997,000 decrease in the fair value of loan commitments, (e) a $319,000 decrease in gains on investments and other assets, (f) a $137,000 increase in rent and rent related expenses, and (g) a $6,000 increase in depreciation on property and equipment, which were partially offset by (i) a $10,262,000 decrease in commissions, (ii) a $4,875,000 decrease in personnel expenses, (iii) a $4,019,000 decrease in other expenses, (iv) a $3,542,000 increase in the fair value of loans held for sale, (v) a $997,000 decrease in costs related to funding mortgage loans, (v) a $401,000 decrease in interest expense, (vi) a $338,000 decrease in advertising expenses, (vii) a $300,000 increase in net investment income, (viii) a $284,000 decrease in intersegment interest expense and other expenses, and (ix) a $47,000 increase in intersegment revenues.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period ended March 31, 2023, Compared to Three month period ended March 31, 2022</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decreased by $22,925,000, or 22.4%, to $79,501,000 for the three month period ended March 31, 2023, from $102,426,000 for the comparable period in 2022. Contributing to this decrease in total revenues was a $22,355,000 decrease in mortgage fee income, a $3,981,000 decrease in other revenues, a $734,000 decrease in net mortuary and cemetery sales, and a $61,000 decrease in gains on investments and other assets, which were partially offset by a $2,581,000 increase in net investment income and a $1,625,000 increase in insurance premiums and other considerations.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Mortgage fee income decreased by $22,355,000, or 46.2%, to $25,989,000, for the three month period ended March 31, 2023, from $48,345,000 for the comparable period in 2022. This decrease was primarily due to a $21,641,000 decrease in secondary gains from mortgage loans sold to third-party investors into the secondary market, a $1,997,000 decrease in the fair value of loan commitments, and a $2,258,000 decrease in loan fees and interest income net of a decrease in the provision for loan loss reserve, which were partially offset by a $3,541,000 increase in the fair value of loans held for sale.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premiums and other considerations increased by $1,625,000, or 6.2%, to $27,967,000 for the three month period ended March 31, 2023, from $26,342,000 for the comparable period in 2022. This increase was primarily due to an increase of $1,188,000 in first year premiums and an increase of $437,000 in renewal premiums.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investment income increased by $2,581,000, or 17.0%, to $17,775,000 for the three month period ended March 31, 2023, from $15,194,000 for the comparable period in 2022. This increase was primarily attributable to a $1,377,000 increase in fixed maturity securities income, a $713,000 increase in interest on cash and cash equivalents, a $528,000 increase in mortgage loan interest, a $325,000 increase in real estate income, and a $298,000 decrease in investment expenses, which were partially offset by a $629,000 decrease in insurance assignment income and a $106,000 decrease in policy loan income.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decreased by $734,000, or 10.2%, to $6,471,000 for the three month period ended March 31, 2023, from $7,205,000 for the comparable period in 2022. This decrease was primarily due to a $491,000 decrease in mortuary at-need sales and a $222,000 decrease in cemetery at-need sales.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Gains on investments and other assets decreased by $61,000, or 35.4%, to $111,000 for the three month period ended March 31, 2023, from $172,000 for the comparable period in 2022. This decrease in gains on investments and other assets was primarily due to a $402,000 decrease in gains on other assets, a $291,000 decrease in gains on real estate, and a $264,000 decrease in gains on fixed maturity securities, which were partially offset by a $896,000 increase in gains on equity securities mostly attributable to increases in the fair value of these equity securities.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revenues decreased by $3,981,000, or 77.0%, to $1,187,000 for the three month period ended March 31, 2023, from $5,168,000 for the comparable period in 2022. This decrease was primarily attributable to a decrease in servicing fee revenue as a result of the sale of certain mortgage servicing rights in October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benefits and expenses were $77,916,000, or 98.0% of total revenues, for the three month period ended March 31, 2023, as compared to $97,982,000, or 95.7% of total revenues, for the comparable period in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$887,000 or 3.6%, to $25,866,000 for the three month period ended March 31, 2023, from $24,979,000 for the comparable period in 2022. This increase was primarily the result of a $1,283,000 increase in future policy benefits, which was partially offset by a $206,000 decrease in death benefits and a $190,000 decrease in surrender and other policy benefits.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$487,000, or 11.1%, to $4,883,000 for the three month period ended March 31, 2023, from $4,396,000 for the comparable period in 2022. This increase was primarily due to an increase in the average outstanding balance of deferred policy and pre-need acquisition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by $21,168,000, or 32.2%, to $44,527,000 for the three month period ended March 31, 2023, from $65,695,000 for the comparable period in 2022. This decrease was primarily the result of a $10,229,000 decrease in commissions, a $4,912,000 decrease in personnel expenses, a $4,311,000 decrease in other expenses, a $997,000 decrease in costs related to funding mortgage loans, a $809,000 decrease in advertising expense, and a $27,000 decrease in depreciation on property and equipment, which were partially offset by a $117,000 increase in rent and rent related expenses.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by $274,000, or 15.9%, to $1,453,000 for the three month period ended March 31, 2023, from $1,727,000 for the comparable period in 2022. This decrease was primarily due to a decrease of $401,000 in interest expense on mortgage warehouse lines for loans held for sale, which was partially offset by an increase of $127,000 in interest expense on bank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 As of March 31, 2023, the Company was not in compliance with the net income covenant on its warehouse line with U.S. Bank and has received or is in the process of receiving waivers from the warehouse banks. In the unlikely event the Company is required to repay the outstanding advances of approximately $8,900,000 on the Texas Capital Bank N.A. warehouse line that has not provided a covenant waiver, the Company has sufficient cash and borrowing capacity on the warehouse lines that have provided covenant waivers to fund its origination activities.</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 periods ended March 31, 2023 and 2022, the Company’s operations used cash of $16,074,000 and provided cash of $72,509,000, respectively. The decrease in cash provided by operations was due primarily to decreased proceeds from the sale of mortgage loans held for sale.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policies that payout upon a person’s death to cover funeral burial costs. Policyholders generally keep these policies in force and do not surrender them prior to death. Because of the long-term nature of these liabilities, the Company is able to hold to maturity its bonds, real estate, and mortgage loans thus reducing the risk of liquidating these long-term investments as a result of any sudden changes in their fair values.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$357,311,000 (at estimated fair value) and $345,598,000 (at estimated fair value) as of March 31, 2023 and December 31, 2022, respectively. This represented 38.4% and 36.4% of the total investments as of March 31, 2023, and December 31, 2022, respectively. Generally, all bonds owned by the life insurance subsidiaries are rated by the National Association of Insurance Commissioners. Under this rating system, there are six categories used for rating bonds. At March 31, 2023, 1.9% (or $6,679,000) and at December 31, 2022, 2.2% (or $7,833,000) of the Company’s total bond investments were invested in bonds in rating categories three through six, which are considered non-investment grade.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March 31, 2023 and December 31, 2022, the life insurance subsidiaries were in compliance with the regulatory criteria.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total capitalization of stockholders’ equity, bank and other loans payable was $435,425,000 as of March 31, 2023, as compared to $454,499,000 as of December 31, 2022. Stockholders’ equity as a percent of total capitalization was 68.2% and 64.4% as of March 31, 2023, and December 31, 2022, respectively. Bank loans and other loans payable decreased by $23,321,000 as of March 31, 2023, as compared to December 31, 2022, which was partially offset by an increase in stockholders’ equity of $4,247,000 as of March 31, 2023 as compared to December 31, 2022, thus causing the increase in the stockholders’ equity percentage.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in 2022 was 4.3% as compared to a rate of 4.8% for 2021. The 2023 lapse rate to date has been approximately the same as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combined statutory capital and surplus of the Company’s life insurance subsidiaries was $94,133,000 and $94,254,000 as of March 31, 2023, and December 31, 2022, respectively. The life insurance subsidiaries cannot pay a dividend to their parent company without the approval of state insurance regulatory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Environment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2023 and March 12, 2023, Silicon Valley Bank and Signature Bank were placed in receivership with the Federal Deposit Insurance Corporation (“FDIC”). Normal banking activities resumed shortly thereafter. On May 1, 2023, First Republic bank was placed in receivership with the FDIC and was immediately purchased by a national bank.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does not maintain any deposit or other accounts or credit facilities with Silicon Valley Bank, Signature Bank or First Republic Bank. The Company may periodically transfer funds to these banks to pay for services rendered by third party vendors that continue to maintain banking relationships with these banks. The Company continues to monitor the banking industry and its relationships with regional and community banks.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in this Item 7.01 shall not be deemed “filed” for purposes of Section 18 of the Securities Exchange Act of 1934, as amended, and shall not be deemed incorporated by reference into any filing under the Securities Act of 1933, as amended, except as shall be expressly set forth by specific reference in such filing.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2023,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March 31, 2023,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r>
        <w:rPr>
          <w:rFonts w:ascii="Arial" w:cs="Arial" w:eastAsia="Arial" w:hAnsi="Arial"/>
          <w:sz w:val="15"/>
          <w:szCs w:val="15"/>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27, 2022, the Company executed a 10b5-1 agreement with a broker to repurchase shares of the Company’s Class A Common Stock. Under the terms of the agreement, the broker is permitted to repurchase up to 1,000,000 shares of the Company’s Class A Common Stock. The agreement is subject to the daily time, price and volume conditions of Rule 10b-18. The initial term of the agreement is for one year.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Company’s repurchase activity during the three month period ended March 31, 2023 under the 10b5-1 agreement.</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230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jc w:val="both"/>
        <w:ind w:left="420"/>
        <w:spacing w:after="0" w:line="311" w:lineRule="auto"/>
        <w:rPr>
          <w:sz w:val="20"/>
          <w:szCs w:val="20"/>
          <w:color w:val="auto"/>
        </w:rPr>
      </w:pPr>
      <w:r>
        <w:rPr>
          <w:rFonts w:ascii="Arial" w:cs="Arial" w:eastAsia="Arial" w:hAnsi="Arial"/>
          <w:sz w:val="16"/>
          <w:szCs w:val="16"/>
          <w:color w:val="auto"/>
        </w:rPr>
        <w:t>1/1/2023-1/31/2023 2/1/2023-2/28/2023 3/1/2023-3/31/2023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4230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4"/>
              </w:rPr>
              <w:t>(d) Maximum Number (or</w:t>
            </w:r>
          </w:p>
        </w:tc>
      </w:tr>
      <w:tr>
        <w:trPr>
          <w:trHeight w:val="216"/>
        </w:trPr>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 Total Number of Class</w:t>
            </w:r>
          </w:p>
        </w:tc>
        <w:tc>
          <w:tcPr>
            <w:tcW w:w="1920" w:type="dxa"/>
            <w:vAlign w:val="bottom"/>
          </w:tcPr>
          <w:p>
            <w:pPr>
              <w:jc w:val="center"/>
              <w:spacing w:after="0"/>
              <w:rPr>
                <w:sz w:val="20"/>
                <w:szCs w:val="20"/>
                <w:color w:val="auto"/>
              </w:rPr>
            </w:pPr>
            <w:r>
              <w:rPr>
                <w:rFonts w:ascii="Arial" w:cs="Arial" w:eastAsia="Arial" w:hAnsi="Arial"/>
                <w:sz w:val="18"/>
                <w:szCs w:val="18"/>
                <w:color w:val="auto"/>
                <w:w w:val="95"/>
              </w:rPr>
              <w:t>Approximate Dollar</w:t>
            </w:r>
          </w:p>
        </w:tc>
      </w:tr>
      <w:tr>
        <w:trPr>
          <w:trHeight w:val="216"/>
        </w:trPr>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A Shares Purchased as</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Value) of Class A Shares</w:t>
            </w:r>
          </w:p>
        </w:tc>
      </w:tr>
      <w:tr>
        <w:trPr>
          <w:trHeight w:val="216"/>
        </w:trPr>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Part of Publicly</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that May Yet Be</w:t>
            </w:r>
          </w:p>
        </w:tc>
      </w:tr>
      <w:tr>
        <w:trPr>
          <w:trHeight w:val="216"/>
        </w:trPr>
        <w:tc>
          <w:tcPr>
            <w:tcW w:w="22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(a) Total Number of Class</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8"/>
              </w:rPr>
              <w:t>(b) Average Price Paid per</w:t>
            </w:r>
          </w:p>
        </w:tc>
        <w:tc>
          <w:tcPr>
            <w:tcW w:w="34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Announced Plan or</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Purchased Under the Plan</w:t>
            </w:r>
          </w:p>
        </w:tc>
      </w:tr>
      <w:tr>
        <w:trPr>
          <w:trHeight w:val="230"/>
        </w:trPr>
        <w:tc>
          <w:tcPr>
            <w:tcW w:w="2240" w:type="dxa"/>
            <w:vAlign w:val="bottom"/>
            <w:gridSpan w:val="3"/>
          </w:tcPr>
          <w:p>
            <w:pPr>
              <w:jc w:val="center"/>
              <w:ind w:right="340"/>
              <w:spacing w:after="0"/>
              <w:rPr>
                <w:sz w:val="20"/>
                <w:szCs w:val="20"/>
                <w:color w:val="auto"/>
              </w:rPr>
            </w:pPr>
            <w:r>
              <w:rPr>
                <w:rFonts w:ascii="Arial" w:cs="Arial" w:eastAsia="Arial" w:hAnsi="Arial"/>
                <w:sz w:val="18"/>
                <w:szCs w:val="18"/>
                <w:color w:val="auto"/>
                <w:w w:val="85"/>
              </w:rPr>
              <w:t>A Shares Purchased</w:t>
            </w:r>
          </w:p>
        </w:tc>
        <w:tc>
          <w:tcPr>
            <w:tcW w:w="220" w:type="dxa"/>
            <w:vAlign w:val="bottom"/>
          </w:tcPr>
          <w:p>
            <w:pPr>
              <w:spacing w:after="0"/>
              <w:rPr>
                <w:sz w:val="20"/>
                <w:szCs w:val="20"/>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color w:val="auto"/>
                <w:w w:val="94"/>
              </w:rPr>
              <w:t>Class A Share (1)</w:t>
            </w:r>
          </w:p>
        </w:tc>
        <w:tc>
          <w:tcPr>
            <w:tcW w:w="340" w:type="dxa"/>
            <w:vAlign w:val="bottom"/>
          </w:tcPr>
          <w:p>
            <w:pPr>
              <w:spacing w:after="0"/>
              <w:rPr>
                <w:sz w:val="20"/>
                <w:szCs w:val="20"/>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Program</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or Program (2)</w:t>
            </w:r>
          </w:p>
        </w:tc>
      </w:tr>
      <w:tr>
        <w:trPr>
          <w:trHeight w:val="195"/>
        </w:trPr>
        <w:tc>
          <w:tcPr>
            <w:tcW w:w="1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73,112</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7.37</w:t>
            </w:r>
          </w:p>
        </w:tc>
        <w:tc>
          <w:tcPr>
            <w:tcW w:w="340" w:type="dxa"/>
            <w:vAlign w:val="bottom"/>
          </w:tcPr>
          <w:p>
            <w:pPr>
              <w:spacing w:after="0"/>
              <w:rPr>
                <w:sz w:val="16"/>
                <w:szCs w:val="16"/>
                <w:color w:val="auto"/>
              </w:rPr>
            </w:pPr>
          </w:p>
        </w:tc>
        <w:tc>
          <w:tcPr>
            <w:tcW w:w="1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383,207</w:t>
            </w:r>
          </w:p>
        </w:tc>
      </w:tr>
      <w:tr>
        <w:trPr>
          <w:trHeight w:val="230"/>
        </w:trPr>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46,753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7.22</w:t>
            </w:r>
          </w:p>
        </w:tc>
        <w:tc>
          <w:tcPr>
            <w:tcW w:w="2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336,454</w:t>
            </w:r>
          </w:p>
        </w:tc>
      </w:tr>
      <w:tr>
        <w:trPr>
          <w:trHeight w:val="230"/>
        </w:trPr>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18,411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6.74</w:t>
            </w:r>
          </w:p>
        </w:tc>
        <w:tc>
          <w:tcPr>
            <w:tcW w:w="340" w:type="dxa"/>
            <w:vAlign w:val="bottom"/>
          </w:tcPr>
          <w:p>
            <w:pPr>
              <w:spacing w:after="0"/>
              <w:rPr>
                <w:sz w:val="20"/>
                <w:szCs w:val="20"/>
                <w:color w:val="auto"/>
              </w:rPr>
            </w:pP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318,043</w:t>
            </w:r>
          </w:p>
        </w:tc>
      </w:tr>
      <w:tr>
        <w:trPr>
          <w:trHeight w:val="20"/>
        </w:trPr>
        <w:tc>
          <w:tcPr>
            <w:tcW w:w="19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453"/>
        </w:trPr>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138,276</w:t>
            </w:r>
          </w:p>
        </w:tc>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7.16</w:t>
            </w:r>
          </w:p>
        </w:tc>
        <w:tc>
          <w:tcPr>
            <w:tcW w:w="340" w:type="dxa"/>
            <w:vAlign w:val="bottom"/>
          </w:tcPr>
          <w:p>
            <w:pPr>
              <w:spacing w:after="0"/>
              <w:rPr>
                <w:sz w:val="24"/>
                <w:szCs w:val="24"/>
                <w:color w:val="auto"/>
              </w:rPr>
            </w:pP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318,043</w:t>
            </w:r>
          </w:p>
        </w:tc>
      </w:tr>
      <w:tr>
        <w:trPr>
          <w:trHeight w:val="20"/>
        </w:trPr>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-745490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-471170</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-179705</wp:posOffset>
            </wp:positionV>
            <wp:extent cx="713232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640"/>
            <w:col w:w="8760"/>
          </w:cols>
          <w:pgMar w:left="320" w:top="661" w:right="339" w:bottom="1440" w:gutter="0" w:footer="0" w:header="0"/>
          <w:type w:val="continuous"/>
        </w:sectPr>
      </w:pPr>
    </w:p>
    <w:p>
      <w:pPr>
        <w:spacing w:after="0" w:line="42"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fees and commissions paid on stock repurchases.</w:t>
      </w:r>
    </w:p>
    <w:p>
      <w:pPr>
        <w:spacing w:after="0" w:line="2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8" w:name="page69"/>
    <w:bookmarkEnd w:id="68"/>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pursuant to Rule 601 of Regulation S-K or are incorporated by reference to previous filings.</w:t>
      </w:r>
    </w:p>
    <w:p>
      <w:pPr>
        <w:spacing w:after="0" w:line="225" w:lineRule="exact"/>
        <w:rPr>
          <w:sz w:val="20"/>
          <w:szCs w:val="20"/>
          <w:color w:val="auto"/>
        </w:rPr>
      </w:pPr>
    </w:p>
    <w:p>
      <w:pPr>
        <w:ind w:left="6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61">
        <w:r>
          <w:rPr>
            <w:rFonts w:ascii="Arial" w:cs="Arial" w:eastAsia="Arial" w:hAnsi="Arial"/>
            <w:sz w:val="16"/>
            <w:szCs w:val="16"/>
            <w:u w:val="single" w:color="auto"/>
            <w:color w:val="0000EE"/>
          </w:rPr>
          <w:t>Amended and Restated Articles of Incorporation (4)</w:t>
        </w:r>
      </w:hyperlink>
    </w:p>
    <w:p>
      <w:pPr>
        <w:spacing w:after="0" w:line="23" w:lineRule="exact"/>
        <w:rPr>
          <w:sz w:val="20"/>
          <w:szCs w:val="20"/>
          <w:color w:val="auto"/>
        </w:rPr>
      </w:pPr>
    </w:p>
    <w:p>
      <w:pPr>
        <w:ind w:left="6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62">
        <w:r>
          <w:rPr>
            <w:rFonts w:ascii="Arial" w:cs="Arial" w:eastAsia="Arial" w:hAnsi="Arial"/>
            <w:sz w:val="16"/>
            <w:szCs w:val="16"/>
            <w:u w:val="single" w:color="auto"/>
            <w:color w:val="0000EE"/>
          </w:rPr>
          <w:t>Amended and Restated Bylaws (6)</w:t>
        </w:r>
      </w:hyperlink>
    </w:p>
    <w:p>
      <w:pPr>
        <w:spacing w:after="0" w:line="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Class A Stock Certificate (1)</w:t>
      </w:r>
    </w:p>
    <w:p>
      <w:pPr>
        <w:spacing w:after="0" w:line="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Class C Stock Certificate (1)</w:t>
      </w:r>
    </w:p>
    <w:p>
      <w:pPr>
        <w:spacing w:after="0" w:line="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Specimen Preferred Stock Certificate and Certificate of Designation of Preferred Stock (1)</w:t>
      </w:r>
    </w:p>
    <w:p>
      <w:pPr>
        <w:spacing w:after="0" w:line="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Employee Stock Ownership Plan, as amended and restated (ESOP) and Trust Agreement (1)</w:t>
      </w:r>
    </w:p>
    <w:p>
      <w:pPr>
        <w:spacing w:after="0" w:line="9" w:lineRule="exact"/>
        <w:rPr>
          <w:sz w:val="20"/>
          <w:szCs w:val="20"/>
          <w:color w:val="auto"/>
        </w:rPr>
      </w:pPr>
    </w:p>
    <w:p>
      <w:pPr>
        <w:ind w:left="6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63">
        <w:r>
          <w:rPr>
            <w:rFonts w:ascii="Arial" w:cs="Arial" w:eastAsia="Arial" w:hAnsi="Arial"/>
            <w:sz w:val="16"/>
            <w:szCs w:val="16"/>
            <w:u w:val="single" w:color="auto"/>
            <w:color w:val="0000EE"/>
          </w:rPr>
          <w:t>Amended and Restated 2013 Stock Option and Other Equity Incentive Awards Plan (3)</w:t>
        </w:r>
      </w:hyperlink>
    </w:p>
    <w:p>
      <w:pPr>
        <w:spacing w:after="0" w:line="9" w:lineRule="exact"/>
        <w:rPr>
          <w:sz w:val="20"/>
          <w:szCs w:val="20"/>
          <w:color w:val="auto"/>
        </w:rPr>
      </w:pPr>
    </w:p>
    <w:p>
      <w:pPr>
        <w:ind w:left="6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64">
        <w:r>
          <w:rPr>
            <w:rFonts w:ascii="Arial" w:cs="Arial" w:eastAsia="Arial" w:hAnsi="Arial"/>
            <w:sz w:val="16"/>
            <w:szCs w:val="16"/>
            <w:u w:val="single" w:color="auto"/>
            <w:color w:val="0000EE"/>
          </w:rPr>
          <w:t>Amended and Restated 2014 Director Stock Option Plan (7)</w:t>
        </w:r>
      </w:hyperlink>
    </w:p>
    <w:p>
      <w:pPr>
        <w:spacing w:after="0" w:line="9" w:lineRule="exact"/>
        <w:rPr>
          <w:sz w:val="20"/>
          <w:szCs w:val="20"/>
          <w:color w:val="auto"/>
        </w:rPr>
      </w:pPr>
    </w:p>
    <w:p>
      <w:pPr>
        <w:ind w:left="6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65">
        <w:r>
          <w:rPr>
            <w:rFonts w:ascii="Arial" w:cs="Arial" w:eastAsia="Arial" w:hAnsi="Arial"/>
            <w:sz w:val="16"/>
            <w:szCs w:val="16"/>
            <w:u w:val="single" w:color="auto"/>
            <w:color w:val="0000EE"/>
          </w:rPr>
          <w:t>Employment Agreement with Scott M. Quist (2)</w:t>
        </w:r>
      </w:hyperlink>
    </w:p>
    <w:p>
      <w:pPr>
        <w:spacing w:after="0" w:line="9" w:lineRule="exact"/>
        <w:rPr>
          <w:sz w:val="20"/>
          <w:szCs w:val="20"/>
          <w:color w:val="auto"/>
        </w:rPr>
      </w:pPr>
    </w:p>
    <w:p>
      <w:pPr>
        <w:ind w:left="660"/>
        <w:spacing w:after="0"/>
        <w:tabs>
          <w:tab w:leader="none" w:pos="1320" w:val="left"/>
        </w:tabs>
        <w:rPr>
          <w:rFonts w:ascii="Arial" w:cs="Arial" w:eastAsia="Arial" w:hAnsi="Arial"/>
          <w:sz w:val="15"/>
          <w:szCs w:val="15"/>
          <w:u w:val="single" w:color="auto"/>
          <w:color w:val="0000EE"/>
        </w:rPr>
      </w:pPr>
      <w:r>
        <w:rPr>
          <w:rFonts w:ascii="Arial" w:cs="Arial" w:eastAsia="Arial" w:hAnsi="Arial"/>
          <w:sz w:val="18"/>
          <w:szCs w:val="18"/>
          <w:color w:val="auto"/>
        </w:rPr>
        <w:t>10.5</w:t>
      </w:r>
      <w:r>
        <w:rPr>
          <w:sz w:val="20"/>
          <w:szCs w:val="20"/>
          <w:color w:val="auto"/>
        </w:rPr>
        <w:tab/>
      </w:r>
      <w:hyperlink r:id="rId166">
        <w:r>
          <w:rPr>
            <w:rFonts w:ascii="Arial" w:cs="Arial" w:eastAsia="Arial" w:hAnsi="Arial"/>
            <w:sz w:val="15"/>
            <w:szCs w:val="15"/>
            <w:u w:val="single" w:color="auto"/>
            <w:color w:val="0000EE"/>
          </w:rPr>
          <w:t>Stock Repurchase Plan (5)</w:t>
        </w:r>
      </w:hyperlink>
    </w:p>
    <w:p>
      <w:pPr>
        <w:spacing w:after="0" w:line="9" w:lineRule="exact"/>
        <w:rPr>
          <w:sz w:val="20"/>
          <w:szCs w:val="20"/>
          <w:color w:val="auto"/>
        </w:rPr>
      </w:pPr>
    </w:p>
    <w:p>
      <w:pPr>
        <w:ind w:left="1340" w:hanging="684"/>
        <w:spacing w:after="0"/>
        <w:tabs>
          <w:tab w:leader="none" w:pos="1340" w:val="left"/>
        </w:tabs>
        <w:numPr>
          <w:ilvl w:val="0"/>
          <w:numId w:val="79"/>
        </w:numPr>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Code of Business Conduct and Ethics (6)</w:t>
        </w:r>
      </w:hyperlink>
    </w:p>
    <w:p>
      <w:pPr>
        <w:spacing w:after="0" w:line="9" w:lineRule="exact"/>
        <w:rPr>
          <w:rFonts w:ascii="Arial" w:cs="Arial" w:eastAsia="Arial" w:hAnsi="Arial"/>
          <w:sz w:val="18"/>
          <w:szCs w:val="18"/>
          <w:u w:val="single" w:color="auto"/>
          <w:color w:val="0000EE"/>
        </w:rPr>
      </w:pPr>
    </w:p>
    <w:p>
      <w:pPr>
        <w:ind w:left="1340" w:hanging="684"/>
        <w:spacing w:after="0"/>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0000EE"/>
        </w:rPr>
        <w:t>Subsidiaries of the Registrant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u w:val="single" w:color="auto"/>
          <w:color w:val="0000EE"/>
        </w:rPr>
        <w:t>Certification pursuant to 18 U.S.C. Section 1350, as enacted by Section 302 of the Sarbanes-Oxley Act of 2002</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u w:val="single" w:color="auto"/>
          <w:color w:val="0000EE"/>
        </w:rPr>
        <w:t>Certification pursuant to 18 U.S.C. Section 1350, as enacted by Section 302 of the Sarbanes-Oxley Act of 2002</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u w:val="single" w:color="auto"/>
          <w:color w:val="0000EE"/>
        </w:rPr>
        <w:t>Certification pursuant to 18 U.S.C. Section 1350, as adopted pursuant to Section 906 of the Sarbanes-Oxley Act of 2002</w:t>
      </w:r>
    </w:p>
    <w:p>
      <w:pPr>
        <w:spacing w:after="0" w:line="9" w:lineRule="exact"/>
        <w:rPr>
          <w:rFonts w:ascii="Arial" w:cs="Arial" w:eastAsia="Arial" w:hAnsi="Arial"/>
          <w:sz w:val="18"/>
          <w:szCs w:val="18"/>
          <w:color w:val="auto"/>
        </w:rPr>
      </w:pPr>
    </w:p>
    <w:p>
      <w:pPr>
        <w:ind w:left="660" w:right="126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0000EE"/>
        </w:rPr>
        <w:t>Certification pursuant to 18 U.S.C. Section 1350, as adopted pursuant to Section 906 of the Sarbanes-Oxley Act of 2002</w:t>
      </w:r>
      <w:r>
        <w:rPr>
          <w:rFonts w:ascii="Arial" w:cs="Arial" w:eastAsia="Arial" w:hAnsi="Arial"/>
          <w:sz w:val="18"/>
          <w:szCs w:val="18"/>
          <w:color w:val="auto"/>
        </w:rPr>
        <w:t xml:space="preserve"> 101.INS Inline XBRL Instance Document</w:t>
      </w:r>
    </w:p>
    <w:p>
      <w:pPr>
        <w:ind w:left="660"/>
        <w:spacing w:after="0"/>
        <w:rPr>
          <w:rFonts w:ascii="Arial" w:cs="Arial" w:eastAsia="Arial" w:hAnsi="Arial"/>
          <w:sz w:val="18"/>
          <w:szCs w:val="18"/>
          <w:color w:val="auto"/>
        </w:rPr>
      </w:pPr>
      <w:r>
        <w:rPr>
          <w:rFonts w:ascii="Arial" w:cs="Arial" w:eastAsia="Arial" w:hAnsi="Arial"/>
          <w:sz w:val="18"/>
          <w:szCs w:val="18"/>
          <w:color w:val="auto"/>
        </w:rPr>
        <w:t>101.SCHInline XBRL Taxonomy Extension Schema Document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101.CALInline XBRL Taxonomy Extension Calculation Linkbase Document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101.DEFInline XBRL Taxonomy Extension Definition Linkbase Document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101.LABInline XBRL Taxonomy Extension Label Linkbase Document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101.PRE Inline XBRL Taxonomy Extension Presentation Linkbase Document</w:t>
      </w:r>
    </w:p>
    <w:p>
      <w:pPr>
        <w:spacing w:after="0" w:line="9" w:lineRule="exact"/>
        <w:rPr>
          <w:rFonts w:ascii="Arial" w:cs="Arial" w:eastAsia="Arial" w:hAnsi="Arial"/>
          <w:sz w:val="18"/>
          <w:szCs w:val="18"/>
          <w:color w:val="auto"/>
        </w:rPr>
      </w:pPr>
    </w:p>
    <w:p>
      <w:pPr>
        <w:ind w:left="1340" w:hanging="684"/>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1"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S-1, as filed on June 29, 1987</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2015</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May 15, 2019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14,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80" w:type="dxa"/>
            <w:vAlign w:val="bottom"/>
            <w:gridSpan w:val="3"/>
          </w:tcPr>
          <w:p>
            <w:pPr>
              <w:jc w:val="center"/>
              <w:ind w:right="3560"/>
              <w:spacing w:after="0"/>
              <w:rPr>
                <w:sz w:val="20"/>
                <w:szCs w:val="20"/>
                <w:color w:val="auto"/>
              </w:rPr>
            </w:pPr>
            <w:r>
              <w:rPr>
                <w:rFonts w:ascii="Arial" w:cs="Arial" w:eastAsia="Arial" w:hAnsi="Arial"/>
                <w:sz w:val="18"/>
                <w:szCs w:val="18"/>
                <w:b w:val="1"/>
                <w:bCs w:val="1"/>
                <w:i w:val="1"/>
                <w:iCs w:val="1"/>
                <w:color w:val="auto"/>
                <w:w w:val="95"/>
              </w:rPr>
              <w:t>REGISTRANT</w:t>
            </w:r>
          </w:p>
        </w:tc>
      </w:tr>
      <w:tr>
        <w:trPr>
          <w:trHeight w:val="392"/>
        </w:trPr>
        <w:tc>
          <w:tcPr>
            <w:tcW w:w="2540" w:type="dxa"/>
            <w:vAlign w:val="bottom"/>
          </w:tcPr>
          <w:p>
            <w:pPr>
              <w:spacing w:after="0"/>
              <w:rPr>
                <w:sz w:val="24"/>
                <w:szCs w:val="24"/>
                <w:color w:val="auto"/>
              </w:rPr>
            </w:pPr>
          </w:p>
        </w:tc>
        <w:tc>
          <w:tcPr>
            <w:tcW w:w="8700" w:type="dxa"/>
            <w:vAlign w:val="bottom"/>
            <w:gridSpan w:val="4"/>
          </w:tcPr>
          <w:p>
            <w:pPr>
              <w:jc w:val="center"/>
              <w:ind w:right="2520"/>
              <w:spacing w:after="0"/>
              <w:rPr>
                <w:sz w:val="20"/>
                <w:szCs w:val="20"/>
                <w:color w:val="auto"/>
              </w:rPr>
            </w:pPr>
            <w:r>
              <w:rPr>
                <w:rFonts w:ascii="Arial" w:cs="Arial" w:eastAsia="Arial" w:hAnsi="Arial"/>
                <w:sz w:val="18"/>
                <w:szCs w:val="18"/>
                <w:color w:val="auto"/>
                <w:w w:val="97"/>
              </w:rPr>
              <w:t>SECURITY NATIONAL FINANCIAL CORPORATION</w:t>
            </w:r>
          </w:p>
        </w:tc>
      </w:tr>
      <w:tr>
        <w:trPr>
          <w:trHeight w:val="237"/>
        </w:trPr>
        <w:tc>
          <w:tcPr>
            <w:tcW w:w="2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Registrant</w:t>
            </w:r>
          </w:p>
        </w:tc>
        <w:tc>
          <w:tcPr>
            <w:tcW w:w="3540" w:type="dxa"/>
            <w:vAlign w:val="bottom"/>
          </w:tcPr>
          <w:p>
            <w:pPr>
              <w:spacing w:after="0"/>
              <w:rPr>
                <w:sz w:val="20"/>
                <w:szCs w:val="20"/>
                <w:color w:val="auto"/>
              </w:rPr>
            </w:pPr>
          </w:p>
        </w:tc>
      </w:tr>
      <w:tr>
        <w:trPr>
          <w:trHeight w:val="459"/>
        </w:trPr>
        <w:tc>
          <w:tcPr>
            <w:tcW w:w="2540" w:type="dxa"/>
            <w:vAlign w:val="bottom"/>
          </w:tcPr>
          <w:p>
            <w:pPr>
              <w:spacing w:after="0"/>
              <w:rPr>
                <w:sz w:val="20"/>
                <w:szCs w:val="20"/>
                <w:color w:val="auto"/>
              </w:rPr>
            </w:pPr>
            <w:r>
              <w:rPr>
                <w:rFonts w:ascii="Arial" w:cs="Arial" w:eastAsia="Arial" w:hAnsi="Arial"/>
                <w:sz w:val="18"/>
                <w:szCs w:val="18"/>
                <w:color w:val="auto"/>
              </w:rPr>
              <w:t>Dated: May 15, 2023</w:t>
            </w: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Scott M. Quist</w:t>
            </w:r>
          </w:p>
        </w:tc>
      </w:tr>
      <w:tr>
        <w:trPr>
          <w:trHeight w:val="195"/>
        </w:trPr>
        <w:tc>
          <w:tcPr>
            <w:tcW w:w="2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620" w:type="dxa"/>
            <w:vAlign w:val="bottom"/>
            <w:gridSpan w:val="2"/>
          </w:tcPr>
          <w:p>
            <w:pPr>
              <w:spacing w:after="0" w:line="195" w:lineRule="exact"/>
              <w:rPr>
                <w:sz w:val="20"/>
                <w:szCs w:val="20"/>
                <w:color w:val="auto"/>
              </w:rPr>
            </w:pPr>
            <w:r>
              <w:rPr>
                <w:rFonts w:ascii="Arial" w:cs="Arial" w:eastAsia="Arial" w:hAnsi="Arial"/>
                <w:sz w:val="18"/>
                <w:szCs w:val="18"/>
                <w:color w:val="auto"/>
              </w:rPr>
              <w:t>Scott M. Quist</w:t>
            </w:r>
          </w:p>
        </w:tc>
      </w:tr>
      <w:tr>
        <w:trPr>
          <w:trHeight w:val="216"/>
        </w:trPr>
        <w:tc>
          <w:tcPr>
            <w:tcW w:w="2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2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661"/>
        </w:trPr>
        <w:tc>
          <w:tcPr>
            <w:tcW w:w="2540" w:type="dxa"/>
            <w:vAlign w:val="bottom"/>
          </w:tcPr>
          <w:p>
            <w:pPr>
              <w:spacing w:after="0"/>
              <w:rPr>
                <w:sz w:val="20"/>
                <w:szCs w:val="20"/>
                <w:color w:val="auto"/>
              </w:rPr>
            </w:pPr>
            <w:r>
              <w:rPr>
                <w:rFonts w:ascii="Arial" w:cs="Arial" w:eastAsia="Arial" w:hAnsi="Arial"/>
                <w:sz w:val="18"/>
                <w:szCs w:val="18"/>
                <w:color w:val="auto"/>
              </w:rPr>
              <w:t>Dated: May 15, 2023</w:t>
            </w: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Garrett S. Sill</w:t>
            </w:r>
          </w:p>
        </w:tc>
      </w:tr>
      <w:tr>
        <w:trPr>
          <w:trHeight w:val="195"/>
        </w:trPr>
        <w:tc>
          <w:tcPr>
            <w:tcW w:w="2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620" w:type="dxa"/>
            <w:vAlign w:val="bottom"/>
            <w:gridSpan w:val="2"/>
          </w:tcPr>
          <w:p>
            <w:pPr>
              <w:spacing w:after="0" w:line="195" w:lineRule="exact"/>
              <w:rPr>
                <w:sz w:val="20"/>
                <w:szCs w:val="20"/>
                <w:color w:val="auto"/>
              </w:rPr>
            </w:pPr>
            <w:r>
              <w:rPr>
                <w:rFonts w:ascii="Arial" w:cs="Arial" w:eastAsia="Arial" w:hAnsi="Arial"/>
                <w:sz w:val="18"/>
                <w:szCs w:val="18"/>
                <w:color w:val="auto"/>
              </w:rPr>
              <w:t>Garrett S. Sill</w:t>
            </w:r>
          </w:p>
        </w:tc>
      </w:tr>
      <w:tr>
        <w:trPr>
          <w:trHeight w:val="216"/>
        </w:trPr>
        <w:tc>
          <w:tcPr>
            <w:tcW w:w="2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2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9"/>
        </w:trPr>
        <w:tc>
          <w:tcPr>
            <w:tcW w:w="25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color w:val="auto"/>
                <w:w w:val="89"/>
              </w:rPr>
              <w:t>68</w:t>
            </w: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SUBSIDIARIES OF THE REGISTRANT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Security National Life Insurance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Diamond LLC</w:t>
      </w:r>
    </w:p>
    <w:p>
      <w:pPr>
        <w:spacing w:after="0" w:line="9" w:lineRule="exact"/>
        <w:rPr>
          <w:sz w:val="20"/>
          <w:szCs w:val="20"/>
          <w:color w:val="auto"/>
        </w:rPr>
      </w:pPr>
    </w:p>
    <w:p>
      <w:pPr>
        <w:ind w:right="4960"/>
        <w:spacing w:after="0" w:line="250" w:lineRule="auto"/>
        <w:rPr>
          <w:sz w:val="20"/>
          <w:szCs w:val="20"/>
          <w:color w:val="auto"/>
        </w:rPr>
      </w:pPr>
      <w:r>
        <w:rPr>
          <w:rFonts w:ascii="Arial" w:cs="Arial" w:eastAsia="Arial" w:hAnsi="Arial"/>
          <w:sz w:val="18"/>
          <w:szCs w:val="18"/>
          <w:color w:val="auto"/>
        </w:rPr>
        <w:t>Security National Real Estate Services, Inc.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SNA-Venture LLC</w:t>
      </w:r>
    </w:p>
    <w:p>
      <w:pPr>
        <w:spacing w:after="0" w:line="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SNCH Venture LLC SNW-HAFB LLC SNH Investments LLC SNA-AM LLC, SNA-MB LLC, SNA-SE LLC, SNA-SW LLC, SNA-MV LLC, SNA-TM LLC, SNA-TR2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SecurityNational Mortgage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Sunset LLC SN-TLV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California Memorial Estates, Inc. dba Singing Hills Memorial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Probst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SN-Holbrook LLC SN-Rivera LLC, SNR-LA LLC, SNR-Taos LLC, SNR-SF Cemetery LLC, SNR-SF Mortuary LLC, SNR-Espanola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1" w:name="page72"/>
    <w:bookmarkEnd w:id="71"/>
    <w:p>
      <w:pPr>
        <w:ind w:left="101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694" w:val="left"/>
        </w:tabs>
        <w:numPr>
          <w:ilvl w:val="2"/>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23" w:val="left"/>
        </w:tabs>
        <w:numPr>
          <w:ilvl w:val="2"/>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40"/>
        <w:spacing w:after="0" w:line="277" w:lineRule="auto"/>
        <w:tabs>
          <w:tab w:leader="none" w:pos="722" w:val="left"/>
        </w:tabs>
        <w:numPr>
          <w:ilvl w:val="2"/>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03" w:val="left"/>
        </w:tabs>
        <w:numPr>
          <w:ilvl w:val="2"/>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13"/>
        <w:spacing w:after="0" w:line="277" w:lineRule="auto"/>
        <w:tabs>
          <w:tab w:leader="none" w:pos="65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13"/>
        <w:spacing w:after="0" w:line="277" w:lineRule="auto"/>
        <w:tabs>
          <w:tab w:leader="none" w:pos="66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15, 2023</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694" w:val="left"/>
        </w:tabs>
        <w:numPr>
          <w:ilvl w:val="2"/>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23" w:val="left"/>
        </w:tabs>
        <w:numPr>
          <w:ilvl w:val="2"/>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40"/>
        <w:spacing w:after="0" w:line="277" w:lineRule="auto"/>
        <w:tabs>
          <w:tab w:leader="none" w:pos="722" w:val="left"/>
        </w:tabs>
        <w:numPr>
          <w:ilvl w:val="2"/>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03" w:val="left"/>
        </w:tabs>
        <w:numPr>
          <w:ilvl w:val="2"/>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13"/>
        <w:spacing w:after="0" w:line="277" w:lineRule="auto"/>
        <w:tabs>
          <w:tab w:leader="none" w:pos="654"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13"/>
        <w:spacing w:after="0" w:line="277" w:lineRule="auto"/>
        <w:tabs>
          <w:tab w:leader="none" w:pos="66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15, 2023</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March 31, 2023,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15, 2023</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March 31, 2023,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15, 2023</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1)"/>
      <w:numFmt w:val="decimal"/>
      <w:start w:val="2"/>
    </w:lvl>
  </w:abstractNum>
  <w:abstractNum w:abstractNumId="5">
    <w:nsid w:val="4B588F54"/>
    <w:multiLevelType w:val="hybridMultilevel"/>
    <w:lvl w:ilvl="0">
      <w:lvlJc w:val="left"/>
      <w:lvlText w:val="%1)"/>
      <w:numFmt w:val="decimal"/>
      <w:start w:val="3"/>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decimal"/>
      <w:start w:val="3"/>
    </w:lvl>
  </w:abstractNum>
  <w:abstractNum w:abstractNumId="8">
    <w:nsid w:val="38437FDB"/>
    <w:multiLevelType w:val="hybridMultilevel"/>
    <w:lvl w:ilvl="0">
      <w:lvlJc w:val="left"/>
      <w:lvlText w:val="%1)"/>
      <w:numFmt w:val="decimal"/>
      <w:start w:val="3"/>
    </w:lvl>
  </w:abstractNum>
  <w:abstractNum w:abstractNumId="9">
    <w:nsid w:val="7644A45C"/>
    <w:multiLevelType w:val="hybridMultilevel"/>
    <w:lvl w:ilvl="0">
      <w:lvlJc w:val="left"/>
      <w:lvlText w:val="%1)"/>
      <w:numFmt w:val="decimal"/>
      <w:start w:val="3"/>
    </w:lvl>
  </w:abstractNum>
  <w:abstractNum w:abstractNumId="10">
    <w:nsid w:val="32FFF902"/>
    <w:multiLevelType w:val="hybridMultilevel"/>
    <w:lvl w:ilvl="0">
      <w:lvlJc w:val="left"/>
      <w:lvlText w:val="%1)"/>
      <w:numFmt w:val="decimal"/>
      <w:start w:val="3"/>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1)"/>
      <w:numFmt w:val="decimal"/>
      <w:start w:val="3"/>
    </w:lvl>
  </w:abstractNum>
  <w:abstractNum w:abstractNumId="14">
    <w:nsid w:val="3DC240FB"/>
    <w:multiLevelType w:val="hybridMultilevel"/>
    <w:lvl w:ilvl="0">
      <w:lvlJc w:val="left"/>
      <w:lvlText w:val="%1)"/>
      <w:numFmt w:val="decimal"/>
      <w:start w:val="3"/>
    </w:lvl>
  </w:abstractNum>
  <w:abstractNum w:abstractNumId="15">
    <w:nsid w:val="1BA026FA"/>
    <w:multiLevelType w:val="hybridMultilevel"/>
    <w:lvl w:ilvl="0">
      <w:lvlJc w:val="left"/>
      <w:lvlText w:val="%1)"/>
      <w:numFmt w:val="decimal"/>
      <w:start w:val="3"/>
    </w:lvl>
  </w:abstractNum>
  <w:abstractNum w:abstractNumId="16">
    <w:nsid w:val="79A1DEAA"/>
    <w:multiLevelType w:val="hybridMultilevel"/>
    <w:lvl w:ilvl="0">
      <w:lvlJc w:val="left"/>
      <w:lvlText w:val="(%1)"/>
      <w:numFmt w:val="decimal"/>
    </w:lvl>
    <w:lvl w:ilvl="1">
      <w:lvlJc w:val="left"/>
      <w:lvlText w:val="$"/>
      <w:numFmt w:val="bullet"/>
      <w:start w:val="1"/>
    </w:lvl>
  </w:abstractNum>
  <w:abstractNum w:abstractNumId="17">
    <w:nsid w:val="75C6C33A"/>
    <w:multiLevelType w:val="hybridMultilevel"/>
    <w:lvl w:ilvl="0">
      <w:lvlJc w:val="left"/>
      <w:lvlText w:val="%1)"/>
      <w:numFmt w:val="decimal"/>
      <w:start w:val="3"/>
    </w:lvl>
  </w:abstractNum>
  <w:abstractNum w:abstractNumId="18">
    <w:nsid w:val="12E685FB"/>
    <w:multiLevelType w:val="hybridMultilevel"/>
    <w:lvl w:ilvl="0">
      <w:lvlJc w:val="left"/>
      <w:lvlText w:val="%1)"/>
      <w:numFmt w:val="decimal"/>
      <w:start w:val="3"/>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decimal"/>
      <w:start w:val="3"/>
    </w:lvl>
  </w:abstractNum>
  <w:abstractNum w:abstractNumId="21">
    <w:nsid w:val="374A3FE6"/>
    <w:multiLevelType w:val="hybridMultilevel"/>
    <w:lvl w:ilvl="0">
      <w:lvlJc w:val="left"/>
      <w:lvlText w:val="%1)"/>
      <w:numFmt w:val="decimal"/>
      <w:start w:val="3"/>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3"/>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3"/>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3"/>
    </w:lvl>
  </w:abstractNum>
  <w:abstractNum w:abstractNumId="28">
    <w:nsid w:val="180115BE"/>
    <w:multiLevelType w:val="hybridMultilevel"/>
    <w:lvl w:ilvl="0">
      <w:lvlJc w:val="left"/>
      <w:lvlText w:val="%1)"/>
      <w:numFmt w:val="decimal"/>
      <w:start w:val="3"/>
    </w:lvl>
  </w:abstractNum>
  <w:abstractNum w:abstractNumId="29">
    <w:nsid w:val="235BA861"/>
    <w:multiLevelType w:val="hybridMultilevel"/>
    <w:lvl w:ilvl="0">
      <w:lvlJc w:val="left"/>
      <w:lvlText w:val="%1)"/>
      <w:numFmt w:val="decimal"/>
      <w:start w:val="4"/>
    </w:lvl>
  </w:abstractNum>
  <w:abstractNum w:abstractNumId="30">
    <w:nsid w:val="47398C89"/>
    <w:multiLevelType w:val="hybridMultilevel"/>
    <w:lvl w:ilvl="0">
      <w:lvlJc w:val="left"/>
      <w:lvlText w:val="%1)"/>
      <w:numFmt w:val="decimal"/>
      <w:start w:val="4"/>
    </w:lvl>
  </w:abstractNum>
  <w:abstractNum w:abstractNumId="31">
    <w:nsid w:val="354FE9F9"/>
    <w:multiLevelType w:val="hybridMultilevel"/>
    <w:lvl w:ilvl="0">
      <w:lvlJc w:val="left"/>
      <w:lvlText w:val="%1)"/>
      <w:numFmt w:val="decimal"/>
      <w:start w:val="5"/>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1)"/>
      <w:numFmt w:val="decimal"/>
      <w:start w:val="6"/>
    </w:lvl>
  </w:abstractNum>
  <w:abstractNum w:abstractNumId="44">
    <w:nsid w:val="25A70BF7"/>
    <w:multiLevelType w:val="hybridMultilevel"/>
    <w:lvl w:ilvl="0">
      <w:lvlJc w:val="left"/>
      <w:lvlText w:val="%1)"/>
      <w:numFmt w:val="decimal"/>
      <w:start w:val="7"/>
    </w:lvl>
  </w:abstractNum>
  <w:abstractNum w:abstractNumId="45">
    <w:nsid w:val="1DBABF00"/>
    <w:multiLevelType w:val="hybridMultilevel"/>
    <w:lvl w:ilvl="0">
      <w:lvlJc w:val="left"/>
      <w:lvlText w:val="%1)"/>
      <w:numFmt w:val="decimal"/>
      <w:start w:val="8"/>
    </w:lvl>
  </w:abstractNum>
  <w:abstractNum w:abstractNumId="46">
    <w:nsid w:val="4AD084E9"/>
    <w:multiLevelType w:val="hybridMultilevel"/>
    <w:lvl w:ilvl="0">
      <w:lvlJc w:val="left"/>
      <w:lvlText w:val="%1)"/>
      <w:numFmt w:val="lowerLetter"/>
      <w:start w:val="1"/>
    </w:lvl>
  </w:abstractNum>
  <w:abstractNum w:abstractNumId="47">
    <w:nsid w:val="1F48EAA1"/>
    <w:multiLevelType w:val="hybridMultilevel"/>
    <w:lvl w:ilvl="0">
      <w:lvlJc w:val="left"/>
      <w:lvlText w:val="%1)"/>
      <w:numFmt w:val="decimal"/>
      <w:start w:val="8"/>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8"/>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8"/>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decimal"/>
      <w:start w:val="8"/>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8"/>
    </w:lvl>
  </w:abstractNum>
  <w:abstractNum w:abstractNumId="58">
    <w:nsid w:val="168E121F"/>
    <w:multiLevelType w:val="hybridMultilevel"/>
    <w:lvl w:ilvl="0">
      <w:lvlJc w:val="left"/>
      <w:lvlText w:val="%1)"/>
      <w:numFmt w:val="decimal"/>
      <w:start w:val="9"/>
    </w:lvl>
  </w:abstractNum>
  <w:abstractNum w:abstractNumId="59">
    <w:nsid w:val="1EBA5D23"/>
    <w:multiLevelType w:val="hybridMultilevel"/>
    <w:lvl w:ilvl="0">
      <w:lvlJc w:val="left"/>
      <w:lvlText w:val="%1)"/>
      <w:numFmt w:val="decimal"/>
      <w:start w:val="9"/>
    </w:lvl>
  </w:abstractNum>
  <w:abstractNum w:abstractNumId="60">
    <w:nsid w:val="661E3F1E"/>
    <w:multiLevelType w:val="hybridMultilevel"/>
    <w:lvl w:ilvl="0">
      <w:lvlJc w:val="left"/>
      <w:lvlText w:val="%1)"/>
      <w:numFmt w:val="decimal"/>
      <w:start w:val="10"/>
    </w:lvl>
  </w:abstractNum>
  <w:abstractNum w:abstractNumId="61">
    <w:nsid w:val="5DC79EA8"/>
    <w:multiLevelType w:val="hybridMultilevel"/>
    <w:lvl w:ilvl="0">
      <w:lvlJc w:val="left"/>
      <w:lvlText w:val="%1)"/>
      <w:numFmt w:val="decimal"/>
      <w:start w:val="10"/>
    </w:lvl>
  </w:abstractNum>
  <w:abstractNum w:abstractNumId="62">
    <w:nsid w:val="540A471C"/>
    <w:multiLevelType w:val="hybridMultilevel"/>
    <w:lvl w:ilvl="0">
      <w:lvlJc w:val="left"/>
      <w:lvlText w:val="%1)"/>
      <w:numFmt w:val="decimal"/>
      <w:start w:val="1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1"/>
    </w:lvl>
  </w:abstractNum>
  <w:abstractNum w:abstractNumId="65">
    <w:nsid w:val="613EFDC5"/>
    <w:multiLevelType w:val="hybridMultilevel"/>
    <w:lvl w:ilvl="0">
      <w:lvlJc w:val="left"/>
      <w:lvlText w:val="%1)"/>
      <w:numFmt w:val="decimal"/>
      <w:start w:val="12"/>
    </w:lvl>
  </w:abstractNum>
  <w:abstractNum w:abstractNumId="66">
    <w:nsid w:val="BF72B14"/>
    <w:multiLevelType w:val="hybridMultilevel"/>
    <w:lvl w:ilvl="0">
      <w:lvlJc w:val="left"/>
      <w:lvlText w:val="%1)"/>
      <w:numFmt w:val="decimal"/>
      <w:start w:val="13"/>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15"/>
    </w:lvl>
  </w:abstractNum>
  <w:abstractNum w:abstractNumId="69">
    <w:nsid w:val="A0382C5"/>
    <w:multiLevelType w:val="hybridMultilevel"/>
    <w:lvl w:ilvl="0">
      <w:lvlJc w:val="left"/>
      <w:lvlText w:val="%1)"/>
      <w:numFmt w:val="decimal"/>
      <w:start w:val="15"/>
    </w:lvl>
  </w:abstractNum>
  <w:abstractNum w:abstractNumId="70">
    <w:nsid w:val="8F2B15E"/>
    <w:multiLevelType w:val="hybridMultilevel"/>
    <w:lvl w:ilvl="0">
      <w:lvlJc w:val="left"/>
      <w:lvlText w:val="%1)"/>
      <w:numFmt w:val="decimal"/>
      <w:start w:val="15"/>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15"/>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15"/>
    </w:lvl>
  </w:abstractNum>
  <w:abstractNum w:abstractNumId="75">
    <w:nsid w:val="60B6DF70"/>
    <w:multiLevelType w:val="hybridMultilevel"/>
    <w:lvl w:ilvl="0">
      <w:lvlJc w:val="left"/>
      <w:lvlText w:val="%1)"/>
      <w:numFmt w:val="decimal"/>
      <w:start w:val="16"/>
    </w:lvl>
  </w:abstractNum>
  <w:abstractNum w:abstractNumId="76">
    <w:nsid w:val="6A5EE64"/>
    <w:multiLevelType w:val="hybridMultilevel"/>
    <w:lvl w:ilvl="0">
      <w:lvlJc w:val="left"/>
      <w:lvlText w:val="(%1)"/>
      <w:numFmt w:val="lowerLetter"/>
      <w:start w:val="4"/>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1"/>
      <w:numFmt w:val="decimal"/>
      <w:start w:val="14"/>
    </w:lvl>
  </w:abstractNum>
  <w:abstractNum w:abstractNumId="79">
    <w:nsid w:val="1A27709E"/>
    <w:multiLevelType w:val="hybridMultilevel"/>
    <w:lvl w:ilvl="0">
      <w:lvlJc w:val="left"/>
      <w:lvlText w:val="%1"/>
      <w:numFmt w:val="decimal"/>
      <w:start w:val="21"/>
    </w:lvl>
  </w:abstractNum>
  <w:abstractNum w:abstractNumId="80">
    <w:nsid w:val="71EA1109"/>
    <w:multiLevelType w:val="hybridMultilevel"/>
    <w:lvl w:ilvl="0">
      <w:lvlJc w:val="left"/>
      <w:lvlText w:val="%1"/>
      <w:numFmt w:val="decimal"/>
      <w:start w:val="104"/>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61" Type="http://schemas.openxmlformats.org/officeDocument/2006/relationships/hyperlink" Target="https://www.sec.gov/Archives/edgar/data/318673/000109690617000214/exh3_1.pdf#www.sec.gov/Archives/edgar/data/318673/000109690617000214/exh3_1.pdf" TargetMode="External"/><Relationship Id="rId162" Type="http://schemas.openxmlformats.org/officeDocument/2006/relationships/hyperlink" Target="https://www.sec.gov/Archives/edgar/data/318673/000109690619000199/exh3_2.pdf" TargetMode="External"/><Relationship Id="rId163" Type="http://schemas.openxmlformats.org/officeDocument/2006/relationships/hyperlink" Target="https://www.sec.gov/Archives/edgar/data/318673/000109690616001835/exh10_4.htm" TargetMode="External"/><Relationship Id="rId164" Type="http://schemas.openxmlformats.org/officeDocument/2006/relationships/hyperlink" Target="https://www.sec.gov/Archives/edgar/data/318673/000144586620001192/snfca_ex10z3.htm" TargetMode="External"/><Relationship Id="rId165" Type="http://schemas.openxmlformats.org/officeDocument/2006/relationships/hyperlink" Target="https://www.sec.gov/Archives/edgar/data/318673/000109690615001153/exh108.htm" TargetMode="External"/><Relationship Id="rId166" Type="http://schemas.openxmlformats.org/officeDocument/2006/relationships/hyperlink" Target="https://www.sec.gov/Archives/edgar/data/318673/000109690618000639/exh10_9.htm" TargetMode="External"/><Relationship Id="rId167" Type="http://schemas.openxmlformats.org/officeDocument/2006/relationships/hyperlink" Target="https://www.sec.gov/Archives/edgar/data/318673/000109690619000199/exh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2023-05-15T08:27:49Z</dcterms:created>
  <dcterms:modified xsi:type="dcterms:W3CDTF">2023-05-15T08:27:49Z</dcterms:modified>
</cp:coreProperties>
</file>