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263"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286" w:lineRule="auto"/>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16"/>
        </w:trPr>
        <w:tc>
          <w:tcPr>
            <w:tcW w:w="4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ind w:right="11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8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52"/>
        </w:trPr>
        <w:tc>
          <w:tcPr>
            <w:tcW w:w="4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4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9"/>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6"/>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32"/>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9"/>
        </w:trPr>
        <w:tc>
          <w:tcPr>
            <w:tcW w:w="48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20"/>
                <w:szCs w:val="20"/>
                <w:color w:val="auto"/>
              </w:rPr>
            </w:pPr>
          </w:p>
        </w:tc>
        <w:tc>
          <w:tcPr>
            <w:tcW w:w="42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00" w:space="720"/>
            <w:col w:w="392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November 10, 2025, the registrant had 22,398,332 shares of Class A Common Stock, $2.00 par value, outstanding and 3,587,237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10"/>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0"/>
                <w:szCs w:val="20"/>
                <w:color w:val="auto"/>
              </w:rPr>
            </w:pPr>
          </w:p>
        </w:tc>
      </w:tr>
      <w:tr>
        <w:trPr>
          <w:trHeight w:val="445"/>
        </w:trPr>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No.</w:t>
            </w:r>
          </w:p>
        </w:tc>
      </w:tr>
      <w:tr>
        <w:trPr>
          <w:trHeight w:val="189"/>
        </w:trPr>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6"/>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620" w:type="dxa"/>
            <w:vAlign w:val="bottom"/>
            <w:tcBorders>
              <w:bottom w:val="single" w:sz="8" w:color="CCEEFF"/>
            </w:tcBorders>
            <w:gridSpan w:val="5"/>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2025 (unaudited) and December 31, 2024</w:t>
            </w:r>
          </w:p>
        </w:tc>
        <w:tc>
          <w:tcPr>
            <w:tcW w:w="2100" w:type="dxa"/>
            <w:vAlign w:val="bottom"/>
            <w:tcBorders>
              <w:bottom w:val="single" w:sz="8" w:color="CCEEFF"/>
            </w:tcBorders>
            <w:gridSpan w:val="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840" w:type="dxa"/>
            <w:vAlign w:val="bottom"/>
          </w:tcPr>
          <w:p>
            <w:pPr>
              <w:spacing w:after="0"/>
              <w:rPr>
                <w:sz w:val="15"/>
                <w:szCs w:val="15"/>
                <w:color w:val="auto"/>
              </w:rPr>
            </w:pPr>
          </w:p>
        </w:tc>
        <w:tc>
          <w:tcPr>
            <w:tcW w:w="956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and nine month periods ended September 30, 2025 and 2024</w:t>
            </w:r>
          </w:p>
        </w:tc>
        <w:tc>
          <w:tcPr>
            <w:tcW w:w="84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9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nine month periods ended September 30, 2025 and</w:t>
            </w:r>
          </w:p>
        </w:tc>
        <w:tc>
          <w:tcPr>
            <w:tcW w:w="840" w:type="dxa"/>
            <w:vAlign w:val="bottom"/>
            <w:tcBorders>
              <w:bottom w:val="single" w:sz="8" w:color="CCEEFF"/>
            </w:tcBorders>
            <w:shd w:val="clear" w:color="auto" w:fill="CCEEFF"/>
          </w:tcPr>
          <w:p>
            <w:pPr>
              <w:spacing w:after="0"/>
              <w:rPr>
                <w:sz w:val="15"/>
                <w:szCs w:val="15"/>
                <w:color w:val="auto"/>
              </w:rPr>
            </w:pPr>
          </w:p>
        </w:tc>
      </w:tr>
      <w:tr>
        <w:trPr>
          <w:trHeight w:val="216"/>
        </w:trPr>
        <w:tc>
          <w:tcPr>
            <w:tcW w:w="8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2024 (unaudited)</w:t>
            </w:r>
          </w:p>
        </w:tc>
        <w:tc>
          <w:tcPr>
            <w:tcW w:w="8320" w:type="dxa"/>
            <w:vAlign w:val="bottom"/>
            <w:tcBorders>
              <w:bottom w:val="single" w:sz="8" w:color="CCEEFF"/>
            </w:tcBorders>
            <w:gridSpan w:val="17"/>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September 30, 2025 and September 30, 2024 (unaudited)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 periods ended September 30, 2025 and 2024 (unaudited)</w:t>
            </w: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9-10</w:t>
            </w:r>
          </w:p>
        </w:tc>
      </w:tr>
      <w:tr>
        <w:trPr>
          <w:trHeight w:val="175"/>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100" w:type="dxa"/>
            <w:vAlign w:val="bottom"/>
            <w:tcBorders>
              <w:top w:val="single" w:sz="8" w:color="CCEEFF"/>
            </w:tcBorders>
            <w:gridSpan w:val="4"/>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5"/>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5940" w:type="dxa"/>
            <w:vAlign w:val="bottom"/>
            <w:tcBorders>
              <w:top w:val="single" w:sz="8" w:color="CCEEFF"/>
            </w:tcBorders>
            <w:gridSpan w:val="11"/>
          </w:tcPr>
          <w:p>
            <w:pPr>
              <w:jc w:val="center"/>
              <w:ind w:right="36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84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20" w:type="dxa"/>
            <w:vAlign w:val="bottom"/>
            <w:tcBorders>
              <w:bottom w:val="single" w:sz="8" w:color="CCEEFF"/>
            </w:tcBorders>
            <w:gridSpan w:val="15"/>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200" w:type="dxa"/>
            <w:vAlign w:val="bottom"/>
            <w:tcBorders>
              <w:bottom w:val="single" w:sz="8" w:color="CCEEFF"/>
            </w:tcBorders>
            <w:gridSpan w:val="8"/>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453"/>
        </w:trPr>
        <w:tc>
          <w:tcPr>
            <w:tcW w:w="8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120" w:type="dxa"/>
            <w:vAlign w:val="bottom"/>
            <w:tcBorders>
              <w:bottom w:val="single" w:sz="8" w:color="auto"/>
            </w:tcBorders>
            <w:gridSpan w:val="13"/>
          </w:tcPr>
          <w:p>
            <w:pPr>
              <w:jc w:val="center"/>
              <w:ind w:left="3830"/>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(amortized cost of $388,640,665 and $376,012,071 for 2025 and 2024,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net of allowance for credit losses of $532,868 and $420,993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2025 and 2024, respectively)</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389,193,589</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366,546,129</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$12,128,914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$11,386,454 for 2025 and 2024,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17,691,024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$2,677,001 and $1,885,390 for 2025 and 2024,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329,164,691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301,747,358</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$35,724,258 and $31,419,539 for 2025 and 2024,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216,563,881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197,693,338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1,619,403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1,278,033</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$1,534,957 and $1,536,926 for 2025 and 2024,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83,124,030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74,855,041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9,746,368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8,499,168</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1,047,102,986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100,396,059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159,460,525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131,181,148</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$1,542,731 and $1,678,531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2025 and 2024,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15,098,066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15,858,743</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$15,016,744 and $12,323,535 for 2025 and 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at estimated fair 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31,673,039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23,806,836</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$6,154,575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$5,689,706 for 2025 and 2024, respectively, at estimated fair value)</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9,685,678</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8,836,503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13,721,510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13,831,093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11,160,991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10,594,632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122,311,900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122,661,298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2,616,372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2,939,878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18,746,096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19,047,688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6,587,339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7,491,600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19,171,747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21,366,843</w:t>
            </w:r>
          </w:p>
        </w:tc>
        <w:tc>
          <w:tcPr>
            <w:tcW w:w="0" w:type="dxa"/>
            <w:vAlign w:val="bottom"/>
          </w:tcPr>
          <w:p>
            <w:pPr>
              <w:spacing w:after="0"/>
              <w:rPr>
                <w:sz w:val="1"/>
                <w:szCs w:val="1"/>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1,562,986,091</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3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965,878,450</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944,811,843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1,863,566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2,011,679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123,096,234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106,740,104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22,234,892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20,168,405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5,838,879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5,642,693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5,536,098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2,937,293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57,177,453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55,633,661</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15,978,661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13,079,257</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1,197,604,233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1,151,024,935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22,395,245 shares issued and outstanding as of September 30, 2025 and</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22,321,559 (1) shares issued and outstanding as of December 31, 2024</w:t>
            </w: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44,790,490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42,510,012</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3,587,237 shares issued and outstanding as of September 30, 2025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3,492,674 (1) shares issued and outstanding as of December 31, 2024</w:t>
            </w: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7,174,474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6,643,666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89,438,415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79,698,367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gain (loss), net of taxes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826,844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(6,951,266)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232,857,565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225,359,186</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- 1,180,564 Class A shares and 104,604 Class C shares</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2025; and 1,080,243 (1) Class A shares and 104,604</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Class C shares as of December 31, 2024</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(9,705,930)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(8,477,686)</w:t>
            </w:r>
          </w:p>
        </w:tc>
      </w:tr>
      <w:tr>
        <w:trPr>
          <w:trHeight w:val="223"/>
        </w:trPr>
        <w:tc>
          <w:tcPr>
            <w:tcW w:w="6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365,381,858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338,782,279</w:t>
            </w:r>
          </w:p>
        </w:tc>
      </w:tr>
      <w:tr>
        <w:trPr>
          <w:trHeight w:val="210"/>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1,562,986,091</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1,489,807,214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Issued and outstanding shares have been adjusted retroactively for the effect of annual stock dividends.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10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29,139,245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30,224,092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83,433,590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81,675,278</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29,880,785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30,011,081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89,846,164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89,823,732</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20,109,600</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17,799,096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59,893,212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55,790,472</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7,140,942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6,814,331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21,698,880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21,531,769</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1,972,198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1,347,656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3,700,926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2,639,843</w:t>
            </w:r>
          </w:p>
        </w:tc>
        <w:tc>
          <w:tcPr>
            <w:tcW w:w="8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1,083,393</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2,077,431</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3,034,263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3,792,127</w:t>
            </w:r>
          </w:p>
        </w:tc>
        <w:tc>
          <w:tcPr>
            <w:tcW w:w="80" w:type="dxa"/>
            <w:vAlign w:val="bottom"/>
            <w:shd w:val="clear" w:color="auto" w:fill="CCEEFF"/>
          </w:tcPr>
          <w:p>
            <w:pPr>
              <w:spacing w:after="0"/>
              <w:rPr>
                <w:sz w:val="19"/>
                <w:szCs w:val="19"/>
                <w:color w:val="auto"/>
              </w:rPr>
            </w:pPr>
          </w:p>
        </w:tc>
      </w:tr>
      <w:tr>
        <w:trPr>
          <w:trHeight w:val="21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89,326,163</w:t>
            </w: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88,273,687</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261,607,035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255,253,221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15,182,809</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13,570,336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46,249,912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43,354,254</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1,374,289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1,194,692</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3,807,498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3,453,425</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8,376,973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8,589,354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26,165,160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27,148,178</w:t>
            </w:r>
          </w:p>
        </w:tc>
        <w:tc>
          <w:tcPr>
            <w:tcW w:w="80" w:type="dxa"/>
            <w:vAlign w:val="bottom"/>
            <w:shd w:val="clear" w:color="auto" w:fill="CCEEFF"/>
          </w:tcPr>
          <w:p>
            <w:pPr>
              <w:spacing w:after="0"/>
              <w:rPr>
                <w:sz w:val="18"/>
                <w:szCs w:val="18"/>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and value of business acquired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5,533,421</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2,287,003</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15,967,631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11,332,305</w:t>
            </w:r>
          </w:p>
        </w:tc>
        <w:tc>
          <w:tcPr>
            <w:tcW w:w="8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13,054,117</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13,204,406</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36,957,836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34,638,464</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21,519,038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21,249,554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65,872,791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61,907,265</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983,291</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907,528</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2,747,684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2,381,400</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947,664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1,380,076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2,873,414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4,078,792</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607,300</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611,475</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1,821,453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1,791,823</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1,813,814</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1,694,791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5,120,855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4,677,767</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7,600,542</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6,191,624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22,956,864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19,476,918</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1,066,528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1,060,653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3,479,494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3,161,943</w:t>
            </w:r>
          </w:p>
        </w:tc>
        <w:tc>
          <w:tcPr>
            <w:tcW w:w="80" w:type="dxa"/>
            <w:vAlign w:val="bottom"/>
            <w:shd w:val="clear" w:color="auto" w:fill="CCEEFF"/>
          </w:tcPr>
          <w:p>
            <w:pPr>
              <w:spacing w:after="0"/>
              <w:rPr>
                <w:sz w:val="18"/>
                <w:szCs w:val="18"/>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and services sold-mortuaries and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cemeteries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1,113,425</w:t>
            </w: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1,117,513</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3,525,978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3,627,101</w:t>
            </w:r>
          </w:p>
        </w:tc>
        <w:tc>
          <w:tcPr>
            <w:tcW w:w="80" w:type="dxa"/>
            <w:vAlign w:val="bottom"/>
          </w:tcPr>
          <w:p>
            <w:pPr>
              <w:spacing w:after="0"/>
              <w:rPr>
                <w:sz w:val="21"/>
                <w:szCs w:val="2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79,173,211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73,059,005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237,546,570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221,029,635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10,152,952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15,214,682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24,060,465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34,223,586</w:t>
            </w:r>
          </w:p>
        </w:tc>
        <w:tc>
          <w:tcPr>
            <w:tcW w:w="8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(2,337,926)</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(3,383,238)</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(5,400,792)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(7,646,071)</w:t>
            </w:r>
          </w:p>
        </w:tc>
      </w:tr>
      <w:tr>
        <w:trPr>
          <w:trHeight w:val="209"/>
        </w:trPr>
        <w:tc>
          <w:tcPr>
            <w:tcW w:w="4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7,815,026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11,831,444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18,659,673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26,577,515</w:t>
            </w:r>
          </w:p>
        </w:tc>
        <w:tc>
          <w:tcPr>
            <w:tcW w:w="80" w:type="dxa"/>
            <w:vAlign w:val="bottom"/>
          </w:tcPr>
          <w:p>
            <w:pPr>
              <w:spacing w:after="0"/>
              <w:rPr>
                <w:sz w:val="24"/>
                <w:szCs w:val="24"/>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per Class A Equivalent common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 (1)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per Class A Equivalent common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share-assuming dilution (1)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24,709,518</w:t>
            </w: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24,418,679</w:t>
            </w:r>
          </w:p>
        </w:tc>
        <w:tc>
          <w:tcPr>
            <w:tcW w:w="2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24,725,938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24,465,661</w:t>
            </w:r>
          </w:p>
        </w:tc>
        <w:tc>
          <w:tcPr>
            <w:tcW w:w="80" w:type="dxa"/>
            <w:vAlign w:val="bottom"/>
          </w:tcPr>
          <w:p>
            <w:pPr>
              <w:spacing w:after="0"/>
              <w:rPr>
                <w:sz w:val="24"/>
                <w:szCs w:val="24"/>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outstanding-assuming dilution (1)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25,401,445</w:t>
            </w: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25,272,078</w:t>
            </w:r>
          </w:p>
        </w:tc>
        <w:tc>
          <w:tcPr>
            <w:tcW w:w="22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25,554,177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25,197,013</w:t>
            </w:r>
          </w:p>
        </w:tc>
        <w:tc>
          <w:tcPr>
            <w:tcW w:w="80" w:type="dxa"/>
            <w:vAlign w:val="bottom"/>
          </w:tcPr>
          <w:p>
            <w:pPr>
              <w:spacing w:after="0"/>
              <w:rPr>
                <w:sz w:val="22"/>
                <w:szCs w:val="22"/>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60" w:hanging="292"/>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10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0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7,815,026</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11,831,444</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18,659,673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26,577,515</w:t>
            </w:r>
          </w:p>
        </w:tc>
        <w:tc>
          <w:tcPr>
            <w:tcW w:w="100" w:type="dxa"/>
            <w:vAlign w:val="bottom"/>
            <w:shd w:val="clear" w:color="auto" w:fill="CCEEFF"/>
          </w:tcPr>
          <w:p>
            <w:pPr>
              <w:spacing w:after="0"/>
              <w:rPr>
                <w:sz w:val="18"/>
                <w:szCs w:val="18"/>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fixed maturity securities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3,353,280</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10,443,490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9,835,254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8,661,351</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restricted assets (1)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7,118</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9,353</w:t>
            </w:r>
          </w:p>
        </w:tc>
        <w:tc>
          <w:tcPr>
            <w:tcW w:w="22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5,770</w:t>
            </w:r>
          </w:p>
        </w:tc>
      </w:tr>
      <w:tr>
        <w:trPr>
          <w:trHeight w:val="198"/>
        </w:trPr>
        <w:tc>
          <w:tcPr>
            <w:tcW w:w="4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cemetery perpetual care trust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(1)</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4,056</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4,263</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2,438</w:t>
            </w:r>
          </w:p>
        </w:tc>
      </w:tr>
      <w:tr>
        <w:trPr>
          <w:trHeight w:val="209"/>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income tax</w:t>
            </w:r>
          </w:p>
        </w:tc>
        <w:tc>
          <w:tcPr>
            <w:tcW w:w="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3,364,454</w:t>
            </w:r>
          </w:p>
        </w:tc>
        <w:tc>
          <w:tcPr>
            <w:tcW w:w="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10,457,106</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9,847,560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8,669,559</w:t>
            </w:r>
          </w:p>
        </w:tc>
        <w:tc>
          <w:tcPr>
            <w:tcW w:w="100" w:type="dxa"/>
            <w:vAlign w:val="bottom"/>
            <w:tcBorders>
              <w:bottom w:val="single" w:sz="8" w:color="CCEEFF"/>
            </w:tcBorders>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(707,467</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(2,201,866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(2,069,450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income tax</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2,656,987</w:t>
            </w:r>
          </w:p>
        </w:tc>
        <w:tc>
          <w:tcPr>
            <w:tcW w:w="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8,255,240</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7,778,110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6,843,013</w:t>
            </w:r>
          </w:p>
        </w:tc>
        <w:tc>
          <w:tcPr>
            <w:tcW w:w="100" w:type="dxa"/>
            <w:vAlign w:val="bottom"/>
            <w:tcBorders>
              <w:bottom w:val="single" w:sz="8" w:color="CCEEFF"/>
            </w:tcBorders>
          </w:tcPr>
          <w:p>
            <w:pPr>
              <w:spacing w:after="0"/>
              <w:rPr>
                <w:sz w:val="18"/>
                <w:szCs w:val="18"/>
                <w:color w:val="auto"/>
              </w:rPr>
            </w:pPr>
          </w:p>
        </w:tc>
      </w:tr>
      <w:tr>
        <w:trPr>
          <w:trHeight w:val="22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10,472,013</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20,086,684</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26,437,783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33,420,528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 Fixed maturity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$42,510,012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$ 6,643,666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$79,698,367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(6,951,266)</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$ 225,359,186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(8,477,686)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$ 338,782,279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4,338,292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4,338,292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2,997,612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2,997,612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309,260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309,260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132,546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190,674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(92,965)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(149,009)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81,246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90,895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136,367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227,262</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(242,265)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(242,265)</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42,643,478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$ 6,834,340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80,004,637</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(3,953,654</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229,697,478</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(8,732,593</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346,493,686</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6,506,355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6,506,355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2,123,511</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2,123,511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320,379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320,379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63,807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208,399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272,206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(961,419)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(961,419)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2,132,832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341,678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8,685,530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(11,160,040)</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44,783,274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$ 7,175,228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89,068,179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(1,830,143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225,043,793</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(9,485,613</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354,754,718</w:t>
            </w:r>
          </w:p>
        </w:tc>
        <w:tc>
          <w:tcPr>
            <w:tcW w:w="100" w:type="dxa"/>
            <w:vAlign w:val="bottom"/>
            <w:tcBorders>
              <w:bottom w:val="single" w:sz="8" w:color="CCEEFF"/>
            </w:tcBorders>
          </w:tcPr>
          <w:p>
            <w:pPr>
              <w:spacing w:after="0"/>
              <w:rPr>
                <w:sz w:val="22"/>
                <w:szCs w:val="22"/>
                <w:color w:val="auto"/>
              </w:rPr>
            </w:pPr>
          </w:p>
        </w:tc>
      </w:tr>
      <w:tr>
        <w:trPr>
          <w:trHeight w:val="196"/>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7,815,026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7,815,026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2,656,987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2,656,987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320,241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180,612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235,815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(400,929)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(400,929)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(1,254)</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44,790,490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$ 7,174,474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89,438,415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232,857,565</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(9,705,930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365,381,858</w:t>
            </w:r>
          </w:p>
        </w:tc>
        <w:tc>
          <w:tcPr>
            <w:tcW w:w="10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7,271,549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7,271,549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(517,129)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(517,129)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184,066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184,066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64,164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252,208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265,409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(1,588,058)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(1,588,058)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2,009,442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297,156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5,847,226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(8,153,824)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42,171,872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78,752,885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(8,297,785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213,570,620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(6,671,931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325,765,993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11,831,444</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11,831,444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8,255,240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8,255,240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196,326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62,860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70,410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224,469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245,750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(43,097)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(43,097)</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42,235,972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78,977,933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225,400,933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(6,490,559</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346,322,066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41"/>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27,552,994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34,894,323</w:t>
            </w:r>
          </w:p>
        </w:tc>
      </w:tr>
      <w:tr>
        <w:trPr>
          <w:trHeight w:val="209"/>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(63,091,501)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(45,346,681)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49,800,384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89,829,379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(4,245,856)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(2,769,612)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3,814,374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2,018,249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(5,191,557)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(2,536,814)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3,323,223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1,171,707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(990,234)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(2,487,924)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1,896,777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2,383,653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(652,228,219)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(549,027,246)</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615,698,100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540,583,700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(1,591,486)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(575,648)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365,693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(53,207,439)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(46,189,096)</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31,493,671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28,385,283</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(74,515,063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9,217,213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10,193,442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(12,494,990)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(11,520,918)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81,246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116,592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(1,604,613)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(1,672,232)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(49,525,258)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(1,423,826)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(3,174,878)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2,622,976</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(35,463,349)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49,015,000</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150,102,620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139,923,399</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114,639,271</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188,938,399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3,497,142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3,124,591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4,548,279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6,877,342</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fixed maturity securities available for sale to other investments</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1,185,603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1,157,084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1,130,610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transferred into mortgage loans held for investment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735,283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981,680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858,977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sale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190,495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176,040</w:t>
            </w:r>
          </w:p>
        </w:tc>
      </w:tr>
      <w:tr>
        <w:trPr>
          <w:trHeight w:val="432"/>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are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100,396,059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13,556,435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15,232,601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686,777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2,999,256</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114,639,271</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188,938,399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2024, included in the Company’s Annual Report on Form 10-K (File Number 000-09341). In the opinion of management, all adjustments (consisting of normal recurring accruals) considered necessary for a fair presentation have been included. Operating results for the three- and nine-month periods ended September 30, 2025, are not necessarily indicative of the results that may be expected for the year ending December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The Company will adopt the standard commencing with its annual reporting period ending December 31, 2025, using the modified retrospective transition method as of the transition date (“Transition Date”) of January 1, 2024. The modified retrospective transition method requires the amended guidance be applied to contracts issued after the beginning of the earliest period presented, or the Transition Date, which will result in the restatement of the 2024 consolidated financial statements.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adoption of this guidance is expected to have an impact on its financial position, results of operations, and disclosures, as well as systems, processes and controls. Based upon the modified retrospective transition method, the Company estimates that the January 1, 2024, Transition Date impact from adoption will include an increase to total stockholders’ equity of approximately $4 million to $6 million. This expected increase includes the estimated impact to accumulated other comprehensive income (“AOCI”), which, as of the Transition Date, is expected to result in an increase of approximately $4 million to $6 million, net of income tax. The most significant drivers of the expected increase in AOCI are the anticipated impacts of the changes in the discount rates as of the Transition Date to be used in measuring the liability for future policy benefits for traditional and limited payment contracts. The expected increase to total stockholders’ equity also includes the estimated impact to retained earnings, which is immaterial.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implementation, cash flow assumptions, such as mortality, lapse, and expense, will be reviewed at least annually and, if necessary, they will be updated to reflect actual experience and current expectations in the calculation of the Company’s future policy benefits. Historically, cash flow assumptions were locked in at policy issuance and remained in place for the life of the business—even when material variances emerged between assumptions and actual experience—except in the case of a premium deficiency. Under the new guidance, net premiums are capped at 100 percent of gross premiums at the cohort level. Adoption of this standard also requires changes in the future treatment of the Company’s Deferred Acquisition Cost (“DAC”) asset.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interest rate used to calculate the Company’s future policy benefits was set at policy issuance and remained in effect for the life of the policy. The Company used an expected investment portfolio rate of return based on a conservative experience assumption. The new guidance seeks to improve reporting on the financial impact associated with interest rate sensitivity. To accomplish this, future policy benefits will be calculated using a discount rate based on an upper-medium-grade (A-rated) fixed income instrument.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future policy benefit for each cohort is calculated using the original discount rate and then remeasured using the current discount rate curve. The original rate is used to determine interest accretion on the liability—which is included in net earnings—as well as to calculate the net premiums in both scenarios. The impact of remeasurement, from the original locked-in discount rate to the current rate, is reported as a component of the Company’s AOCI. This original discount rate is locked in at the cohort’s inception or at the Transition Date and will continue to be used in determining the impact on future net earnings associated with that contract.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DAC is used by insurance companies to defer costs related to acquiring insurance policies. Under the new guidance, amortization methods will be simplified, and DAC for all insurance contracts will be subject to straight-line amortization over the lifetime of the policy. Historically, traditional life contracts were amortized in proportion to premiums over the expected premium-paying period. Additionally, shadow DAC will no longer be reported and will be removed from AOCI, net of tax. The impact of the removal of shadow DAC is immaterial. The Company expects the impact on net earnings due to the decrease in amortization of DAC to be in the range of $3 million to $4 million, net of tax for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requirements of the new guidance represents a change from existing standard, the new guidance will not impact capital and surplus or net income under statutory accounting practices, cash flows on the Company’s policies, or the underlying economics of the Company’s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for the annual reporting periods beginning January 1, 2025. The Company will adopt the standard commencing with its annual reporting period ending December 31, 2025. The Company does not anticipate that the adoption of this standard will have a material impact on the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8"/>
          <w:szCs w:val="18"/>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this new standard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September 30,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69"/>
        </w:trPr>
        <w:tc>
          <w:tcPr>
            <w:tcW w:w="40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77,815,616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941,844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(154,207)</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78,603,253</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3,416,026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11,280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(175,233)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3,252,073</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281,126,441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7,265,563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(3,263,456)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(378,819)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284,749,729</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25,532,582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110,226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(3,622,125)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21,866,634</w:t>
            </w: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721,900</w:t>
            </w:r>
          </w:p>
        </w:tc>
      </w:tr>
      <w:tr>
        <w:trPr>
          <w:trHeight w:val="223"/>
        </w:trPr>
        <w:tc>
          <w:tcPr>
            <w:tcW w:w="1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388,640,665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8,338,313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(7,252,521)</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(532,868)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389,193,589</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12,128,914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5,898,600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(336,490)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17,691,024</w:t>
            </w:r>
          </w:p>
        </w:tc>
      </w:tr>
      <w:tr>
        <w:trPr>
          <w:trHeight w:val="210"/>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12,128,914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5,898,600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(336,490)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17,691,024</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91,948,455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165,869,176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76,447,701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(2,159,279)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(2,677,001)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(264,361)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329,164,691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93,885,033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122,678,848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216,563,881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1,467,850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1,619,403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14,372,484</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42,278,320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1,590,400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26,417,783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40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(1,534,957)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5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83,124,030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9,746,368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88"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$ 1,047,102,986</w:t>
            </w:r>
          </w:p>
        </w:tc>
      </w:tr>
      <w:tr>
        <w:trPr>
          <w:trHeight w:val="27"/>
        </w:trPr>
        <w:tc>
          <w:tcPr>
            <w:tcW w:w="4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60" w:hanging="334"/>
        <w:spacing w:after="0"/>
        <w:tabs>
          <w:tab w:leader="none" w:pos="3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unrealized losses are net of allowance for credit losses</w:t>
      </w:r>
    </w:p>
    <w:p>
      <w:pPr>
        <w:spacing w:after="0" w:line="107" w:lineRule="exact"/>
        <w:rPr>
          <w:rFonts w:ascii="Times New Roman" w:cs="Times New Roman" w:eastAsia="Times New Roman" w:hAnsi="Times New Roman"/>
          <w:sz w:val="22"/>
          <w:szCs w:val="22"/>
          <w:color w:val="auto"/>
        </w:rPr>
      </w:pPr>
    </w:p>
    <w:p>
      <w:pPr>
        <w:ind w:left="360" w:hanging="292"/>
        <w:spacing w:after="0"/>
        <w:tabs>
          <w:tab w:leader="none" w:pos="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$581,600 of Membership stock and $1,008,800 of Activity stock attributable to short-term borrowings and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line="71"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74,680,606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327,618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(486,976)</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74,521,248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6,416,751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(290,448)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6,128,065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262,954,278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(6,922,871)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(408,944)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258,067,305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31,710,436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(4,244,640)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27,579,511</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376,012,071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2,899,986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(11,944,935)</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(420,993)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366,546,129</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(591,340)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92,061,787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151,172,733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62,753,085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(272,616)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301,747,358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71,618,410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126,074,928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197,693,338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1,278,033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11,473,961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(1,536,926)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74,855,041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8,499,168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966,390,748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9" w:orient="portrait"/>
          <w:cols w:equalWidth="0" w:num="1">
            <w:col w:w="11240"/>
          </w:cols>
          <w:pgMar w:left="320" w:top="688" w:right="339" w:bottom="0" w:gutter="0" w:footer="0" w:header="0"/>
        </w:sectPr>
      </w:pPr>
    </w:p>
    <w:bookmarkStart w:id="16" w:name="page17"/>
    <w:bookmarkEnd w:id="16"/>
    <w:p>
      <w:pPr>
        <w:ind w:left="334" w:hanging="334"/>
        <w:spacing w:after="0"/>
        <w:tabs>
          <w:tab w:leader="none" w:pos="33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2856865</wp:posOffset>
            </wp:positionH>
            <wp:positionV relativeFrom="page">
              <wp:posOffset>88900</wp:posOffset>
            </wp:positionV>
            <wp:extent cx="720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106045</wp:posOffset>
            </wp:positionV>
            <wp:extent cx="720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8255"/>
                    </a:xfrm>
                    <a:prstGeom prst="rect">
                      <a:avLst/>
                    </a:prstGeom>
                    <a:noFill/>
                  </pic:spPr>
                </pic:pic>
              </a:graphicData>
            </a:graphic>
          </wp:anchor>
        </w:drawing>
        <w:t>Gross unrealized losses are net of allowance for credit losses</w:t>
      </w:r>
    </w:p>
    <w:p>
      <w:pPr>
        <w:spacing w:after="0" w:line="107" w:lineRule="exact"/>
        <w:rPr>
          <w:rFonts w:ascii="Times New Roman" w:cs="Times New Roman" w:eastAsia="Times New Roman" w:hAnsi="Times New Roman"/>
          <w:sz w:val="22"/>
          <w:szCs w:val="22"/>
          <w:color w:val="auto"/>
        </w:rPr>
      </w:pPr>
    </w:p>
    <w:p>
      <w:pPr>
        <w:ind w:left="334" w:hanging="292"/>
        <w:spacing w:after="0"/>
        <w:tabs>
          <w:tab w:leader="none" w:pos="33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$1,851,000 of Activity stock due to short-term advances and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-351790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5" w:lineRule="exact"/>
        <w:rPr>
          <w:sz w:val="20"/>
          <w:szCs w:val="20"/>
          <w:color w:val="auto"/>
        </w:rPr>
      </w:pPr>
    </w:p>
    <w:p>
      <w:pPr>
        <w:ind w:left="551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3"/>
          </w:cols>
          <w:pgMar w:left="346" w:top="423" w:right="1440"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securities or equity securities, aggregated by issuer, of more than 10% of shareholders’ equity (before net unrealized gains and losses on equity securities and fixed maturity securities) as of September 30, 2025, other than investments issued or guaranteed by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2025, and December 31, 2024. The fair values of fixed maturity securities that are actively traded are based on quoted market prices. For fixed maturity securities that are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tbl>
      <w:tblPr>
        <w:tblLayout w:type="fixed"/>
        <w:tblInd w:w="0" w:type="dxa"/>
        <w:tblCellMar>
          <w:top w:w="0" w:type="dxa"/>
          <w:left w:w="0" w:type="dxa"/>
          <w:bottom w:w="0" w:type="dxa"/>
          <w:right w:w="0" w:type="dxa"/>
        </w:tblCellMar>
      </w:tblPr>
      <w:tr>
        <w:trPr>
          <w:trHeight w:val="201"/>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center"/>
              <w:ind w:right="140"/>
              <w:spacing w:after="0" w:line="201" w:lineRule="exact"/>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140"/>
              <w:spacing w:after="0" w:line="201" w:lineRule="exact"/>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2025</w:t>
            </w:r>
          </w:p>
        </w:tc>
        <w:tc>
          <w:tcPr>
            <w:tcW w:w="22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2,413,864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10,950,745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154,207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13,364,609</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2,107,032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2,306,710</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28,709,675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2,806,552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51,662,199</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3,263,456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80,371,874</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360,565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3,615,266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18,132,086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3,622,125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18,492,651</w:t>
            </w:r>
          </w:p>
        </w:tc>
      </w:tr>
      <w:tr>
        <w:trPr>
          <w:trHeight w:val="230"/>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212,500</w:t>
            </w:r>
          </w:p>
        </w:tc>
        <w:tc>
          <w:tcPr>
            <w:tcW w:w="80" w:type="dxa"/>
            <w:vAlign w:val="bottom"/>
          </w:tcPr>
          <w:p>
            <w:pPr>
              <w:spacing w:after="0"/>
              <w:rPr>
                <w:sz w:val="19"/>
                <w:szCs w:val="19"/>
                <w:color w:val="auto"/>
              </w:rPr>
            </w:pPr>
          </w:p>
        </w:tc>
      </w:tr>
      <w:tr>
        <w:trPr>
          <w:trHeight w:val="223"/>
        </w:trPr>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31,896,282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6,745,650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82,852,062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7,252,521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114,748,344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7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986,365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478,239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22,110,495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486,976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23,096,860</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3,008,385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290,448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5,176,303</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1,888,022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93,562,219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5,034,849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77,975,776</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6,922,871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171,537,995</w:t>
            </w:r>
          </w:p>
        </w:tc>
        <w:tc>
          <w:tcPr>
            <w:tcW w:w="80" w:type="dxa"/>
            <w:vAlign w:val="bottom"/>
          </w:tcPr>
          <w:p>
            <w:pPr>
              <w:spacing w:after="0"/>
              <w:rPr>
                <w:sz w:val="18"/>
                <w:szCs w:val="18"/>
                <w:color w:val="auto"/>
              </w:rPr>
            </w:pPr>
          </w:p>
        </w:tc>
      </w:tr>
      <w:tr>
        <w:trPr>
          <w:trHeight w:val="229"/>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2,915,192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4,212,490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19,041,442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4,244,640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21,956,634</w:t>
            </w:r>
          </w:p>
        </w:tc>
      </w:tr>
      <w:tr>
        <w:trPr>
          <w:trHeight w:val="223"/>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1,943,912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99,631,694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10,001,023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122,136,098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11,944,935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221,767,792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Relevant holdings were comprised of 359 securities with fair values aggregating 94.1% of the aggregate amortized cost as of September 30, 2025, compared to 706 securities with fair values aggregating 94.9% of the aggregate amortized cost as of December 31, 2024. A credit loss provision of $45,882 and of $20,342 have been recognized for the three-month periods ended September 30, 2025, and 2024, respectively. A credit loss provision of $111,875 and of $100,053 have been recognized for the nine-month periods ended September 30, 2025, and 2024,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condensed consolidated balance sheets, as the Company writes off any accrued interest income to net investment income if the accrued but unpaid amount exceeds 90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98.5% and 97.7% of its fixed maturity securities rated investment grade as of September 30, 2025, and December 31, 2024, respectively. The following table summarizes the credit quality, by NAIC designation, of the Company’s fixed maturity securities available for sale, excluding redeemable preferred stock.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5"/>
          </w:tcPr>
          <w:p>
            <w:pPr>
              <w:jc w:val="right"/>
              <w:ind w:right="1260"/>
              <w:spacing w:after="0"/>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Pr>
          <w:p>
            <w:pPr>
              <w:spacing w:after="0"/>
              <w:rPr>
                <w:sz w:val="19"/>
                <w:szCs w:val="19"/>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6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r>
      <w:tr>
        <w:trPr>
          <w:trHeight w:val="234"/>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NAIC Designation</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201,200,500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200,858,163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188,386,980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183,460,027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180,271,273</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181,731,893</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178,060,265</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174,405,442</w:t>
            </w:r>
          </w:p>
        </w:tc>
      </w:tr>
      <w:tr>
        <w:trPr>
          <w:trHeight w:val="216"/>
        </w:trPr>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5,748,526</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5,407,297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7,961,422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7,342,220</w:t>
            </w:r>
          </w:p>
        </w:tc>
      </w:tr>
      <w:tr>
        <w:trPr>
          <w:trHeight w:val="216"/>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406,486</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412,461</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649,592</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600,459</w:t>
            </w:r>
          </w:p>
        </w:tc>
      </w:tr>
      <w:tr>
        <w:trPr>
          <w:trHeight w:val="216"/>
        </w:trPr>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262,549</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61,875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702,643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487,981</w:t>
            </w:r>
          </w:p>
        </w:tc>
      </w:tr>
      <w:tr>
        <w:trPr>
          <w:trHeight w:val="229"/>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387,890,665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388,471,689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375,762,071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366,296,129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three-month periods ended September 30, 2025, and 2024:</w:t>
      </w: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states and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2025</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474,937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486,986</w:t>
            </w: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45,882</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520,819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532,868</w:t>
            </w: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states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2024</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382,211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394,260</w:t>
            </w: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(4,658)</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402,553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414,602</w:t>
            </w:r>
          </w:p>
        </w:tc>
      </w:tr>
      <w:tr>
        <w:trPr>
          <w:trHeight w:val="20"/>
        </w:trPr>
        <w:tc>
          <w:tcPr>
            <w:tcW w:w="4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095" w:gutter="0" w:footer="0" w:header="0"/>
        </w:sectPr>
      </w:pPr>
    </w:p>
    <w:bookmarkStart w:id="20" w:name="page21"/>
    <w:bookmarkEnd w:id="2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nine-month periods ended September 30, 2025, and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 Sepember 30,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states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39,875</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39,875</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520,819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532,868</w:t>
            </w:r>
          </w:p>
        </w:tc>
        <w:tc>
          <w:tcPr>
            <w:tcW w:w="1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 Sepember 30, 2024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U.S. Treasury</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 and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Obligations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states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political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public</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utilities</w:t>
            </w:r>
          </w:p>
        </w:tc>
        <w:tc>
          <w:tcPr>
            <w:tcW w:w="12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6,049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314,549</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96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39,053</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 intent to</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w:t>
            </w:r>
          </w:p>
        </w:tc>
        <w:tc>
          <w:tcPr>
            <w:tcW w:w="96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20"/>
                <w:szCs w:val="20"/>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96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9"/>
                <w:szCs w:val="19"/>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402,553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414,602</w:t>
            </w:r>
          </w:p>
        </w:tc>
        <w:tc>
          <w:tcPr>
            <w:tcW w:w="1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September 30, 2025, by contractual maturity. Actual or expected maturities may differ from contractual maturities because certain securities afford the issuer the right to call or prepay its obligations.</w:t>
      </w:r>
    </w:p>
    <w:tbl>
      <w:tblPr>
        <w:tblLayout w:type="fixed"/>
        <w:tblInd w:w="0" w:type="dxa"/>
        <w:tblCellMar>
          <w:top w:w="0" w:type="dxa"/>
          <w:left w:w="0" w:type="dxa"/>
          <w:bottom w:w="0" w:type="dxa"/>
          <w:right w:w="0" w:type="dxa"/>
        </w:tblCellMar>
      </w:tblPr>
      <w:tr>
        <w:trPr>
          <w:trHeight w:val="199"/>
        </w:trPr>
        <w:tc>
          <w:tcPr>
            <w:tcW w:w="4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line="199"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7"/>
                <w:szCs w:val="17"/>
                <w:color w:val="auto"/>
              </w:rPr>
            </w:pPr>
          </w:p>
        </w:tc>
        <w:tc>
          <w:tcPr>
            <w:tcW w:w="1300" w:type="dxa"/>
            <w:vAlign w:val="bottom"/>
          </w:tcPr>
          <w:p>
            <w:pPr>
              <w:jc w:val="right"/>
              <w:ind w:right="150"/>
              <w:spacing w:after="0" w:line="199" w:lineRule="exact"/>
              <w:rPr>
                <w:sz w:val="20"/>
                <w:szCs w:val="20"/>
                <w:color w:val="auto"/>
              </w:rPr>
            </w:pPr>
            <w:r>
              <w:rPr>
                <w:rFonts w:ascii="Times New Roman" w:cs="Times New Roman" w:eastAsia="Times New Roman" w:hAnsi="Times New Roman"/>
                <w:sz w:val="18"/>
                <w:szCs w:val="18"/>
                <w:color w:val="auto"/>
                <w:w w:val="98"/>
              </w:rPr>
              <w:t>Estimated Fair</w:t>
            </w:r>
          </w:p>
        </w:tc>
        <w:tc>
          <w:tcPr>
            <w:tcW w:w="3380" w:type="dxa"/>
            <w:vAlign w:val="bottom"/>
          </w:tcPr>
          <w:p>
            <w:pPr>
              <w:spacing w:after="0"/>
              <w:rPr>
                <w:sz w:val="17"/>
                <w:szCs w:val="17"/>
                <w:color w:val="auto"/>
              </w:rPr>
            </w:pPr>
          </w:p>
        </w:tc>
      </w:tr>
      <w:tr>
        <w:trPr>
          <w:trHeight w:val="234"/>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Pr>
          <w:p>
            <w:pPr>
              <w:spacing w:after="0"/>
              <w:rPr>
                <w:sz w:val="20"/>
                <w:szCs w:val="20"/>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5,431,523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5,435,051</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138,658,507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139,348,247</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129,622,596</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133,518,158</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88,645,457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88,303,599</w:t>
            </w:r>
          </w:p>
        </w:tc>
        <w:tc>
          <w:tcPr>
            <w:tcW w:w="33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25,532,582</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21,866,634</w:t>
            </w:r>
          </w:p>
        </w:tc>
        <w:tc>
          <w:tcPr>
            <w:tcW w:w="33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721,900</w:t>
            </w:r>
          </w:p>
        </w:tc>
        <w:tc>
          <w:tcPr>
            <w:tcW w:w="3380" w:type="dxa"/>
            <w:vAlign w:val="bottom"/>
          </w:tcPr>
          <w:p>
            <w:pPr>
              <w:spacing w:after="0"/>
              <w:rPr>
                <w:sz w:val="18"/>
                <w:szCs w:val="18"/>
                <w:color w:val="auto"/>
              </w:rPr>
            </w:pPr>
          </w:p>
        </w:tc>
      </w:tr>
      <w:tr>
        <w:trPr>
          <w:trHeight w:val="209"/>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388,640,665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389,193,589</w:t>
            </w:r>
          </w:p>
        </w:tc>
        <w:tc>
          <w:tcPr>
            <w:tcW w:w="338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4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1" w:name="page22"/>
    <w:bookmarkEnd w:id="2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4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2,714</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r>
      <w:tr>
        <w:trPr>
          <w:trHeight w:val="432"/>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7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As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48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7,756,474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6,126,589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8"/>
                <w:szCs w:val="18"/>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1,538,320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1,444,654</w:t>
            </w:r>
          </w:p>
        </w:tc>
        <w:tc>
          <w:tcPr>
            <w:tcW w:w="60" w:type="dxa"/>
            <w:vAlign w:val="bottom"/>
            <w:shd w:val="clear" w:color="auto" w:fill="CCEEFF"/>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7"/>
              </w:rPr>
              <w:t>9,294,794</w:t>
            </w:r>
          </w:p>
        </w:tc>
        <w:tc>
          <w:tcPr>
            <w:tcW w:w="1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7,971,243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26,013,241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25,309,270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1,310,683</w:t>
            </w:r>
          </w:p>
        </w:tc>
        <w:tc>
          <w:tcPr>
            <w:tcW w:w="12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4,417,683</w:t>
            </w:r>
          </w:p>
        </w:tc>
      </w:tr>
      <w:tr>
        <w:trPr>
          <w:trHeight w:val="22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27,323,924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29,726,953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two of its life insurance subsidiaries, is a member of the Federal Home Loan Banks of Des Moines and Dallas (“FHLBs”). Assets pledged as collateral with the FHLBs are presented below. These pledged securities are used as collateral for any FHLB cash advances. As of September 30, 2025, the Company owed $21,000,000 to the FHLBs for advances, which is included in Bank and other loans payable on the condensed consolidated balance sheets. The Company received $69,000,000 in advances and repaid $48,000,000 of these advances during the nine months ended September 30,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As of</w:t>
            </w:r>
          </w:p>
        </w:tc>
        <w:tc>
          <w:tcPr>
            <w:tcW w:w="22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Pr>
          <w:p>
            <w:pPr>
              <w:spacing w:after="0"/>
              <w:rPr>
                <w:sz w:val="20"/>
                <w:szCs w:val="20"/>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62,730,848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63,800,454</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5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Board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manage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$116,012,235 and $119,889,846 as of September 30, 2025, and December 31, 2024, respectively. The associated bank loan carrying values totaled $94,597,809 and $96,007,488 as of September 30, 2025, and December 31,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nine-month periods ended September 30, 2025, and 2024,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September 30, 2025, and 2024, the Company recorded depreciation expense on commercial real estate held for investment of $1,432,750 and $1,420,367, respectively, and of $4,287,687 and $4,366,462 during the nine-month periods ended September 30, 2025, and 2024, respectively. Commercial real estate held for investment is stated at cost and is depreciated over the estimated useful life, primarily using the straight-line method. Depreciation is included in net investment income on the condensed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Net Book Value</w:t>
            </w:r>
          </w:p>
        </w:tc>
        <w:tc>
          <w:tcPr>
            <w:tcW w:w="80" w:type="dxa"/>
            <w:vAlign w:val="bottom"/>
          </w:tcPr>
          <w:p>
            <w:pPr>
              <w:spacing w:after="0"/>
              <w:rPr>
                <w:sz w:val="19"/>
                <w:szCs w:val="19"/>
                <w:color w:val="auto"/>
              </w:rPr>
            </w:pPr>
          </w:p>
        </w:tc>
        <w:tc>
          <w:tcPr>
            <w:tcW w:w="27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Total Square Footage</w:t>
            </w:r>
          </w:p>
        </w:tc>
        <w:tc>
          <w:tcPr>
            <w:tcW w:w="2260" w:type="dxa"/>
            <w:vAlign w:val="bottom"/>
          </w:tcPr>
          <w:p>
            <w:pPr>
              <w:spacing w:after="0"/>
              <w:rPr>
                <w:sz w:val="19"/>
                <w:szCs w:val="19"/>
                <w:color w:val="auto"/>
              </w:rPr>
            </w:pPr>
          </w:p>
        </w:tc>
      </w:tr>
      <w:tr>
        <w:trPr>
          <w:trHeight w:val="191"/>
        </w:trPr>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500" w:type="dxa"/>
            <w:vAlign w:val="bottom"/>
            <w:tcBorders>
              <w:top w:val="single" w:sz="8" w:color="auto"/>
            </w:tcBorders>
            <w:gridSpan w:val="3"/>
          </w:tcPr>
          <w:p>
            <w:pPr>
              <w:jc w:val="right"/>
              <w:ind w:right="38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122,660,759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126,056,342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18,586</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c>
          <w:tcPr>
            <w:tcW w:w="2260" w:type="dxa"/>
            <w:vAlign w:val="bottom"/>
          </w:tcPr>
          <w:p>
            <w:pPr>
              <w:spacing w:after="0"/>
              <w:rPr>
                <w:sz w:val="19"/>
                <w:szCs w:val="19"/>
                <w:color w:val="auto"/>
              </w:rPr>
            </w:pPr>
          </w:p>
        </w:tc>
      </w:tr>
      <w:tr>
        <w:trPr>
          <w:trHeight w:val="223"/>
        </w:trPr>
        <w:tc>
          <w:tcPr>
            <w:tcW w:w="28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282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122,678,848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126,074,928</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548,563</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548,563</w:t>
            </w:r>
          </w:p>
        </w:tc>
        <w:tc>
          <w:tcPr>
            <w:tcW w:w="2260" w:type="dxa"/>
            <w:vAlign w:val="bottom"/>
          </w:tcPr>
          <w:p>
            <w:pPr>
              <w:spacing w:after="0"/>
              <w:rPr>
                <w:sz w:val="21"/>
                <w:szCs w:val="2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8"/>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 Includes Center53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542"/>
        </w:trPr>
        <w:tc>
          <w:tcPr>
            <w:tcW w:w="2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color w:val="auto"/>
              </w:rPr>
              <w:t>Net Book Value</w:t>
            </w: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36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151,553</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151,553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 Consists of approximately 93 acres of undeveloped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Owned and Occupied by the Company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September 30, 2025, real estate owned and occupied by the Company is summarized as follows:</w:t>
      </w:r>
    </w:p>
    <w:tbl>
      <w:tblPr>
        <w:tblLayout w:type="fixed"/>
        <w:tblInd w:w="0" w:type="dxa"/>
        <w:tblCellMar>
          <w:top w:w="0" w:type="dxa"/>
          <w:left w:w="0" w:type="dxa"/>
          <w:bottom w:w="0" w:type="dxa"/>
          <w:right w:w="0" w:type="dxa"/>
        </w:tblCellMar>
      </w:tblPr>
      <w:tr>
        <w:trPr>
          <w:trHeight w:val="198"/>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Approximate</w:t>
            </w:r>
          </w:p>
        </w:tc>
        <w:tc>
          <w:tcPr>
            <w:tcW w:w="206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w w:val="99"/>
              </w:rPr>
              <w:t>Square Footage Occupied</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2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Segment</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Square Footage</w:t>
            </w:r>
          </w:p>
        </w:tc>
        <w:tc>
          <w:tcPr>
            <w:tcW w:w="2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by the Company</w:t>
            </w:r>
          </w:p>
        </w:tc>
      </w:tr>
      <w:tr>
        <w:trPr>
          <w:trHeight w:val="191"/>
        </w:trPr>
        <w:tc>
          <w:tcPr>
            <w:tcW w:w="4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0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Cemetery/Mortuary Operations,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 Lake City,</w:t>
            </w:r>
          </w:p>
        </w:tc>
        <w:tc>
          <w:tcPr>
            <w:tcW w:w="2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Mortgage Operations and</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 - Center53 Building 2 (1)</w:t>
            </w:r>
          </w:p>
        </w:tc>
        <w:tc>
          <w:tcPr>
            <w:tcW w:w="2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216,865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2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 Sheppard Street, Minden, LA (2) (3)</w:t>
            </w:r>
          </w:p>
        </w:tc>
        <w:tc>
          <w:tcPr>
            <w:tcW w:w="2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Life Insurance Sales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nine-month periods ended September 30, 2025, and 2024 the Company did not record any impairment losses on residential real estate held for investment.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September 30, 2025, and 2024, the Company recorded depreciation expense on residential real estate held for investment of $2,732 and $2,653, respectively, and $8,139 and $7,958 during the nine-month periods ended September 30, 2025, and 2024, respectively. Residential real estate held for investment is stated at cost and is depreciated over the estimated useful life, primarily using the straight-line method. Depreciation is included in net investment income on the condensed consolidated statements of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Net Book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93,885,033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93,885,033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multiple residential subdivision development projects, refer to the following tables.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invests in residential subdivision developments. The following table presents additional information regarding the Company’s residential subdivision development projects in Utah: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93,718,118</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71,443,356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Net Book Value</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442,355</w:t>
            </w:r>
          </w:p>
        </w:tc>
        <w:tc>
          <w:tcPr>
            <w:tcW w:w="6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276,580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380,000</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190,495</w:t>
            </w:r>
          </w:p>
        </w:tc>
        <w:tc>
          <w:tcPr>
            <w:tcW w:w="6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$1,467,850 and $1,126,480 as of September 30, 2025, and December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into three distinct groups: Commercial, Residential and Residential Construction. These mortgage loans bear interest at rates ranging from 2.0% to 10.5%; maturity dates range from nine months to 30 years and have amortization periods of 0 to 30 years.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September 30, 2025, the Company had 59%, 8%, 6%, 6%, and 4%, of its mortgage loans from borrowers located in the states of Utah, Florida, Arizona, California, and Texas, respectively. As of December 31, 2024, the Company had 56%, 8%, 9%, and 6% of its mortgage loans from borrowers located in the states of Utah, Florida, Arizona, and Texas,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generally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$1,043,517 and $244,000 as of September 30, 2025, and December 31, 2024,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LTV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LTV, payment status, age, and current property values. Analyzing the information from various sources allows the Company to arrive at an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advances funds in accordance with the loan agreements once the work has been completed, and an independent inspection is made. The maximum loan commitment ranges between 50% and 85% of the appraised value. The Company receives fees and interest for these loans, and the interest rate is generally fixed at 5.25% to 8.50% per annum. Maturities range between six and eighteen months. The Company has commitments to fund existing construction and land development loans pursuant to the various loan agreements. As of September 30, 2025, the Company’s commitments were approximately $221,215,527 for these loans, of which $168,880,381 had been drawn.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subsequent draws. The per loan basis point is reviewed at least annually or as loan losses or market trends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8"/>
        </w:trPr>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Construction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1,179,267</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1,129,892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375,839</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(340,049)</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36,257</w:t>
            </w:r>
          </w:p>
        </w:tc>
      </w:tr>
      <w:tr>
        <w:trPr>
          <w:trHeight w:val="229"/>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1,555,106</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789,843</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2,677,001</w:t>
            </w:r>
          </w:p>
        </w:tc>
        <w:tc>
          <w:tcPr>
            <w:tcW w:w="100" w:type="dxa"/>
            <w:vAlign w:val="bottom"/>
            <w:tcBorders>
              <w:bottom w:val="single" w:sz="8" w:color="CCEEFF"/>
            </w:tcBorders>
          </w:tcPr>
          <w:p>
            <w:pPr>
              <w:spacing w:after="0"/>
              <w:rPr>
                <w:sz w:val="22"/>
                <w:szCs w:val="22"/>
                <w:color w:val="auto"/>
              </w:rPr>
            </w:pPr>
          </w:p>
        </w:tc>
      </w:tr>
      <w:tr>
        <w:trPr>
          <w:trHeight w:val="197"/>
        </w:trPr>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balance - June 30, 2024</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849,323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1,779,386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225,143</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2,853,852</w:t>
            </w: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(87,611)</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(127,239)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36,229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(178,621)</w:t>
            </w:r>
          </w:p>
        </w:tc>
      </w:tr>
      <w:tr>
        <w:trPr>
          <w:trHeight w:val="230"/>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(1,095,485)</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3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Nine Months Ended</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Construction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822,612</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(60,707)</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791,611</w:t>
            </w:r>
          </w:p>
        </w:tc>
      </w:tr>
      <w:tr>
        <w:trPr>
          <w:trHeight w:val="229"/>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6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1,555,106</w:t>
            </w:r>
          </w:p>
        </w:tc>
        <w:tc>
          <w:tcPr>
            <w:tcW w:w="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789,843</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2,677,001</w:t>
            </w:r>
          </w:p>
        </w:tc>
        <w:tc>
          <w:tcPr>
            <w:tcW w:w="100" w:type="dxa"/>
            <w:vAlign w:val="bottom"/>
            <w:tcBorders>
              <w:bottom w:val="single" w:sz="8" w:color="CCEEFF"/>
            </w:tcBorders>
          </w:tcPr>
          <w:p>
            <w:pPr>
              <w:spacing w:after="0"/>
              <w:rPr>
                <w:sz w:val="22"/>
                <w:szCs w:val="22"/>
                <w:color w:val="auto"/>
              </w:rPr>
            </w:pPr>
          </w:p>
        </w:tc>
      </w:tr>
      <w:tr>
        <w:trPr>
          <w:trHeight w:val="197"/>
        </w:trPr>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1,219,653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2,390,894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208,106</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3,818,653</w:t>
            </w:r>
          </w:p>
        </w:tc>
      </w:tr>
      <w:tr>
        <w:trPr>
          <w:trHeight w:val="216"/>
        </w:trPr>
        <w:tc>
          <w:tcPr>
            <w:tcW w:w="3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(457,941)</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(738,747)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53,266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(1,143,422)</w:t>
            </w:r>
          </w:p>
        </w:tc>
      </w:tr>
      <w:tr>
        <w:trPr>
          <w:trHeight w:val="229"/>
        </w:trPr>
        <w:tc>
          <w:tcPr>
            <w:tcW w:w="3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(1,095,485)</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3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60" w:hanging="5472"/>
        <w:spacing w:after="0" w:line="475" w:lineRule="auto"/>
        <w:tabs>
          <w:tab w:leader="none" w:pos="36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Residential</w:t>
      </w:r>
    </w:p>
    <w:p>
      <w:pPr>
        <w:spacing w:after="0" w:line="9" w:lineRule="exact"/>
        <w:rPr>
          <w:sz w:val="20"/>
          <w:szCs w:val="20"/>
          <w:color w:val="auto"/>
        </w:rPr>
      </w:pPr>
    </w:p>
    <w:p>
      <w:pPr>
        <w:ind w:left="4580"/>
        <w:spacing w:after="0"/>
        <w:tabs>
          <w:tab w:leader="none" w:pos="6420" w:val="left"/>
          <w:tab w:leader="none" w:pos="8180" w:val="left"/>
        </w:tabs>
        <w:rPr>
          <w:sz w:val="20"/>
          <w:szCs w:val="20"/>
          <w:color w:val="auto"/>
        </w:rPr>
      </w:pPr>
      <w:r>
        <w:rPr>
          <w:rFonts w:ascii="Times New Roman" w:cs="Times New Roman" w:eastAsia="Times New Roman" w:hAnsi="Times New Roman"/>
          <w:sz w:val="18"/>
          <w:szCs w:val="18"/>
          <w:color w:val="auto"/>
        </w:rPr>
        <w:t>Commercial</w:t>
      </w:r>
      <w:r>
        <w:rPr>
          <w:sz w:val="20"/>
          <w:szCs w:val="20"/>
          <w:color w:val="auto"/>
        </w:rPr>
        <w:tab/>
      </w:r>
      <w:r>
        <w:rPr>
          <w:rFonts w:ascii="Times New Roman" w:cs="Times New Roman" w:eastAsia="Times New Roman" w:hAnsi="Times New Roman"/>
          <w:sz w:val="18"/>
          <w:szCs w:val="18"/>
          <w:color w:val="auto"/>
        </w:rPr>
        <w:t>Residential</w:t>
      </w:r>
      <w:r>
        <w:rPr>
          <w:sz w:val="20"/>
          <w:szCs w:val="20"/>
          <w:color w:val="auto"/>
        </w:rPr>
        <w:tab/>
      </w:r>
      <w:r>
        <w:rPr>
          <w:rFonts w:ascii="Times New Roman" w:cs="Times New Roman" w:eastAsia="Times New Roman" w:hAnsi="Times New Roman"/>
          <w:sz w:val="17"/>
          <w:szCs w:val="17"/>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146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2025</w:t>
            </w: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132,237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6,057,452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1,687,873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3,196,505</w:t>
            </w: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3,014,258</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191,508</w:t>
            </w:r>
          </w:p>
        </w:tc>
        <w:tc>
          <w:tcPr>
            <w:tcW w:w="38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2,427,736</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3,520,250</w:t>
            </w: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13,187,319</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72,927,451</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78,761,136</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165,869,176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76,447,701</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91,948,455</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165,869,176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60" w:type="dxa"/>
            <w:vAlign w:val="bottom"/>
            <w:gridSpan w:val="3"/>
          </w:tcPr>
          <w:p>
            <w:pPr>
              <w:ind w:left="180"/>
              <w:spacing w:after="0" w:line="191" w:lineRule="exact"/>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(1,555,106)</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(789,843)</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(332,052)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(319,736)</w:t>
            </w:r>
          </w:p>
        </w:tc>
        <w:tc>
          <w:tcPr>
            <w:tcW w:w="3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(1,321,211)</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(518,332)</w:t>
            </w:r>
          </w:p>
        </w:tc>
        <w:tc>
          <w:tcPr>
            <w:tcW w:w="0" w:type="dxa"/>
            <w:vAlign w:val="bottom"/>
          </w:tcPr>
          <w:p>
            <w:pPr>
              <w:spacing w:after="0"/>
              <w:rPr>
                <w:sz w:val="1"/>
                <w:szCs w:val="1"/>
                <w:color w:val="auto"/>
              </w:rPr>
            </w:pPr>
          </w:p>
        </w:tc>
      </w:tr>
      <w:tr>
        <w:trPr>
          <w:trHeight w:val="24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(145,419)</w:t>
            </w:r>
          </w:p>
        </w:tc>
        <w:tc>
          <w:tcPr>
            <w:tcW w:w="3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(118,942)</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74,427,440</w:t>
            </w: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89,718,459</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165,018,792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6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2,100,000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5,818,334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845,980</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4,205,000</w:t>
            </w:r>
          </w:p>
        </w:tc>
        <w:tc>
          <w:tcPr>
            <w:tcW w:w="3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3,061,450</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191,508</w:t>
            </w:r>
          </w:p>
        </w:tc>
        <w:tc>
          <w:tcPr>
            <w:tcW w:w="38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3,942,392</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-2295525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-2021205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-1438275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-1729740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w:t>
      </w:r>
    </w:p>
    <w:p>
      <w:pPr>
        <w:spacing w:after="0" w:line="239" w:lineRule="exact"/>
        <w:rPr>
          <w:sz w:val="20"/>
          <w:szCs w:val="20"/>
          <w:color w:val="auto"/>
        </w:rPr>
      </w:pPr>
    </w:p>
    <w:p>
      <w:pPr>
        <w:ind w:left="740" w:hanging="733"/>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6,189,689</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1,687,873</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6,210,763</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2,619,244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16,707,569</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317,557,763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334,265,332</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(2,677,001)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(2,159,279)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(264,361)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 w:lineRule="exact"/>
        <w:rPr>
          <w:sz w:val="20"/>
          <w:szCs w:val="20"/>
          <w:color w:val="auto"/>
        </w:rPr>
      </w:pPr>
    </w:p>
    <w:p>
      <w:pPr>
        <w:ind w:left="560" w:hanging="553"/>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329,164,691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16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40" w:hanging="73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7,918,334</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845,980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7,266,450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4,133,900</w:t>
      </w:r>
    </w:p>
    <w:p>
      <w:pPr>
        <w:spacing w:after="0" w:line="21" w:lineRule="exact"/>
        <w:rPr>
          <w:sz w:val="20"/>
          <w:szCs w:val="20"/>
          <w:color w:val="auto"/>
        </w:rPr>
      </w:pPr>
    </w:p>
    <w:p>
      <w:pPr>
        <w:sectPr>
          <w:pgSz w:w="11900" w:h="16838" w:orient="portrait"/>
          <w:cols w:equalWidth="0" w:num="2">
            <w:col w:w="9420" w:space="260"/>
            <w:col w:w="15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6,496,508</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13,668,156</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6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56,256,577</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78,393,631</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285,822,941</w:t>
            </w:r>
          </w:p>
        </w:tc>
        <w:tc>
          <w:tcPr>
            <w:tcW w:w="100" w:type="dxa"/>
            <w:vAlign w:val="bottom"/>
            <w:tcBorders>
              <w:bottom w:val="single" w:sz="8" w:color="CCEEFF"/>
            </w:tcBorders>
          </w:tcPr>
          <w:p>
            <w:pPr>
              <w:spacing w:after="0"/>
              <w:rPr>
                <w:sz w:val="18"/>
                <w:szCs w:val="18"/>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6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305,987,605</w:t>
            </w:r>
          </w:p>
        </w:tc>
        <w:tc>
          <w:tcPr>
            <w:tcW w:w="100" w:type="dxa"/>
            <w:vAlign w:val="bottom"/>
            <w:shd w:val="clear" w:color="auto" w:fill="CCEEFF"/>
          </w:tcPr>
          <w:p>
            <w:pPr>
              <w:spacing w:after="0"/>
              <w:rPr>
                <w:sz w:val="18"/>
                <w:szCs w:val="18"/>
                <w:color w:val="auto"/>
              </w:rPr>
            </w:pP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(115,555)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(1,307,539)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(659,147)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(2,082,241)</w:t>
            </w:r>
          </w:p>
        </w:tc>
      </w:tr>
      <w:tr>
        <w:trPr>
          <w:trHeight w:val="23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(149,268)</w:t>
            </w:r>
          </w:p>
        </w:tc>
        <w:tc>
          <w:tcPr>
            <w:tcW w:w="3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(123,348)</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(272,616)</w:t>
            </w:r>
          </w:p>
        </w:tc>
      </w:tr>
      <w:tr>
        <w:trPr>
          <w:trHeight w:val="223"/>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89,780,350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800" w:hanging="5472"/>
        <w:spacing w:after="0" w:line="657" w:lineRule="auto"/>
        <w:tabs>
          <w:tab w:leader="none" w:pos="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9260" w:firstLine="8"/>
        <w:spacing w:after="0" w:line="500" w:lineRule="auto"/>
        <w:tabs>
          <w:tab w:leader="none" w:pos="1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Credit Quality Indicators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September 30, 2025:</w:t>
      </w:r>
    </w:p>
    <w:tbl>
      <w:tblPr>
        <w:tblLayout w:type="fixed"/>
        <w:tblInd w:w="0" w:type="dxa"/>
        <w:tblCellMar>
          <w:top w:w="0" w:type="dxa"/>
          <w:left w:w="0" w:type="dxa"/>
          <w:bottom w:w="0" w:type="dxa"/>
          <w:right w:w="0" w:type="dxa"/>
        </w:tblCellMar>
      </w:tblPr>
      <w:tr>
        <w:trPr>
          <w:trHeight w:val="198"/>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 of</w:t>
            </w:r>
          </w:p>
        </w:tc>
      </w:tr>
      <w:tr>
        <w:trPr>
          <w:trHeight w:val="234"/>
        </w:trPr>
        <w:tc>
          <w:tcPr>
            <w:tcW w:w="2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9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19,847,653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3,892,248</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$15,600,000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462,761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824,305</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$ 8,475,563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$49,102,530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w:t>
            </w: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14,381,076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10,432,942</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293,872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26,948,666</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35.25%</w:t>
            </w:r>
          </w:p>
        </w:tc>
      </w:tr>
      <w:tr>
        <w:trPr>
          <w:trHeight w:val="229"/>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396,505</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396,505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83"/>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34,228,729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14,325,190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17,440,776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1,220,810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$ 8,475,563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76,447,701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2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8,542,000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13,892,248</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$13,640,000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$ 5,322,035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$41,396,283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54.15%</w:t>
            </w: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20,161,729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432,942</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3,800,776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1,220,810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3,153,528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29,526,418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38.62%</w:t>
            </w:r>
          </w:p>
        </w:tc>
      </w:tr>
      <w:tr>
        <w:trPr>
          <w:trHeight w:val="229"/>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5,525,000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5,525,000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34,228,729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14,325,190</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17,440,776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1,220,810</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$ 8,475,563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76,447,701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92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7,653,600</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$24,600,000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$ 2,352,150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864,128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$44,337,657</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10,432,942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1,840,776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18,010,428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28.70%</w:t>
            </w:r>
          </w:p>
        </w:tc>
      </w:tr>
      <w:tr>
        <w:trPr>
          <w:trHeight w:val="230"/>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83"/>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18,086,542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$ 3,175,547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5"/>
        </w:trPr>
        <w:tc>
          <w:tcPr>
            <w:tcW w:w="24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16,300,000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$ 5,414,274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$48,617,587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432,942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5,450,776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2,175,547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3,453,505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12,781,898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1,353,600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1,353,600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18,086,542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$ 3,175,547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8"/>
              </w:rPr>
              <w:t>Credit Quality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10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Indicator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108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w:t>
            </w: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7"/>
        </w:trPr>
        <w:tc>
          <w:tcPr>
            <w:tcW w:w="7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Indicators: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Performing</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9,761,488</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11,925,652</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8,846,498</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39,491,126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2,894,338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13,587,359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86,506,461</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94.08%</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performing (1)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546,602</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3,013,370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943,125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938,897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5,441,994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10,308,090</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11,925,652</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11,859,868</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40,434,251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2,894,338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14,526,256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91,948,455</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1000" w:type="dxa"/>
            <w:vAlign w:val="bottom"/>
            <w:tcBorders>
              <w:bottom w:val="single" w:sz="8" w:color="auto"/>
            </w:tcBorders>
            <w:gridSpan w:val="3"/>
          </w:tcPr>
          <w:p>
            <w:pPr>
              <w:spacing w:after="0"/>
              <w:rPr>
                <w:sz w:val="19"/>
                <w:szCs w:val="19"/>
                <w:color w:val="auto"/>
              </w:rPr>
            </w:pPr>
          </w:p>
        </w:tc>
        <w:tc>
          <w:tcPr>
            <w:tcW w:w="580" w:type="dxa"/>
            <w:vAlign w:val="bottom"/>
            <w:tcBorders>
              <w:bottom w:val="single" w:sz="8" w:color="auto"/>
            </w:tcBorders>
            <w:gridSpan w:val="5"/>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gridSpan w:val="3"/>
          </w:tcPr>
          <w:p>
            <w:pPr>
              <w:spacing w:after="0"/>
              <w:rPr>
                <w:sz w:val="19"/>
                <w:szCs w:val="19"/>
                <w:color w:val="auto"/>
              </w:rPr>
            </w:pPr>
          </w:p>
        </w:tc>
        <w:tc>
          <w:tcPr>
            <w:tcW w:w="1000" w:type="dxa"/>
            <w:vAlign w:val="bottom"/>
            <w:gridSpan w:val="3"/>
          </w:tcPr>
          <w:p>
            <w:pPr>
              <w:spacing w:after="0"/>
              <w:rPr>
                <w:sz w:val="19"/>
                <w:szCs w:val="19"/>
                <w:color w:val="auto"/>
              </w:rPr>
            </w:pPr>
          </w:p>
        </w:tc>
        <w:tc>
          <w:tcPr>
            <w:tcW w:w="320" w:type="dxa"/>
            <w:vAlign w:val="bottom"/>
            <w:gridSpan w:val="3"/>
          </w:tcPr>
          <w:p>
            <w:pPr>
              <w:spacing w:after="0"/>
              <w:rPr>
                <w:sz w:val="19"/>
                <w:szCs w:val="19"/>
                <w:color w:val="auto"/>
              </w:rPr>
            </w:pPr>
          </w:p>
        </w:tc>
        <w:tc>
          <w:tcPr>
            <w:tcW w:w="1000" w:type="dxa"/>
            <w:vAlign w:val="bottom"/>
            <w:gridSpan w:val="3"/>
          </w:tcPr>
          <w:p>
            <w:pPr>
              <w:spacing w:after="0"/>
              <w:rPr>
                <w:sz w:val="19"/>
                <w:szCs w:val="19"/>
                <w:color w:val="auto"/>
              </w:rPr>
            </w:pPr>
          </w:p>
        </w:tc>
        <w:tc>
          <w:tcPr>
            <w:tcW w:w="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8"/>
        </w:trPr>
        <w:tc>
          <w:tcPr>
            <w:tcW w:w="6340" w:type="dxa"/>
            <w:vAlign w:val="bottom"/>
            <w:gridSpan w:val="28"/>
          </w:tcPr>
          <w:p>
            <w:pPr>
              <w:jc w:val="center"/>
              <w:ind w:right="24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$2,427,736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7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04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4"/>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3,581,292</w:t>
            </w:r>
          </w:p>
        </w:tc>
        <w:tc>
          <w:tcPr>
            <w:tcW w:w="2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5,723,881</w:t>
            </w:r>
          </w:p>
        </w:tc>
        <w:tc>
          <w:tcPr>
            <w:tcW w:w="1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4,547,440</w:t>
            </w:r>
          </w:p>
        </w:tc>
        <w:tc>
          <w:tcPr>
            <w:tcW w:w="1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6,670,677</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1,337,492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7,570,352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29,431,134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32.01%</w:t>
            </w:r>
          </w:p>
        </w:tc>
      </w:tr>
      <w:tr>
        <w:trPr>
          <w:trHeight w:val="216"/>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5,742,730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6,046,634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6,638,395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32,174,154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6,416,327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58,575,086</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63.70%</w:t>
            </w:r>
          </w:p>
        </w:tc>
      </w:tr>
      <w:tr>
        <w:trPr>
          <w:trHeight w:val="198"/>
        </w:trPr>
        <w:tc>
          <w:tcPr>
            <w:tcW w:w="10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Greater than</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984,068</w:t>
            </w: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155,137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674,033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1,589,420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539,577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3,942,235</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10,308,090</w:t>
            </w:r>
          </w:p>
        </w:tc>
        <w:tc>
          <w:tcPr>
            <w:tcW w:w="2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11,925,652</w:t>
            </w:r>
          </w:p>
        </w:tc>
        <w:tc>
          <w:tcPr>
            <w:tcW w:w="1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11,859,868</w:t>
            </w:r>
          </w:p>
        </w:tc>
        <w:tc>
          <w:tcPr>
            <w:tcW w:w="1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40,434,251</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2,894,338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14,526,256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91,948,455</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2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8"/>
              </w:rPr>
              <w:t>14,861,098</w:t>
            </w:r>
          </w:p>
        </w:tc>
        <w:tc>
          <w:tcPr>
            <w:tcW w:w="1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10,030,848</w:t>
            </w:r>
          </w:p>
        </w:tc>
        <w:tc>
          <w:tcPr>
            <w:tcW w:w="2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42,634,670</w:t>
            </w:r>
          </w:p>
        </w:tc>
        <w:tc>
          <w:tcPr>
            <w:tcW w:w="9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5"/>
              </w:rPr>
              <w:t>$ 3,076,901</w:t>
            </w:r>
          </w:p>
        </w:tc>
        <w:tc>
          <w:tcPr>
            <w:tcW w:w="1220" w:type="dxa"/>
            <w:vAlign w:val="bottom"/>
            <w:tcBorders>
              <w:top w:val="single" w:sz="8" w:color="CCEEFF"/>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$ 5,513,462</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8,940,966</w:t>
            </w:r>
          </w:p>
        </w:tc>
        <w:tc>
          <w:tcPr>
            <w:tcW w:w="130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$85,057,945</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92.39%</w:t>
            </w:r>
          </w:p>
        </w:tc>
      </w:tr>
      <w:tr>
        <w:trPr>
          <w:trHeight w:val="23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3,442,992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1,451,039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291,359</w:t>
            </w:r>
          </w:p>
        </w:tc>
        <w:tc>
          <w:tcPr>
            <w:tcW w:w="12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1,507,336</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7,003,842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10"/>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14,861,098</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13,473,840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44,085,709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$ 3,368,260</w:t>
            </w:r>
          </w:p>
        </w:tc>
        <w:tc>
          <w:tcPr>
            <w:tcW w:w="12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$ 5,824,578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10,448,302</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23"/>
        </w:trPr>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00" w:type="dxa"/>
            <w:vAlign w:val="bottom"/>
            <w:gridSpan w:val="3"/>
          </w:tcPr>
          <w:p>
            <w:pPr>
              <w:spacing w:after="0"/>
              <w:rPr>
                <w:sz w:val="19"/>
                <w:szCs w:val="19"/>
                <w:color w:val="auto"/>
              </w:rPr>
            </w:pPr>
          </w:p>
        </w:tc>
        <w:tc>
          <w:tcPr>
            <w:tcW w:w="1180" w:type="dxa"/>
            <w:vAlign w:val="bottom"/>
            <w:gridSpan w:val="5"/>
          </w:tcPr>
          <w:p>
            <w:pPr>
              <w:spacing w:after="0"/>
              <w:rPr>
                <w:sz w:val="19"/>
                <w:szCs w:val="19"/>
                <w:color w:val="auto"/>
              </w:rPr>
            </w:pPr>
          </w:p>
        </w:tc>
        <w:tc>
          <w:tcPr>
            <w:tcW w:w="260" w:type="dxa"/>
            <w:vAlign w:val="bottom"/>
            <w:gridSpan w:val="3"/>
          </w:tcPr>
          <w:p>
            <w:pPr>
              <w:spacing w:after="0"/>
              <w:rPr>
                <w:sz w:val="19"/>
                <w:szCs w:val="19"/>
                <w:color w:val="auto"/>
              </w:rPr>
            </w:pPr>
          </w:p>
        </w:tc>
        <w:tc>
          <w:tcPr>
            <w:tcW w:w="920" w:type="dxa"/>
            <w:vAlign w:val="bottom"/>
            <w:gridSpan w:val="3"/>
          </w:tcPr>
          <w:p>
            <w:pPr>
              <w:spacing w:after="0"/>
              <w:rPr>
                <w:sz w:val="19"/>
                <w:szCs w:val="19"/>
                <w:color w:val="auto"/>
              </w:rPr>
            </w:pPr>
          </w:p>
        </w:tc>
        <w:tc>
          <w:tcPr>
            <w:tcW w:w="1100" w:type="dxa"/>
            <w:vAlign w:val="bottom"/>
            <w:gridSpan w:val="4"/>
          </w:tcPr>
          <w:p>
            <w:pPr>
              <w:spacing w:after="0"/>
              <w:rPr>
                <w:sz w:val="19"/>
                <w:szCs w:val="19"/>
                <w:color w:val="auto"/>
              </w:rPr>
            </w:pPr>
          </w:p>
        </w:tc>
        <w:tc>
          <w:tcPr>
            <w:tcW w:w="240" w:type="dxa"/>
            <w:vAlign w:val="bottom"/>
            <w:gridSpan w:val="2"/>
          </w:tcPr>
          <w:p>
            <w:pPr>
              <w:spacing w:after="0"/>
              <w:rPr>
                <w:sz w:val="19"/>
                <w:szCs w:val="19"/>
                <w:color w:val="auto"/>
              </w:rPr>
            </w:pPr>
          </w:p>
        </w:tc>
        <w:tc>
          <w:tcPr>
            <w:tcW w:w="8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6"/>
        </w:trPr>
        <w:tc>
          <w:tcPr>
            <w:tcW w:w="28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22"/>
                <w:szCs w:val="22"/>
                <w:color w:val="auto"/>
                <w:w w:val="95"/>
              </w:rPr>
              <w:t>(1) Includes residential mortgage</w:t>
            </w:r>
          </w:p>
        </w:tc>
        <w:tc>
          <w:tcPr>
            <w:tcW w:w="5260" w:type="dxa"/>
            <w:vAlign w:val="bottom"/>
            <w:gridSpan w:val="22"/>
          </w:tcPr>
          <w:p>
            <w:pPr>
              <w:ind w:left="140"/>
              <w:spacing w:after="0"/>
              <w:rPr>
                <w:sz w:val="20"/>
                <w:szCs w:val="20"/>
                <w:color w:val="auto"/>
              </w:rPr>
            </w:pPr>
            <w:r>
              <w:rPr>
                <w:rFonts w:ascii="Times New Roman" w:cs="Times New Roman" w:eastAsia="Times New Roman" w:hAnsi="Times New Roman"/>
                <w:sz w:val="22"/>
                <w:szCs w:val="22"/>
                <w:color w:val="auto"/>
              </w:rPr>
              <w:t>loans in the process of foreclosure of $3,942,392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1"/>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6,241,730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4,931,376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5,488,954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$ 1,790,036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$ 2,440,002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5,273,672</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$26,165,770</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7,802,984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7,662,200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37,509,634</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1,578,224</w:t>
            </w:r>
          </w:p>
        </w:tc>
        <w:tc>
          <w:tcPr>
            <w:tcW w:w="1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2,701,008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5,107,289</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62,361,339</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r>
      <w:tr>
        <w:trPr>
          <w:trHeight w:val="229"/>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816,384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1,087,121</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683,568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67,341</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3,534,678</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r>
      <w:tr>
        <w:trPr>
          <w:trHeight w:val="210"/>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14,861,098</w:t>
            </w:r>
          </w:p>
        </w:tc>
        <w:tc>
          <w:tcPr>
            <w:tcW w:w="2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13,473,840</w:t>
            </w:r>
          </w:p>
        </w:tc>
        <w:tc>
          <w:tcPr>
            <w:tcW w:w="1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44,085,709</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$ 3,368,260</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$ 5,824,578</w:t>
            </w:r>
          </w:p>
        </w:tc>
        <w:tc>
          <w:tcPr>
            <w:tcW w:w="24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10,448,302</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2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3"/>
        </w:trPr>
        <w:tc>
          <w:tcPr>
            <w:tcW w:w="1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1" w:name="page32"/>
    <w:bookmarkEnd w:id="31"/>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 w:type="dxa"/>
            <w:vAlign w:val="bottom"/>
          </w:tcPr>
          <w:p>
            <w:pPr>
              <w:spacing w:after="0"/>
              <w:rPr>
                <w:sz w:val="20"/>
                <w:szCs w:val="20"/>
                <w:color w:val="auto"/>
              </w:rPr>
            </w:pPr>
          </w:p>
        </w:tc>
        <w:tc>
          <w:tcPr>
            <w:tcW w:w="3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34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78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$97,416,837</w:t>
            </w:r>
          </w:p>
        </w:tc>
        <w:tc>
          <w:tcPr>
            <w:tcW w:w="1200" w:type="dxa"/>
            <w:vAlign w:val="bottom"/>
            <w:tcBorders>
              <w:top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$55,925,032</w:t>
            </w:r>
          </w:p>
        </w:tc>
        <w:tc>
          <w:tcPr>
            <w:tcW w:w="1140" w:type="dxa"/>
            <w:vAlign w:val="bottom"/>
            <w:tcBorders>
              <w:top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$ 7,751,304</w:t>
            </w:r>
          </w:p>
        </w:tc>
        <w:tc>
          <w:tcPr>
            <w:tcW w:w="660" w:type="dxa"/>
            <w:vAlign w:val="bottom"/>
            <w:tcBorders>
              <w:top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$ 4,776,003</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165,869,176</w:t>
            </w:r>
          </w:p>
        </w:tc>
        <w:tc>
          <w:tcPr>
            <w:tcW w:w="8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97,416,837</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55,925,032</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$ 7,751,304</w:t>
            </w: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$ 4,776,003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165,869,176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$27,347,365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$30,938,061</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$ 7,751,304</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$ 4,776,003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70,812,733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w:t>
            </w:r>
          </w:p>
        </w:tc>
      </w:tr>
      <w:tr>
        <w:trPr>
          <w:trHeight w:val="216"/>
        </w:trPr>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65,953,712</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24,986,971</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90,940,683</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54.83%</w:t>
            </w:r>
          </w:p>
        </w:tc>
      </w:tr>
      <w:tr>
        <w:trPr>
          <w:trHeight w:val="230"/>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4,115,760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4,115,760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97,416,837</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55,925,032</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$ 7,751,304</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$ 4,776,003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165,869,176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 w:type="dxa"/>
            <w:vAlign w:val="bottom"/>
          </w:tcPr>
          <w:p>
            <w:pPr>
              <w:spacing w:after="0"/>
              <w:rPr>
                <w:sz w:val="20"/>
                <w:szCs w:val="20"/>
                <w:color w:val="auto"/>
              </w:rPr>
            </w:pPr>
          </w:p>
        </w:tc>
        <w:tc>
          <w:tcPr>
            <w:tcW w:w="38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40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24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118,863,944</w:t>
            </w:r>
          </w:p>
        </w:tc>
        <w:tc>
          <w:tcPr>
            <w:tcW w:w="124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2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130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151,172,733</w:t>
            </w:r>
          </w:p>
        </w:tc>
        <w:tc>
          <w:tcPr>
            <w:tcW w:w="9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118,863,944</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21,375,552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151,172,733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8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48,065,177</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$21,375,552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518,590</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79,920,088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52.87%</w:t>
            </w:r>
          </w:p>
        </w:tc>
      </w:tr>
      <w:tr>
        <w:trPr>
          <w:trHeight w:val="216"/>
        </w:trPr>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70,798,767</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453,878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71,252,645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47.13%</w:t>
            </w:r>
          </w:p>
        </w:tc>
      </w:tr>
      <w:tr>
        <w:trPr>
          <w:trHeight w:val="230"/>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118,863,944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21,375,552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151,172,733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2" w:name="page33"/>
    <w:bookmarkEnd w:id="32"/>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tbl>
      <w:tblPr>
        <w:tblLayout w:type="fixed"/>
        <w:tblInd w:w="0" w:type="dxa"/>
        <w:tblCellMar>
          <w:top w:w="0" w:type="dxa"/>
          <w:left w:w="0" w:type="dxa"/>
          <w:bottom w:w="0" w:type="dxa"/>
          <w:right w:w="0" w:type="dxa"/>
        </w:tblCellMar>
      </w:tblPr>
      <w:tr>
        <w:trPr>
          <w:trHeight w:val="198"/>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2"/>
          </w:tcPr>
          <w:p>
            <w:pPr>
              <w:jc w:val="center"/>
              <w:ind w:right="620"/>
              <w:spacing w:after="0" w:line="198" w:lineRule="exact"/>
              <w:rPr>
                <w:sz w:val="20"/>
                <w:szCs w:val="20"/>
                <w:color w:val="auto"/>
              </w:rPr>
            </w:pPr>
            <w:r>
              <w:rPr>
                <w:rFonts w:ascii="Times New Roman" w:cs="Times New Roman" w:eastAsia="Times New Roman" w:hAnsi="Times New Roman"/>
                <w:sz w:val="18"/>
                <w:szCs w:val="18"/>
                <w:color w:val="auto"/>
                <w:w w:val="96"/>
              </w:rPr>
              <w:t>As of</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3"/>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6"/>
              </w:rPr>
              <w:t>As of</w:t>
            </w:r>
          </w:p>
        </w:tc>
      </w:tr>
      <w:tr>
        <w:trPr>
          <w:trHeight w:val="234"/>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September 30, 2025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7,982,177</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8,785,184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260" w:type="dxa"/>
            <w:vAlign w:val="bottom"/>
          </w:tcPr>
          <w:p>
            <w:pPr>
              <w:spacing w:after="0"/>
              <w:rPr>
                <w:sz w:val="18"/>
                <w:szCs w:val="18"/>
                <w:color w:val="auto"/>
              </w:rPr>
            </w:pPr>
          </w:p>
        </w:tc>
        <w:tc>
          <w:tcPr>
            <w:tcW w:w="2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2,834,811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4,046,731</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2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4,883,289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5,320,216</w:t>
            </w:r>
          </w:p>
        </w:tc>
        <w:tc>
          <w:tcPr>
            <w:tcW w:w="100" w:type="dxa"/>
            <w:vAlign w:val="bottom"/>
            <w:shd w:val="clear" w:color="auto" w:fill="CCEEFF"/>
          </w:tcPr>
          <w:p>
            <w:pPr>
              <w:spacing w:after="0"/>
              <w:rPr>
                <w:sz w:val="18"/>
                <w:szCs w:val="18"/>
                <w:color w:val="auto"/>
              </w:rPr>
            </w:pPr>
          </w:p>
        </w:tc>
      </w:tr>
      <w:tr>
        <w:trPr>
          <w:trHeight w:val="210"/>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15,700,277</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18,152,131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42,278,320</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48,493,858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(1,534,957)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120" w:type="dxa"/>
            <w:vAlign w:val="bottom"/>
            <w:gridSpan w:val="2"/>
            <w:shd w:val="clear" w:color="auto" w:fill="CCEEFF"/>
          </w:tcPr>
          <w:p>
            <w:pPr>
              <w:spacing w:after="0"/>
              <w:rPr>
                <w:sz w:val="18"/>
                <w:szCs w:val="18"/>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40,743,363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is 90 days past due or is in legal proceedings, it is monitored for write-off and collectability, and any adjustments to the allowance are recorded at that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248,408</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(194,483)</w:t>
            </w:r>
          </w:p>
        </w:tc>
      </w:tr>
      <w:tr>
        <w:trPr>
          <w:trHeight w:val="263"/>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1,534,957</w:t>
            </w:r>
          </w:p>
        </w:tc>
        <w:tc>
          <w:tcPr>
            <w:tcW w:w="60" w:type="dxa"/>
            <w:vAlign w:val="bottom"/>
            <w:tcBorders>
              <w:bottom w:val="single" w:sz="8" w:color="CCEEFF"/>
            </w:tcBorders>
          </w:tcPr>
          <w:p>
            <w:pPr>
              <w:spacing w:after="0"/>
              <w:rPr>
                <w:sz w:val="22"/>
                <w:szCs w:val="22"/>
                <w:color w:val="auto"/>
              </w:rPr>
            </w:pPr>
          </w:p>
        </w:tc>
      </w:tr>
      <w:tr>
        <w:trPr>
          <w:trHeight w:val="197"/>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June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1,535,324</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259,643</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(254,132)</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1,540,835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799,460</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(801,429)</w:t>
            </w:r>
          </w:p>
        </w:tc>
      </w:tr>
      <w:tr>
        <w:trPr>
          <w:trHeight w:val="263"/>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1,534,957</w:t>
            </w:r>
          </w:p>
        </w:tc>
        <w:tc>
          <w:tcPr>
            <w:tcW w:w="60" w:type="dxa"/>
            <w:vAlign w:val="bottom"/>
            <w:tcBorders>
              <w:bottom w:val="single" w:sz="8" w:color="CCEEFF"/>
            </w:tcBorders>
          </w:tcPr>
          <w:p>
            <w:pPr>
              <w:spacing w:after="0"/>
              <w:rPr>
                <w:sz w:val="22"/>
                <w:szCs w:val="22"/>
                <w:color w:val="auto"/>
              </w:rPr>
            </w:pPr>
          </w:p>
        </w:tc>
      </w:tr>
      <w:tr>
        <w:trPr>
          <w:trHeight w:val="197"/>
        </w:trPr>
        <w:tc>
          <w:tcPr>
            <w:tcW w:w="6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1,553,836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752,256</w:t>
            </w: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(765,257)</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1,540,835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5060" w:hanging="5472"/>
        <w:spacing w:after="0" w:line="475" w:lineRule="auto"/>
        <w:tabs>
          <w:tab w:leader="none" w:pos="36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50% ownership interest in three VIEs; HHH Real Estate LLC (“HHH”), SN Oquirrh LLC (“Oquirrh”), and SN Towns LLC (“Towns”). These entities hold and develop single family lots for residential construction. In accordance with the operating agreements for these entities, net profits or losses are allocated to the members in accordance with their ownership interests. The investments in HHH, Oquirrh and Towns are accounted for under the equity method of accounting. The carrying value of the equity investment in HHH was $11,163,125 and nil at September 30, 2025, and December 31, 2024, respectively, which is included in other investments and policy loans on the condensed consolidated balance sheets. The carrying value of the equity investment in Oquirrh was $870,063 and $1,500,000 at September 30, 2025, and December 31, 2024, respectively, which is included in other investments and policy loans on the condensed consolidated balance sheets. The carrying value of the equity investment in Towns was $2,614,037 and $4,063,537 at September 30, 2025, and December 31, 2024, respectively. $1,445,769 and $1,939,269 of which at September 30, 2025, and December 31, 2024, respectively, is included in restricted assets and $1,168,268 and $2,124,268 of which at September 30, 2025, and December 31, 2024, respectively, is included in cemetery perpetual care trust investments on the condensed consolidated balance sheets.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HHH, Oquirrh and Towns are VIEs for which the Company is not the primary beneficiary for the following reasons: (1) the at-risk equity holders, as a group, lack the characteristics of a controlling financial interest, (2) the General Manager directs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investees is limited to the carrying value of the Company’s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19"/>
                <w:szCs w:val="19"/>
                <w:color w:val="auto"/>
              </w:rPr>
            </w:pPr>
          </w:p>
        </w:tc>
        <w:tc>
          <w:tcPr>
            <w:tcW w:w="31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3,904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7,929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13,120</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(24,168)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(43,184)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(61,539)</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(45,882)</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(20,342)</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(100,053)</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(990,140)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(860,032)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(16,662)</w:t>
            </w:r>
          </w:p>
        </w:tc>
      </w:tr>
      <w:tr>
        <w:trPr>
          <w:trHeight w:val="198"/>
        </w:trPr>
        <w:tc>
          <w:tcPr>
            <w:tcW w:w="4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securities held at the end of the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2,477,603</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2,415,881</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3,544,484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3,534,285</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(1,161,364)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(1,161,364)</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644,370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71,622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1,241,285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360,474</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(12,099)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95,690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92,095</w:t>
            </w:r>
          </w:p>
        </w:tc>
      </w:tr>
      <w:tr>
        <w:trPr>
          <w:trHeight w:val="229"/>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(81,838)</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(19,284)</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(20,513)</w:t>
            </w:r>
          </w:p>
        </w:tc>
      </w:tr>
      <w:tr>
        <w:trPr>
          <w:trHeight w:val="223"/>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1,347,656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4" w:name="page35"/>
    <w:bookmarkEnd w:id="34"/>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realized gains and losses includes gains and losses from cemetery perpetual care trust investments and the restricted assets of cemeteries and mortuaries and totaled $711,436 and $1,140,136 in net gains for the three-month periods ended September 30, 2025 and 2024, respectively, and of $1,196,591 and $1,519,487 in net gains for the nine-month periods ended September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4,818,558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13,050,503</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210,342</w:t>
            </w:r>
          </w:p>
        </w:tc>
        <w:tc>
          <w:tcPr>
            <w:tcW w:w="4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171,767</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650,605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516,363</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10,149,577</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7,032,201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30,571,474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22,867,797</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2,885,847</w:t>
            </w:r>
          </w:p>
        </w:tc>
        <w:tc>
          <w:tcPr>
            <w:tcW w:w="4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3,093,459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8,718,124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9,893,539</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256,796</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225,393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737,159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715,791</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4,948,025</w:t>
            </w:r>
          </w:p>
        </w:tc>
        <w:tc>
          <w:tcPr>
            <w:tcW w:w="4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5,009,043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15,818,390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14,971,607</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236,288</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272,062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480,123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672,363</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747,758</w:t>
            </w:r>
          </w:p>
        </w:tc>
        <w:tc>
          <w:tcPr>
            <w:tcW w:w="4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1,700,898</w:t>
            </w: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3,104,010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5,107,765</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24,253,191</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21,806,064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74,313,241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67,795,728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(4,143,591)</w:t>
            </w:r>
          </w:p>
        </w:tc>
        <w:tc>
          <w:tcPr>
            <w:tcW w:w="4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(4,006,968)</w:t>
            </w: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(14,420,029)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(12,005,256)</w:t>
            </w: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20,109,600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17,799,096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59,893,212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55,790,472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cemeteries and mortuaries and totaled $319,480 and $393,811 for the three-month periods ended September 30, 2025, and 2024, respectively, and $686,952 and $1,798,170 for the nine-month periods ended September 30, 2025, and 2024,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160" w:type="dxa"/>
            <w:vAlign w:val="bottom"/>
          </w:tcPr>
          <w:p>
            <w:pPr>
              <w:spacing w:after="0"/>
              <w:rPr>
                <w:sz w:val="24"/>
                <w:szCs w:val="24"/>
                <w:color w:val="auto"/>
              </w:rPr>
            </w:pPr>
          </w:p>
        </w:tc>
        <w:tc>
          <w:tcPr>
            <w:tcW w:w="19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4,530,512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3,795,581</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981,754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1,049,489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4,181,528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3,559,463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83,586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9,746,368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5" w:name="page36"/>
    <w:bookmarkEnd w:id="35"/>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See Note 8 to the condensed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159,460,525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131,181,148</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156,916,889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128,948,072</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2,543,636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2,233,076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30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6,670,934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7,358,830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18,634,088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20,245,527</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2,500,007</w:t>
            </w:r>
          </w:p>
        </w:tc>
        <w:tc>
          <w:tcPr>
            <w:tcW w:w="4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2,357,379</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6,533,686</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6,104,113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20,378,078</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17,982,124</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57,518,242</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51,387,693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(202,896)</w:t>
            </w:r>
          </w:p>
        </w:tc>
        <w:tc>
          <w:tcPr>
            <w:tcW w:w="4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(179,836)</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404,048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811,765</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10,709</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2,959,729</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960,050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3,855,914</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(217,587)</w:t>
            </w:r>
          </w:p>
        </w:tc>
        <w:tc>
          <w:tcPr>
            <w:tcW w:w="4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(254,134)</w:t>
            </w:r>
          </w:p>
        </w:tc>
        <w:tc>
          <w:tcPr>
            <w:tcW w:w="3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(616,524)</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(729,734)</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29,139,245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30,224,092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83,433,590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81,675,278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8680" w:firstLine="8"/>
        <w:spacing w:after="0" w:line="500" w:lineRule="auto"/>
        <w:tabs>
          <w:tab w:leader="none" w:pos="1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Loan Loss Reserve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(“demand(s)”) from third party investors for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demand. In many instances, the Company can resolve the issues relating to the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32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616,524</w:t>
            </w: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932,154</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provision (2)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(764,281)</w:t>
            </w:r>
          </w:p>
        </w:tc>
        <w:tc>
          <w:tcPr>
            <w:tcW w:w="1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(782,761)</w:t>
            </w:r>
          </w:p>
        </w:tc>
      </w:tr>
      <w:tr>
        <w:trPr>
          <w:trHeight w:val="209"/>
        </w:trPr>
        <w:tc>
          <w:tcPr>
            <w:tcW w:w="3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588,869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29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2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Included in mortgage fee income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19"/>
        </w:trPr>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2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Included in other expenses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nine-month period ended September 30, 2025, $616,524 in reserves were added at a rate of 3.5 basis points per loan, the equivalent of $350 per $1,000,000 in loans originated. For the nine-month period ended September 30, 2024, $729,734 in reserves were added at a rate of 4.2 basis points per loan, the equivalent of $420 per $1,000,000 in loans originated. The Company monitors market data and trends, and economic conditions (including forecasts) and uses its own experience to determine adequate loss reserves on current production.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active equity incentive plans (the “2013 Plan”, the “2014 Director Plan” and the “2022 Plan” or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$310,165 and $195,431 has been recognized for these Plans for the three-month periods ended September 30, 2025, and 2024, respectively, and $919,868 and $577,613 has been recognized for these Plans for the nine-month periods ended September 30, 2025, and 2024, respectively, and is included in personnel expenses on the condensed consolidated statements of earnings. As of September 30, 2025, the total unrecognized compensation expense related to the options issued was $238,128 which is expected to be recognized over the remaining vesting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Plans during the nine-month period ended September 30, 2025, is summarized as follows:</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Number of</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 Exercise</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Class A Shares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Price (2)</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Class C Shares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646,594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27,898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80,571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(112,735)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(113,023)</w:t>
            </w:r>
          </w:p>
        </w:tc>
        <w:tc>
          <w:tcPr>
            <w:tcW w:w="0" w:type="dxa"/>
            <w:vAlign w:val="bottom"/>
          </w:tcPr>
          <w:p>
            <w:pPr>
              <w:spacing w:after="0"/>
              <w:rPr>
                <w:sz w:val="1"/>
                <w:szCs w:val="1"/>
                <w:color w:val="auto"/>
              </w:rPr>
            </w:pPr>
          </w:p>
        </w:tc>
      </w:tr>
      <w:tr>
        <w:trPr>
          <w:trHeight w:val="2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(18,462)</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567,295</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548,470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2,164,542</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4.92 years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 years</w:t>
            </w:r>
          </w:p>
        </w:tc>
        <w:tc>
          <w:tcPr>
            <w:tcW w:w="0" w:type="dxa"/>
            <w:vAlign w:val="bottom"/>
          </w:tcPr>
          <w:p>
            <w:pPr>
              <w:spacing w:after="0"/>
              <w:rPr>
                <w:sz w:val="1"/>
                <w:szCs w:val="1"/>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4.77 years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 years</w:t>
            </w:r>
          </w:p>
        </w:tc>
        <w:tc>
          <w:tcPr>
            <w:tcW w:w="0" w:type="dxa"/>
            <w:vAlign w:val="bottom"/>
          </w:tcPr>
          <w:p>
            <w:pPr>
              <w:spacing w:after="0"/>
              <w:rPr>
                <w:sz w:val="1"/>
                <w:szCs w:val="1"/>
                <w:color w:val="auto"/>
              </w:rPr>
            </w:pPr>
          </w:p>
        </w:tc>
      </w:tr>
      <w:tr>
        <w:trPr>
          <w:trHeight w:val="4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2025 (1)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1,647,183</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2,607,971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2025 (1)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1,710,565</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2,926,771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-3514090</wp:posOffset>
            </wp:positionV>
            <wp:extent cx="64122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64122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641223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641223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641223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64122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641223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64122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64122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64122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641223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64122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$8.67 as of September 30, 2025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Average Exercise</w:t>
      </w:r>
    </w:p>
    <w:p>
      <w:pPr>
        <w:spacing w:after="0" w:line="9" w:lineRule="exact"/>
        <w:rPr>
          <w:sz w:val="20"/>
          <w:szCs w:val="20"/>
          <w:color w:val="auto"/>
        </w:rPr>
      </w:pPr>
    </w:p>
    <w:p>
      <w:pPr>
        <w:jc w:val="center"/>
        <w:ind w:right="1215"/>
        <w:spacing w:after="0"/>
        <w:rPr>
          <w:sz w:val="20"/>
          <w:szCs w:val="20"/>
          <w:color w:val="auto"/>
        </w:rPr>
      </w:pPr>
      <w:r>
        <w:rPr>
          <w:rFonts w:ascii="Times New Roman" w:cs="Times New Roman" w:eastAsia="Times New Roman" w:hAnsi="Times New Roman"/>
          <w:sz w:val="18"/>
          <w:szCs w:val="18"/>
          <w:color w:val="auto"/>
        </w:rPr>
        <w:t>Price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985" w:hanging="985"/>
        <w:spacing w:after="0"/>
        <w:tabs>
          <w:tab w:leader="none" w:pos="9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85" w:hanging="985"/>
        <w:spacing w:after="0"/>
        <w:tabs>
          <w:tab w:leader="none" w:pos="9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7.13</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985" w:hanging="985"/>
        <w:spacing w:after="0"/>
        <w:tabs>
          <w:tab w:leader="none" w:pos="9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w:t>
      </w:r>
    </w:p>
    <w:p>
      <w:pPr>
        <w:spacing w:after="0" w:line="4492" w:lineRule="exact"/>
        <w:rPr>
          <w:sz w:val="20"/>
          <w:szCs w:val="20"/>
          <w:color w:val="auto"/>
        </w:rPr>
      </w:pPr>
    </w:p>
    <w:p>
      <w:pPr>
        <w:sectPr>
          <w:pgSz w:w="11900" w:h="16838" w:orient="portrait"/>
          <w:cols w:equalWidth="0" w:num="2">
            <w:col w:w="8500" w:space="215"/>
            <w:col w:w="2525"/>
          </w:cols>
          <w:pgMar w:left="320" w:top="688"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8" w:name="page39"/>
    <w:bookmarkEnd w:id="38"/>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Plans during the nine-month period ended September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Number of</w:t>
            </w: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 Exercise</w:t>
            </w:r>
          </w:p>
        </w:tc>
        <w:tc>
          <w:tcPr>
            <w:tcW w:w="10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22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Price (2)</w:t>
            </w:r>
          </w:p>
        </w:tc>
        <w:tc>
          <w:tcPr>
            <w:tcW w:w="10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 C Shares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Price (2)</w:t>
            </w:r>
          </w:p>
        </w:tc>
      </w:tr>
      <w:tr>
        <w:trPr>
          <w:trHeight w:val="209"/>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833,570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1,520,062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38,724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(88,714)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(17,333)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2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782,747</w:t>
            </w: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1,596,067</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196"/>
        </w:trPr>
        <w:tc>
          <w:tcPr>
            <w:tcW w:w="3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751,872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1,519,817</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39,006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556,238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3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 years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5.74 years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 years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5.63 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 (1)</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3,165,305</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5,793,310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Aggregated intrinsic value of options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 (1)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3,119,776</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5,676,723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60" w:hanging="29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$9.20 as of September 30, 2024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nine-month periods ended September 30, 2025, and 2024 was $1,357,776 and $290,159,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RSUs issued of $10,076 and $895 has been recognized under these plans for the three-month periods ended September 30, 2025, and 2024, respectively, and $30,012 and $2,666 has been recognized under these plans for the nine-month periods ended September 30, 2025, and 2024, and is included in personnel expenses on the condensed consolidated statements of earnings. The fair value of each RSU granted is determined by the Company’s stock price on the date of the grant. As of September 30, 2025, the total unrecognized compensation expense related to the RSUs issued was $7,286, which is expected to be recognized over the remaining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nine-month period ended September 30,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34"/>
        </w:trPr>
        <w:tc>
          <w:tcPr>
            <w:tcW w:w="4260" w:type="dxa"/>
            <w:vAlign w:val="bottom"/>
          </w:tcPr>
          <w:p>
            <w:pPr>
              <w:spacing w:after="0"/>
              <w:rPr>
                <w:sz w:val="20"/>
                <w:szCs w:val="20"/>
                <w:color w:val="auto"/>
              </w:rPr>
            </w:pP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Class A Shares</w:t>
            </w: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Grant Date Fair Value</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6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60" w:type="dxa"/>
            <w:vAlign w:val="bottom"/>
            <w:tcBorders>
              <w:bottom w:val="single" w:sz="8" w:color="CCEEFF"/>
            </w:tcBorders>
          </w:tcPr>
          <w:p>
            <w:pPr>
              <w:spacing w:after="0"/>
              <w:rPr>
                <w:sz w:val="22"/>
                <w:szCs w:val="22"/>
                <w:color w:val="auto"/>
              </w:rPr>
            </w:pPr>
          </w:p>
        </w:tc>
      </w:tr>
      <w:tr>
        <w:trPr>
          <w:trHeight w:val="196"/>
        </w:trPr>
        <w:tc>
          <w:tcPr>
            <w:tcW w:w="4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504,187</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nine-month period ended September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Weighted Average</w:t>
            </w:r>
          </w:p>
        </w:tc>
        <w:tc>
          <w:tcPr>
            <w:tcW w:w="338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Class A Shares</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Grant Date Fair Value</w:t>
            </w:r>
          </w:p>
        </w:tc>
        <w:tc>
          <w:tcPr>
            <w:tcW w:w="3380" w:type="dxa"/>
            <w:vAlign w:val="bottom"/>
          </w:tcPr>
          <w:p>
            <w:pPr>
              <w:spacing w:after="0"/>
              <w:rPr>
                <w:sz w:val="20"/>
                <w:szCs w:val="20"/>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380" w:type="dxa"/>
            <w:vAlign w:val="bottom"/>
          </w:tcPr>
          <w:p>
            <w:pPr>
              <w:spacing w:after="0"/>
              <w:rPr>
                <w:sz w:val="18"/>
                <w:szCs w:val="18"/>
                <w:color w:val="auto"/>
              </w:rPr>
            </w:pPr>
          </w:p>
        </w:tc>
      </w:tr>
      <w:tr>
        <w:trPr>
          <w:trHeight w:val="229"/>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26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3380" w:type="dxa"/>
            <w:vAlign w:val="bottom"/>
          </w:tcPr>
          <w:p>
            <w:pPr>
              <w:spacing w:after="0"/>
              <w:rPr>
                <w:sz w:val="22"/>
                <w:szCs w:val="22"/>
                <w:color w:val="auto"/>
              </w:rPr>
            </w:pPr>
          </w:p>
        </w:tc>
      </w:tr>
      <w:tr>
        <w:trPr>
          <w:trHeight w:val="197"/>
        </w:trPr>
        <w:tc>
          <w:tcPr>
            <w:tcW w:w="4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4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4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0" w:name="page41"/>
    <w:bookmarkEnd w:id="4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per share have been retroactively adjusted for the effect of annual stock dividends. In accordance with GAAP, the basic and diluted earnings per share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7,815,026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11,831,444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18,659,673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26,577,515</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24,709,518</w:t>
            </w:r>
          </w:p>
        </w:tc>
        <w:tc>
          <w:tcPr>
            <w:tcW w:w="4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24,418,679</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24,725,938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24,465,661</w:t>
            </w:r>
          </w:p>
        </w:tc>
        <w:tc>
          <w:tcPr>
            <w:tcW w:w="100" w:type="dxa"/>
            <w:vAlign w:val="bottom"/>
          </w:tcPr>
          <w:p>
            <w:pPr>
              <w:spacing w:after="0"/>
              <w:rPr>
                <w:sz w:val="19"/>
                <w:szCs w:val="19"/>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691,927</w:t>
            </w:r>
          </w:p>
        </w:tc>
        <w:tc>
          <w:tcPr>
            <w:tcW w:w="4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853,399</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828,239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731,352</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8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25,401,445</w:t>
            </w:r>
          </w:p>
        </w:tc>
        <w:tc>
          <w:tcPr>
            <w:tcW w:w="46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25,272,078</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25,554,177</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25,197,013</w:t>
            </w:r>
          </w:p>
        </w:tc>
        <w:tc>
          <w:tcPr>
            <w:tcW w:w="100" w:type="dxa"/>
            <w:vAlign w:val="bottom"/>
          </w:tcPr>
          <w:p>
            <w:pPr>
              <w:spacing w:after="0"/>
              <w:rPr>
                <w:sz w:val="24"/>
                <w:szCs w:val="24"/>
                <w:color w:val="auto"/>
              </w:rPr>
            </w:pPr>
          </w:p>
        </w:tc>
      </w:tr>
      <w:tr>
        <w:trPr>
          <w:trHeight w:val="197"/>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0.75</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r>
      <w:tr>
        <w:trPr>
          <w:trHeight w:val="196"/>
        </w:trPr>
        <w:tc>
          <w:tcPr>
            <w:tcW w:w="38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nine-month periods ended September 30, 2025, and 2024, there were 403,514 and nil anti-dilutive stock option shares, respectively, that were not included in the computation of diluted net earnings per common share as their effect would be anti-dilutive. Basic and diluted earnings per share are the same for each class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2024 (1)</w:t>
      </w:r>
    </w:p>
    <w:p>
      <w:pPr>
        <w:spacing w:after="0" w:line="225" w:lineRule="exact"/>
        <w:rPr>
          <w:sz w:val="20"/>
          <w:szCs w:val="20"/>
          <w:color w:val="auto"/>
        </w:rPr>
      </w:pPr>
    </w:p>
    <w:p>
      <w:pPr>
        <w:ind w:left="180" w:right="1220"/>
        <w:spacing w:after="0" w:line="289" w:lineRule="auto"/>
        <w:rPr>
          <w:sz w:val="20"/>
          <w:szCs w:val="20"/>
          <w:color w:val="auto"/>
        </w:rPr>
      </w:pPr>
      <w:r>
        <w:rPr>
          <w:rFonts w:ascii="Times New Roman" w:cs="Times New Roman" w:eastAsia="Times New Roman" w:hAnsi="Times New Roman"/>
          <w:sz w:val="17"/>
          <w:szCs w:val="17"/>
          <w:color w:val="auto"/>
        </w:rPr>
        <w:t>Exercise of stock options Vesting of restricted stock units Conversion of Class C to Class 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2025 (1)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2023 (1)</w:t>
      </w:r>
    </w:p>
    <w:p>
      <w:pPr>
        <w:spacing w:after="0" w:line="225" w:lineRule="exact"/>
        <w:rPr>
          <w:sz w:val="20"/>
          <w:szCs w:val="20"/>
          <w:color w:val="auto"/>
        </w:rPr>
      </w:pPr>
    </w:p>
    <w:p>
      <w:pPr>
        <w:ind w:left="180" w:right="1220"/>
        <w:spacing w:after="0" w:line="289" w:lineRule="auto"/>
        <w:rPr>
          <w:sz w:val="20"/>
          <w:szCs w:val="20"/>
          <w:color w:val="auto"/>
        </w:rPr>
      </w:pPr>
      <w:r>
        <w:rPr>
          <w:rFonts w:ascii="Times New Roman" w:cs="Times New Roman" w:eastAsia="Times New Roman" w:hAnsi="Times New Roman"/>
          <w:sz w:val="17"/>
          <w:szCs w:val="17"/>
          <w:color w:val="auto"/>
        </w:rPr>
        <w:t>Exercise of stock options Vesting of restricted stock units Conversion of Class C to Class 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Class C</w:t>
            </w:r>
          </w:p>
        </w:tc>
      </w:tr>
      <w:tr>
        <w:trPr>
          <w:trHeight w:val="228"/>
        </w:trPr>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22,321,559</w:t>
            </w:r>
          </w:p>
        </w:tc>
        <w:tc>
          <w:tcPr>
            <w:tcW w:w="3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3,492,674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66,273</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95,337</w:t>
            </w:r>
          </w:p>
        </w:tc>
      </w:tr>
      <w:tr>
        <w:trPr>
          <w:trHeight w:val="216"/>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6,639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466"/>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22,395,245</w:t>
            </w:r>
          </w:p>
        </w:tc>
        <w:tc>
          <w:tcPr>
            <w:tcW w:w="300" w:type="dxa"/>
            <w:vAlign w:val="bottom"/>
          </w:tcPr>
          <w:p>
            <w:pPr>
              <w:spacing w:after="0"/>
              <w:rPr>
                <w:sz w:val="24"/>
                <w:szCs w:val="24"/>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3,587,237</w:t>
            </w:r>
          </w:p>
        </w:tc>
        <w:tc>
          <w:tcPr>
            <w:tcW w:w="4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22,119,436</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3,291,271</w:t>
            </w:r>
          </w:p>
        </w:tc>
        <w:tc>
          <w:tcPr>
            <w:tcW w:w="40" w:type="dxa"/>
            <w:vAlign w:val="bottom"/>
          </w:tcPr>
          <w:p>
            <w:pPr>
              <w:spacing w:after="0"/>
              <w:rPr>
                <w:sz w:val="24"/>
                <w:szCs w:val="24"/>
                <w:color w:val="auto"/>
              </w:rPr>
            </w:pPr>
          </w:p>
        </w:tc>
      </w:tr>
      <w:tr>
        <w:trPr>
          <w:trHeight w:val="414"/>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63,512</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66"/>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22,184,539</w:t>
            </w:r>
          </w:p>
        </w:tc>
        <w:tc>
          <w:tcPr>
            <w:tcW w:w="300" w:type="dxa"/>
            <w:vAlign w:val="bottom"/>
          </w:tcPr>
          <w:p>
            <w:pPr>
              <w:spacing w:after="0"/>
              <w:rPr>
                <w:sz w:val="24"/>
                <w:szCs w:val="24"/>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3,291,005</w:t>
            </w:r>
          </w:p>
        </w:tc>
        <w:tc>
          <w:tcPr>
            <w:tcW w:w="4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-2202815</wp:posOffset>
            </wp:positionV>
            <wp:extent cx="498919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-1919605</wp:posOffset>
            </wp:positionV>
            <wp:extent cx="49891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-1645285</wp:posOffset>
            </wp:positionV>
            <wp:extent cx="498919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-1345565</wp:posOffset>
            </wp:positionV>
            <wp:extent cx="498919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-1028065</wp:posOffset>
            </wp:positionV>
            <wp:extent cx="49891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-753745</wp:posOffset>
            </wp:positionV>
            <wp:extent cx="498919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-479425</wp:posOffset>
            </wp:positionV>
            <wp:extent cx="498919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-179705</wp:posOffset>
            </wp:positionV>
            <wp:extent cx="498919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688" w:right="33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identified three operating and reportable business segments: life insurance, cemetery and mortuary, and mortgage. The Company’s life insurance segment revenue consists of life insurance premiums; fees earned on factored life insurance policies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cemetery and mortuary segment revenue consists of fees from the sale of at-need cemetery and mortuary merchandise, services at its mortuaries and cemeteries, pre-need sales of cemetery spaces and the net investment income from investing surplus cash. Its expenses include operating expenses to maintain mortuary and cemetery operations and commissions related to the sale of insurance products sold by the Company’s agents. The Company’s mortgage segment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Services and Cost Sharing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Part II, Item 8, Note 1 - Significant Accounting Policies of the Company’s Annual Report on Form 10-K for the year ended December 31, 2024.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Company’s Operating and Reportable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Chief Operating Decision Maker (“CODM”)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month-over-month and year-over-year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0"/>
          </w:tcPr>
          <w:p>
            <w:pPr>
              <w:jc w:val="right"/>
              <w:ind w:right="130"/>
              <w:spacing w:after="0"/>
              <w:rPr>
                <w:sz w:val="20"/>
                <w:szCs w:val="20"/>
                <w:color w:val="auto"/>
              </w:rPr>
            </w:pPr>
            <w:r>
              <w:rPr>
                <w:rFonts w:ascii="Times New Roman" w:cs="Times New Roman" w:eastAsia="Times New Roman" w:hAnsi="Times New Roman"/>
                <w:sz w:val="18"/>
                <w:szCs w:val="18"/>
                <w:color w:val="auto"/>
              </w:rPr>
              <w:t>For the Three Months Ended September 30, 2025</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29,880,785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7,140,942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29,139,245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66,160,972</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19,278,861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641,814</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188,925</w:t>
            </w: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20,109,600</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1,258,854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711,884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1,972,198</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371,667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432,894</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278,832</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1,083,393</w:t>
            </w:r>
          </w:p>
        </w:tc>
        <w:tc>
          <w:tcPr>
            <w:tcW w:w="8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2,044,534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85,699</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75,882</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2,206,115</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52,834,701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9,013,233</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29,684,344</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91,532,278</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(2,206,115)</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89,326,163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15,182,809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1,374,289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8,376,973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5,329,768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203,653</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1,327,707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53,382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11,673,028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8,679,182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2,689,765</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10,150,091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172,623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174,285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636,383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86,781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38,902</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821,981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217,990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233,853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155,457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1,813,814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78,005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913,247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751,520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2,884,733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1,299,434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1,339,391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161,581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83,359</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1,961,175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912,232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154,160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1,113,425</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1,534,528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757,700</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45,698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5,507,773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2,287,334</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7,815,026</w:t>
            </w:r>
          </w:p>
        </w:tc>
        <w:tc>
          <w:tcPr>
            <w:tcW w:w="8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0"/>
          </w:tcPr>
          <w:p>
            <w:pPr>
              <w:jc w:val="right"/>
              <w:ind w:right="130"/>
              <w:spacing w:after="0"/>
              <w:rPr>
                <w:sz w:val="20"/>
                <w:szCs w:val="20"/>
                <w:color w:val="auto"/>
              </w:rPr>
            </w:pPr>
            <w:r>
              <w:rPr>
                <w:rFonts w:ascii="Times New Roman" w:cs="Times New Roman" w:eastAsia="Times New Roman" w:hAnsi="Times New Roman"/>
                <w:sz w:val="18"/>
                <w:szCs w:val="18"/>
                <w:color w:val="auto"/>
              </w:rPr>
              <w:t>For the Three Months Ended September 30, 2024</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56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30,011,081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6,814,331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30,224,092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67,049,504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17,105,712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477,833</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215,551</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17,799,096</w:t>
            </w: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1,316,673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1,124,513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(1,093,530)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1,347,656</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419,890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126,000</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1,531,541</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2,077,431</w:t>
            </w:r>
          </w:p>
        </w:tc>
        <w:tc>
          <w:tcPr>
            <w:tcW w:w="8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2,066,052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85,699</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137,946</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2,289,697</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50,919,408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8,628,376</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31,015,600</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90,563,384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(2,289,697)</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88,273,687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13,570,336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1,194,692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8,589,354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2,093,892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193,111</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953,987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268,499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11,981,920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7,462,332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2,483,960</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11,303,262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177,329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159,117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571,082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103,137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39,324</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1,237,615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248,914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205,529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157,032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1,694,791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62,314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813,729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739,809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2,061,764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1,167,856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1,136,150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223,434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90,613</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1,975,650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932,239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128,220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1,117,513</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2,651,944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716,898</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14,396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9,706,243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2,123,448</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11,831,444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11,831,444</w:t>
            </w:r>
          </w:p>
        </w:tc>
        <w:tc>
          <w:tcPr>
            <w:tcW w:w="8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11"/>
          </w:tcPr>
          <w:p>
            <w:pPr>
              <w:jc w:val="right"/>
              <w:ind w:right="30"/>
              <w:spacing w:after="0"/>
              <w:rPr>
                <w:sz w:val="20"/>
                <w:szCs w:val="20"/>
                <w:color w:val="auto"/>
              </w:rPr>
            </w:pPr>
            <w:r>
              <w:rPr>
                <w:rFonts w:ascii="Times New Roman" w:cs="Times New Roman" w:eastAsia="Times New Roman" w:hAnsi="Times New Roman"/>
                <w:sz w:val="18"/>
                <w:szCs w:val="18"/>
                <w:color w:val="auto"/>
              </w:rPr>
              <w:t>For the Nine Months Ended September 30, 2025</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89,846,164</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21,698,880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83,433,590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194,978,634</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57,909,679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1,528,492</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455,041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59,893,212</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2,422,649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1,193,030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3,700,926</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1,422,933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766,987</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3,034,263</w:t>
            </w: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5,192,800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254,302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5,719,409</w:t>
            </w:r>
          </w:p>
        </w:tc>
      </w:tr>
      <w:tr>
        <w:trPr>
          <w:trHeight w:val="209"/>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156,794,225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25,441,691</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85,090,528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267,326,444</w:t>
            </w:r>
          </w:p>
        </w:tc>
        <w:tc>
          <w:tcPr>
            <w:tcW w:w="100" w:type="dxa"/>
            <w:vAlign w:val="bottom"/>
            <w:tcBorders>
              <w:bottom w:val="single" w:sz="8" w:color="CCEEFF"/>
            </w:tcBorders>
          </w:tcPr>
          <w:p>
            <w:pPr>
              <w:spacing w:after="0"/>
              <w:rPr>
                <w:sz w:val="18"/>
                <w:szCs w:val="18"/>
                <w:color w:val="auto"/>
              </w:rPr>
            </w:pPr>
          </w:p>
        </w:tc>
      </w:tr>
      <w:tr>
        <w:trPr>
          <w:trHeight w:val="209"/>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(5,719,409)</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261,607,035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46,249,912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3,807,498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26,165,160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15,436,601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531,030</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3,266,908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841,828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32,849,100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25,602,668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7,901,569</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32,368,554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398,893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468,503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1,880,288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265,531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112,896</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2,494,987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680,675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669,398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5,120,855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882,143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222,937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2,690,366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2,203,794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7,911,917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3,834,468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5,211,239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526,395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255,285</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4,937,729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2,812,509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666,539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3,525,978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4,526,820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1,722,410</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16,056,801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5,354,943</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(2,752,071)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18,659,673</w:t>
            </w:r>
          </w:p>
        </w:tc>
        <w:tc>
          <w:tcPr>
            <w:tcW w:w="100" w:type="dxa"/>
            <w:vAlign w:val="bottom"/>
            <w:tcBorders>
              <w:bottom w:val="single" w:sz="8" w:color="CCEEFF"/>
            </w:tcBorders>
          </w:tcPr>
          <w:p>
            <w:pPr>
              <w:spacing w:after="0"/>
              <w:rPr>
                <w:sz w:val="19"/>
                <w:szCs w:val="19"/>
                <w:color w:val="auto"/>
              </w:rPr>
            </w:pPr>
          </w:p>
        </w:tc>
      </w:tr>
      <w:tr>
        <w:trPr>
          <w:trHeight w:val="223"/>
        </w:trPr>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18,659,673</w:t>
            </w: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1,403,748,846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105,083,649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89,648,621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1,598,481,116</w:t>
            </w:r>
          </w:p>
        </w:tc>
      </w:tr>
      <w:tr>
        <w:trPr>
          <w:trHeight w:val="197"/>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(35,495,025)</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1,562,986,091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53,325,905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1,176,244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296,776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54,798,925</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393"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20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11"/>
          </w:tcPr>
          <w:p>
            <w:pPr>
              <w:jc w:val="right"/>
              <w:ind w:right="30"/>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89,823,732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21,531,769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81,675,278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193,030,779</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52,902,146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2,136,982</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55,790,472</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2,194,572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1,503,865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2,639,843</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1,140,856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435,507</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2,215,764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3,792,127</w:t>
            </w: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5,351,600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255,234</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6,036,375</w:t>
            </w:r>
          </w:p>
        </w:tc>
      </w:tr>
      <w:tr>
        <w:trPr>
          <w:trHeight w:val="209"/>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151,412,906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25,863,357</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84,013,333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261,289,596</w:t>
            </w:r>
          </w:p>
        </w:tc>
        <w:tc>
          <w:tcPr>
            <w:tcW w:w="100" w:type="dxa"/>
            <w:vAlign w:val="bottom"/>
            <w:tcBorders>
              <w:bottom w:val="single" w:sz="8" w:color="CCEEFF"/>
            </w:tcBorders>
          </w:tcPr>
          <w:p>
            <w:pPr>
              <w:spacing w:after="0"/>
              <w:rPr>
                <w:sz w:val="18"/>
                <w:szCs w:val="18"/>
                <w:color w:val="auto"/>
              </w:rPr>
            </w:pPr>
          </w:p>
        </w:tc>
      </w:tr>
      <w:tr>
        <w:trPr>
          <w:trHeight w:val="210"/>
        </w:trPr>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(6,036,375)</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255,253,221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43,354,254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3,453,425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27,148,178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10,708,888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623,417</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2,817,716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1,047,105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30,773,643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21,979,252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7,346,938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32,581,075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400,206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437,731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1,543,463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332,764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118,753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3,627,275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620,861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472,789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4,677,767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633,130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183,300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2,618,662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2,260,033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6,100,295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3,596,281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4,085,217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276,933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5,075,770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2,790,510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3,627,101</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6,017,032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2,025,774</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22,035,378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5,958,513</w:t>
            </w:r>
          </w:p>
        </w:tc>
        <w:tc>
          <w:tcPr>
            <w:tcW w:w="3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(1,416,376)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26,577,515</w:t>
            </w:r>
          </w:p>
        </w:tc>
        <w:tc>
          <w:tcPr>
            <w:tcW w:w="100" w:type="dxa"/>
            <w:vAlign w:val="bottom"/>
            <w:tcBorders>
              <w:bottom w:val="single" w:sz="8" w:color="CCEEFF"/>
            </w:tcBorders>
          </w:tcPr>
          <w:p>
            <w:pPr>
              <w:spacing w:after="0"/>
              <w:rPr>
                <w:sz w:val="19"/>
                <w:szCs w:val="19"/>
                <w:color w:val="auto"/>
              </w:rPr>
            </w:pPr>
          </w:p>
        </w:tc>
      </w:tr>
      <w:tr>
        <w:trPr>
          <w:trHeight w:val="223"/>
        </w:trPr>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26,577,515</w:t>
            </w: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1,329,401,728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94,063,898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99,663,509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1,523,129,135</w:t>
            </w:r>
          </w:p>
        </w:tc>
      </w:tr>
      <w:tr>
        <w:trPr>
          <w:trHeight w:val="197"/>
        </w:trPr>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(28,304,940)</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1,494,824,195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46,317,358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300,393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146,993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46,764,744</w:t>
            </w: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60" w:right="6120" w:hanging="652"/>
        <w:spacing w:after="0" w:line="265" w:lineRule="auto"/>
        <w:tabs>
          <w:tab w:leader="none" w:pos="3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60" w:right="35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393"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9"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presented in its disclosures related to significant financial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7340" w:firstLine="8"/>
        <w:spacing w:after="0" w:line="499" w:lineRule="auto"/>
        <w:tabs>
          <w:tab w:leader="none" w:pos="1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conditions.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determination of fair value will generally be weighed more heavily toward the rental analysis.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net rental income over seven years. The Company also considers comparable properties in the area and property conditions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Active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Markets for</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389,193,589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388,618,720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574,869</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17,691,024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17,691,024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159,460,525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159,460,525</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2,010,076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2,010,076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13,006,668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13,006,668</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271,285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5,883,290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5,883,290</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2,799,643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2,799,643</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590,316,100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36,580,982</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390,900,081</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162,835,037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(82,385)</w:t>
            </w:r>
          </w:p>
        </w:tc>
      </w:tr>
      <w:tr>
        <w:trPr>
          <w:trHeight w:val="178"/>
        </w:trPr>
        <w:tc>
          <w:tcPr>
            <w:tcW w:w="52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(82,385)</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Active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Markets for</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366,546,129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365,396,203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1,149,926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131,181,148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tcPr>
          <w:p>
            <w:pPr>
              <w:spacing w:after="0"/>
              <w:rPr>
                <w:sz w:val="18"/>
                <w:szCs w:val="18"/>
                <w:color w:val="auto"/>
              </w:rPr>
            </w:pPr>
          </w:p>
        </w:tc>
      </w:tr>
      <w:tr>
        <w:trPr>
          <w:trHeight w:val="256"/>
        </w:trPr>
        <w:tc>
          <w:tcPr>
            <w:tcW w:w="5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Restricted assets </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2,351,369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2,351,369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Restricted assets </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57"/>
        </w:trPr>
        <w:tc>
          <w:tcPr>
            <w:tcW w:w="5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Cemetery perpetual care trust investments </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769,662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769,662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5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Cemetery perpetual care trust investments </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70"/>
        </w:trPr>
        <w:tc>
          <w:tcPr>
            <w:tcW w:w="52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Derivatives - loan commitments </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5,348,089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5,348,089</w:t>
            </w:r>
          </w:p>
        </w:tc>
        <w:tc>
          <w:tcPr>
            <w:tcW w:w="80" w:type="dxa"/>
            <w:vAlign w:val="bottom"/>
            <w:shd w:val="clear" w:color="auto" w:fill="CCEEFF"/>
          </w:tcPr>
          <w:p>
            <w:pPr>
              <w:spacing w:after="0"/>
              <w:rPr>
                <w:sz w:val="23"/>
                <w:szCs w:val="23"/>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536,860,288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30,663,891</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368,517,234</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137,679,163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52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Derivatives - loan commitments </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(3,034,879)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(3,034,879)</w:t>
            </w:r>
          </w:p>
        </w:tc>
      </w:tr>
      <w:tr>
        <w:trPr>
          <w:trHeight w:val="178"/>
        </w:trPr>
        <w:tc>
          <w:tcPr>
            <w:tcW w:w="52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(3,034,879)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(3,034,879)</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September 30, 2025,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Fair Value at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80" w:type="dxa"/>
            <w:vAlign w:val="bottom"/>
          </w:tcPr>
          <w:p>
            <w:pPr>
              <w:spacing w:after="0"/>
              <w:rPr>
                <w:sz w:val="20"/>
                <w:szCs w:val="20"/>
                <w:color w:val="auto"/>
              </w:rPr>
            </w:pPr>
          </w:p>
        </w:tc>
        <w:tc>
          <w:tcPr>
            <w:tcW w:w="2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8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September 30,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Input(s)</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1"/>
        </w:trPr>
        <w:tc>
          <w:tcPr>
            <w:tcW w:w="2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159,460,525</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2,717,258</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251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 bps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574,869</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2024,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Fair Value at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c>
          <w:tcPr>
            <w:tcW w:w="180" w:type="dxa"/>
            <w:vAlign w:val="bottom"/>
          </w:tcPr>
          <w:p>
            <w:pPr>
              <w:spacing w:after="0"/>
              <w:rPr>
                <w:sz w:val="20"/>
                <w:szCs w:val="20"/>
                <w:color w:val="auto"/>
              </w:rPr>
            </w:pPr>
          </w:p>
        </w:tc>
        <w:tc>
          <w:tcPr>
            <w:tcW w:w="2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88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Input(s)</w:t>
            </w:r>
          </w:p>
        </w:tc>
        <w:tc>
          <w:tcPr>
            <w:tcW w:w="1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1"/>
        </w:trPr>
        <w:tc>
          <w:tcPr>
            <w:tcW w:w="2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131,181,148</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2,313,210</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 bps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 bps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1,149,926</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100.16</w:t>
            </w:r>
          </w:p>
        </w:tc>
        <w:tc>
          <w:tcPr>
            <w:tcW w:w="0" w:type="dxa"/>
            <w:vAlign w:val="bottom"/>
          </w:tcPr>
          <w:p>
            <w:pPr>
              <w:spacing w:after="0"/>
              <w:rPr>
                <w:sz w:val="1"/>
                <w:szCs w:val="1"/>
                <w:color w:val="auto"/>
              </w:rPr>
            </w:pPr>
          </w:p>
        </w:tc>
      </w:tr>
      <w:tr>
        <w:trPr>
          <w:trHeight w:val="432"/>
        </w:trPr>
        <w:tc>
          <w:tcPr>
            <w:tcW w:w="2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three-month period ended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14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Loans Held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Sale</w:t>
            </w:r>
          </w:p>
        </w:tc>
        <w:tc>
          <w:tcPr>
            <w:tcW w:w="20" w:type="dxa"/>
            <w:vAlign w:val="bottom"/>
          </w:tcPr>
          <w:p>
            <w:pPr>
              <w:spacing w:after="0"/>
              <w:rPr>
                <w:sz w:val="20"/>
                <w:szCs w:val="20"/>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2025</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2,920,154</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165,876,119</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1,149,738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621,506,268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(642,485,858)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(574,074)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(202,896)(1)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14,563,996(1)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r>
      <w:tr>
        <w:trPr>
          <w:trHeight w:val="223"/>
        </w:trPr>
        <w:tc>
          <w:tcPr>
            <w:tcW w:w="44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2,717,258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159,460,525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574,869</w:t>
            </w:r>
          </w:p>
        </w:tc>
        <w:tc>
          <w:tcPr>
            <w:tcW w:w="200" w:type="dxa"/>
            <w:vAlign w:val="bottom"/>
          </w:tcPr>
          <w:p>
            <w:pPr>
              <w:spacing w:after="0"/>
              <w:rPr>
                <w:sz w:val="21"/>
                <w:szCs w:val="21"/>
                <w:color w:val="auto"/>
              </w:rPr>
            </w:pPr>
          </w:p>
        </w:tc>
      </w:tr>
      <w:tr>
        <w:trPr>
          <w:trHeight w:val="20"/>
        </w:trPr>
        <w:tc>
          <w:tcPr>
            <w:tcW w:w="4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three-month period ended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Net Loan</w:t>
            </w:r>
          </w:p>
        </w:tc>
        <w:tc>
          <w:tcPr>
            <w:tcW w:w="14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Loans Held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Sale</w:t>
            </w:r>
          </w:p>
        </w:tc>
        <w:tc>
          <w:tcPr>
            <w:tcW w:w="20" w:type="dxa"/>
            <w:vAlign w:val="bottom"/>
          </w:tcPr>
          <w:p>
            <w:pPr>
              <w:spacing w:after="0"/>
              <w:rPr>
                <w:sz w:val="20"/>
                <w:szCs w:val="20"/>
                <w:color w:val="auto"/>
              </w:rPr>
            </w:pPr>
          </w:p>
        </w:tc>
        <w:tc>
          <w:tcPr>
            <w:tcW w:w="16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2,574,863</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150,196,416</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633,213,359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(655,088,969)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(179,836)(1)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14,576,935(1)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(5,915)</w:t>
            </w:r>
          </w:p>
        </w:tc>
      </w:tr>
      <w:tr>
        <w:trPr>
          <w:trHeight w:val="223"/>
        </w:trPr>
        <w:tc>
          <w:tcPr>
            <w:tcW w:w="44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2,395,027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142,897,741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1,231,554</w:t>
            </w:r>
          </w:p>
        </w:tc>
        <w:tc>
          <w:tcPr>
            <w:tcW w:w="200" w:type="dxa"/>
            <w:vAlign w:val="bottom"/>
          </w:tcPr>
          <w:p>
            <w:pPr>
              <w:spacing w:after="0"/>
              <w:rPr>
                <w:sz w:val="21"/>
                <w:szCs w:val="21"/>
                <w:color w:val="auto"/>
              </w:rPr>
            </w:pPr>
          </w:p>
        </w:tc>
      </w:tr>
      <w:tr>
        <w:trPr>
          <w:trHeight w:val="20"/>
        </w:trPr>
        <w:tc>
          <w:tcPr>
            <w:tcW w:w="4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nine-month period ended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16"/>
        </w:trPr>
        <w:tc>
          <w:tcPr>
            <w:tcW w:w="5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Net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Loans Held for</w:t>
            </w:r>
          </w:p>
        </w:tc>
        <w:tc>
          <w:tcPr>
            <w:tcW w:w="12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Available for</w:t>
            </w:r>
          </w:p>
        </w:tc>
      </w:tr>
      <w:tr>
        <w:trPr>
          <w:trHeight w:val="234"/>
        </w:trPr>
        <w:tc>
          <w:tcPr>
            <w:tcW w:w="5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Commitments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Sale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1,756,289,354</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(1,767,464,031)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(574,074)</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40,662,117(1)</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50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2,717,258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159,460,525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574,869</w:t>
            </w:r>
          </w:p>
        </w:tc>
        <w:tc>
          <w:tcPr>
            <w:tcW w:w="20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nine-month period ended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Net Loan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Loans Held for</w:t>
            </w: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Available for</w:t>
            </w:r>
          </w:p>
        </w:tc>
      </w:tr>
      <w:tr>
        <w:trPr>
          <w:trHeight w:val="234"/>
        </w:trPr>
        <w:tc>
          <w:tcPr>
            <w:tcW w:w="4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Commitments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Sale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1,723,036,874</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(1,742,693,113)</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811,765(1)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36,863,767(1)</w:t>
            </w: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(7,102)</w:t>
            </w:r>
          </w:p>
        </w:tc>
      </w:tr>
      <w:tr>
        <w:trPr>
          <w:trHeight w:val="223"/>
        </w:trPr>
        <w:tc>
          <w:tcPr>
            <w:tcW w:w="4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2,395,027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142,897,741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1,231,554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September 30, 2025, or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September 30, 2025, and December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89,718,459</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89,993,926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89,993,926</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165,018,792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165,018,792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165,018,792</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74,427,440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75,580,341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75,580,341</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329,164,691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330,593,059</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330,593,059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14,372,484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14,372,484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14,372,484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40,743,363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40,743,363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40,743,363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1,176,532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1,176,532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1,176,532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1,671,956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1,671,956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1,671,956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2,616,372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4,035,635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4,035,635</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(123,096,234)</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(110,888,695)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(110,888,695)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(35,957,897)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(35,998,992)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(35,998,992)</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(105,401,640)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(104,481,604)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(104,481,604)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89,780,350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90,168,328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90,168,328</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150,211,240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150,211,240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150,211,240</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61,755,768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60,864,775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60,864,775</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14,019,248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14,019,248</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46,956,932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46,956,932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46,956,932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983,834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983,834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2,141,464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2,141,464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2,141,464</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2,939,878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4,552,316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4,552,316</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(106,740,104)</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(90,455,678)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(90,455,678)</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(37,066,043)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(37,626,593)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(37,626,593)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(105,716,087)</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(104,611,544)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(104,611,544)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These loans are fully collateralized by the cash surrender value of the underlying policy. Accordingly, the carrying amounts reported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condensed consolidated balance sheet approximates their fair values.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 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 approximates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00" w:hanging="192"/>
        <w:spacing w:after="0"/>
        <w:tabs>
          <w:tab w:leader="none" w:pos="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8460" w:firstLine="8"/>
        <w:spacing w:after="0" w:line="500" w:lineRule="auto"/>
        <w:tabs>
          <w:tab w:leader="none" w:pos="1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the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Balance Sheet</w:t>
            </w: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0" w:type="dxa"/>
            <w:vAlign w:val="bottom"/>
          </w:tcPr>
          <w:p>
            <w:pPr>
              <w:spacing w:after="0"/>
              <w:rPr>
                <w:sz w:val="16"/>
                <w:szCs w:val="16"/>
                <w:color w:val="auto"/>
              </w:rPr>
            </w:pPr>
          </w:p>
        </w:tc>
        <w:tc>
          <w:tcPr>
            <w:tcW w:w="9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Liability Fair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10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Liability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240" w:type="dxa"/>
            <w:vAlign w:val="bottom"/>
          </w:tcPr>
          <w:p>
            <w:pPr>
              <w:spacing w:after="0"/>
              <w:rPr>
                <w:sz w:val="20"/>
                <w:szCs w:val="20"/>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1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w:t>
            </w:r>
          </w:p>
        </w:tc>
        <w:tc>
          <w:tcPr>
            <w:tcW w:w="1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as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 assets and Other</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13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$ 185,579,856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2,799,643</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82,385</w:t>
            </w:r>
          </w:p>
        </w:tc>
        <w:tc>
          <w:tcPr>
            <w:tcW w:w="12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5,348,089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3,034,879</w:t>
            </w:r>
          </w:p>
        </w:tc>
        <w:tc>
          <w:tcPr>
            <w:tcW w:w="0" w:type="dxa"/>
            <w:vAlign w:val="bottom"/>
          </w:tcPr>
          <w:p>
            <w:pPr>
              <w:spacing w:after="0"/>
              <w:rPr>
                <w:sz w:val="1"/>
                <w:szCs w:val="1"/>
                <w:color w:val="auto"/>
              </w:rPr>
            </w:pPr>
          </w:p>
        </w:tc>
      </w:tr>
      <w:tr>
        <w:trPr>
          <w:trHeight w:val="223"/>
        </w:trPr>
        <w:tc>
          <w:tcPr>
            <w:tcW w:w="1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$ 185,579,856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2,799,643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82,385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5,348,089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3,034,879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color w:val="auto"/>
                <w:w w:val="99"/>
              </w:rPr>
              <w:t>Net Amount loss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Net Amount Gain</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40" w:type="dxa"/>
            <w:vAlign w:val="bottom"/>
            <w:gridSpan w:val="7"/>
          </w:tcPr>
          <w:p>
            <w:pPr>
              <w:jc w:val="center"/>
              <w:ind w:right="796"/>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3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Derivative</w:t>
            </w: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Classification</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(179,836</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404,049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811,765</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three lines of credit for the purpose of funding mortgage loans-one through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 second through Western Alliance Bank and a third through JPMorgan Chase Bank.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Bank warehouse line of credit agreement allows SecurityNational Mortgage to borrow up to $15,000,000. The relevant agreement contemplates interest at 2.10% plus the greater of (i) 0%, and (ii) the one-month forward-looking term rate based on SOFR on drawn amounts and matures on July 17, 2026. The Company is required to comply with covenants for adjusted tangible net worth, unrestricted cash balance, and a minimum net income of $1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Western Alliance Bank warehouse line of credit agreement allows SecurityNational Mortgage to borrow up to $25,000,000. The relevant agreement contemplates interest at the 1-Month SOFR rate plus 2.0%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JPMorgan Chase Bank warehouse line of credit agreement allows SecurityNational Mortgage to borrow up to $35,000,000. The relevant agreement contemplates interest at the 1-Month SOFR rate plus 1.95%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for US Bank and JP Morgan Chase Bank warehouse lines of credit include a cross-default provision where certain events of default under other of SecurityNational Mortgage’s obligations constitute events of default under the warehouse lines of credit. As of September 30, 2025, SecurityNational Mortgage was not in compliance with the adjusted tangible net worth covenant of Western Alliance Bank’s warehouse line of credit. SecurityNational Mortgage is in the process of receiving waivers. In the unlikely event the Company is required to repay the outstanding advances of approximately $7,412,571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revolving line of credit agreements contain debt covenants requiring the Company to maintain minimum operating cash flow ratios and minimum net worth requirements for each of its business segments. The Company is also subject to debt covenants under one of its real estate loans which require maintenance of a minimum consolidated operating cash flow ratio, minimum liquidity amounts, and minimum consolidated net worth value. In addition to these financial debt covenants, the Company is required to provide segment specific financial statements and building specific financial statements under the agreements for each of its bank loans. As of September 30, 2025, the Company was in compliance with all of those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74" w:gutter="0" w:footer="0" w:header="0"/>
        </w:sectPr>
      </w:pPr>
    </w:p>
    <w:bookmarkStart w:id="58" w:name="page59"/>
    <w:bookmarkEnd w:id="5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condensed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2,939,878</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3,461,146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90,370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2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(413,532)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(611,638)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200" w:type="dxa"/>
            <w:vAlign w:val="bottom"/>
          </w:tcPr>
          <w:p>
            <w:pPr>
              <w:spacing w:after="0"/>
              <w:rPr>
                <w:sz w:val="21"/>
                <w:szCs w:val="21"/>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200" w:type="dxa"/>
            <w:vAlign w:val="bottom"/>
          </w:tcPr>
          <w:p>
            <w:pPr>
              <w:spacing w:after="0"/>
              <w:rPr>
                <w:sz w:val="21"/>
                <w:szCs w:val="21"/>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2,616,372</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2,939,878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4,035,635</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4,552,316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September 30, 2025,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45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253,744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230,321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205,263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183,829</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1,464,174</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2,616,372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24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736,137</w:t>
            </w:r>
          </w:p>
        </w:tc>
        <w:tc>
          <w:tcPr>
            <w:tcW w:w="80" w:type="dxa"/>
            <w:vAlign w:val="bottom"/>
            <w:shd w:val="clear" w:color="auto" w:fill="CCEEFF"/>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16,603</w:t>
            </w:r>
          </w:p>
        </w:tc>
        <w:tc>
          <w:tcPr>
            <w:tcW w:w="4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17,349</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48,451</w:t>
            </w:r>
          </w:p>
        </w:tc>
        <w:tc>
          <w:tcPr>
            <w:tcW w:w="4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56,637</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60" w:type="dxa"/>
            <w:vAlign w:val="bottom"/>
            <w:tcBorders>
              <w:bottom w:val="single" w:sz="8" w:color="CCEEFF"/>
            </w:tcBorders>
          </w:tcPr>
          <w:p>
            <w:pPr>
              <w:spacing w:after="0"/>
              <w:rPr>
                <w:sz w:val="20"/>
                <w:szCs w:val="20"/>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366,929,184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385,134,774</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Prepayment</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Discount</w:t>
            </w:r>
          </w:p>
        </w:tc>
        <w:tc>
          <w:tcPr>
            <w:tcW w:w="33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Speeds</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Life (Years)</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3380" w:type="dxa"/>
            <w:vAlign w:val="bottom"/>
          </w:tcPr>
          <w:p>
            <w:pPr>
              <w:spacing w:after="0"/>
              <w:rPr>
                <w:sz w:val="20"/>
                <w:szCs w:val="20"/>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7.55</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3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380" w:type="dxa"/>
            <w:vAlign w:val="bottom"/>
          </w:tcPr>
          <w:p>
            <w:pPr>
              <w:spacing w:after="0"/>
              <w:rPr>
                <w:sz w:val="20"/>
                <w:szCs w:val="20"/>
                <w:color w:val="auto"/>
              </w:rPr>
            </w:pPr>
          </w:p>
        </w:tc>
      </w:tr>
      <w:tr>
        <w:trPr>
          <w:trHeight w:val="41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392" w:lineRule="exact"/>
        <w:rPr>
          <w:sz w:val="20"/>
          <w:szCs w:val="20"/>
          <w:color w:val="auto"/>
        </w:rPr>
      </w:pPr>
    </w:p>
    <w:p>
      <w:pPr>
        <w:ind w:left="300" w:hanging="292"/>
        <w:spacing w:after="0"/>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September 30, 2025 and 2024 was 23.0% and 22.2%, respectively, which resulted in a provision for income taxes of $2,337,926 and $3,383,238, respectively, and for the nine month periods ended September 30, 2025 and 2024 was 22.4% and 22.3%, respectively, which resulted in a provision for income taxes of $5,400,792 and $7,646,071, respectively. The Company’s effective tax rate is higher than the U.S. federal statutory rate of 21% due to, among other factors, state taxes as offset by certain state income tax benefits, along with certain permanent tax adjustments such as meals and entertainment and stock-based compensation. The increase in the effective tax rate when compared to the prior year was primarily due to certain permanent tax adjustments that, as a ratio of lower pre-tax book income, are higher than when compared to the prior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The Company continues to evaluate the impact the new legislation will have on its estimated annual effective tax rate and cash tax position; however, the Company does not expect a material impact to its estimated effective tax rate in 2025.</w:t>
      </w:r>
    </w:p>
    <w:p>
      <w:pPr>
        <w:spacing w:after="0" w:line="180" w:lineRule="exact"/>
        <w:rPr>
          <w:sz w:val="20"/>
          <w:szCs w:val="20"/>
          <w:color w:val="auto"/>
        </w:rPr>
      </w:pPr>
    </w:p>
    <w:p>
      <w:pPr>
        <w:ind w:left="300" w:hanging="292"/>
        <w:spacing w:after="0"/>
        <w:tabs>
          <w:tab w:leader="none" w:pos="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types of future obligations are as follows: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are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the contract and revenue remains deferred.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manufacturers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markers and bases. When specialty merchandise is ordered, it can take time to manufacture and deliver the product. Revenue is deferred until the at-need merchandise is received.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payment does not constitute fulfillment of the contract. Goods or services are deferred until such a time the service is performed, or merchandise is received.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Contract</w:t>
            </w:r>
          </w:p>
        </w:tc>
        <w:tc>
          <w:tcPr>
            <w:tcW w:w="80" w:type="dxa"/>
            <w:vAlign w:val="bottom"/>
          </w:tcPr>
          <w:p>
            <w:pPr>
              <w:spacing w:after="0"/>
              <w:rPr>
                <w:sz w:val="16"/>
                <w:szCs w:val="16"/>
                <w:color w:val="auto"/>
              </w:rPr>
            </w:pPr>
          </w:p>
        </w:tc>
      </w:t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Liability</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(September 30, 2025)</w:t>
            </w:r>
          </w:p>
        </w:tc>
        <w:tc>
          <w:tcPr>
            <w:tcW w:w="120" w:type="dxa"/>
            <w:vAlign w:val="bottom"/>
          </w:tcPr>
          <w:p>
            <w:pPr>
              <w:spacing w:after="0"/>
              <w:rPr>
                <w:sz w:val="19"/>
                <w:szCs w:val="19"/>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6,797,943</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22,234,892</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(297,646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Contract</w:t>
            </w:r>
          </w:p>
        </w:tc>
        <w:tc>
          <w:tcPr>
            <w:tcW w:w="80" w:type="dxa"/>
            <w:vAlign w:val="bottom"/>
          </w:tcPr>
          <w:p>
            <w:pPr>
              <w:spacing w:after="0"/>
              <w:rPr>
                <w:sz w:val="16"/>
                <w:szCs w:val="16"/>
                <w:color w:val="auto"/>
              </w:rPr>
            </w:pPr>
          </w:p>
        </w:tc>
      </w:t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Liability</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2024)</w:t>
            </w:r>
          </w:p>
        </w:tc>
        <w:tc>
          <w:tcPr>
            <w:tcW w:w="120" w:type="dxa"/>
            <w:vAlign w:val="bottom"/>
          </w:tcPr>
          <w:p>
            <w:pPr>
              <w:spacing w:after="0"/>
              <w:rPr>
                <w:sz w:val="19"/>
                <w:szCs w:val="19"/>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7,095,589</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20,168,405</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three-month periods ended September 30, 2025, and 2024 was $1,326,702 and $1,320,688, respectively, and for the nine-month periods ended September 30, 2025, and 2024 was $3,650,091 and $4,256,184,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32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420" w:type="dxa"/>
            <w:vAlign w:val="bottom"/>
            <w:tcBorders>
              <w:top w:val="single" w:sz="8" w:color="CCEEFF"/>
            </w:tcBorders>
            <w:gridSpan w:val="2"/>
          </w:tcPr>
          <w:p>
            <w:pPr>
              <w:spacing w:after="0"/>
              <w:rPr>
                <w:sz w:val="18"/>
                <w:szCs w:val="18"/>
                <w:color w:val="auto"/>
              </w:rPr>
            </w:pPr>
          </w:p>
        </w:tc>
        <w:tc>
          <w:tcPr>
            <w:tcW w:w="860" w:type="dxa"/>
            <w:vAlign w:val="bottom"/>
            <w:tcBorders>
              <w:top w:val="single" w:sz="8" w:color="CCEEFF"/>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5,441,670</w:t>
            </w:r>
          </w:p>
        </w:tc>
        <w:tc>
          <w:tcPr>
            <w:tcW w:w="44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5,024,330</w:t>
            </w:r>
          </w:p>
        </w:tc>
        <w:tc>
          <w:tcPr>
            <w:tcW w:w="440" w:type="dxa"/>
            <w:vAlign w:val="bottom"/>
            <w:tcBorders>
              <w:top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16,241,736</w:t>
            </w:r>
          </w:p>
        </w:tc>
        <w:tc>
          <w:tcPr>
            <w:tcW w:w="560" w:type="dxa"/>
            <w:vAlign w:val="bottom"/>
            <w:tcBorders>
              <w:top w:val="single" w:sz="8" w:color="CCEEFF"/>
            </w:tcBorders>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15,299,010</w:t>
            </w:r>
          </w:p>
        </w:tc>
        <w:tc>
          <w:tcPr>
            <w:tcW w:w="1140" w:type="dxa"/>
            <w:vAlign w:val="bottom"/>
          </w:tcPr>
          <w:p>
            <w:pPr>
              <w:spacing w:after="0"/>
              <w:rPr>
                <w:sz w:val="18"/>
                <w:szCs w:val="18"/>
                <w:color w:val="auto"/>
              </w:rPr>
            </w:pPr>
          </w:p>
        </w:tc>
      </w:tr>
      <w:tr>
        <w:trPr>
          <w:trHeight w:val="230"/>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1,699,272</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1,790,001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5,457,144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6,232,759</w:t>
            </w:r>
          </w:p>
        </w:tc>
        <w:tc>
          <w:tcPr>
            <w:tcW w:w="1140" w:type="dxa"/>
            <w:vAlign w:val="bottom"/>
          </w:tcPr>
          <w:p>
            <w:pPr>
              <w:spacing w:after="0"/>
              <w:rPr>
                <w:sz w:val="19"/>
                <w:szCs w:val="19"/>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7,140,942</w:t>
            </w:r>
          </w:p>
        </w:tc>
        <w:tc>
          <w:tcPr>
            <w:tcW w:w="3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6,814,331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21,698,880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21,531,769</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8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4,384,201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4,064,864</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13,381,830</w:t>
            </w:r>
          </w:p>
        </w:tc>
        <w:tc>
          <w:tcPr>
            <w:tcW w:w="56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13,287,515</w:t>
            </w:r>
          </w:p>
        </w:tc>
        <w:tc>
          <w:tcPr>
            <w:tcW w:w="1140" w:type="dxa"/>
            <w:vAlign w:val="bottom"/>
          </w:tcPr>
          <w:p>
            <w:pPr>
              <w:spacing w:after="0"/>
              <w:rPr>
                <w:sz w:val="18"/>
                <w:szCs w:val="18"/>
                <w:color w:val="auto"/>
              </w:rPr>
            </w:pP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2,756,741</w:t>
            </w:r>
          </w:p>
        </w:tc>
        <w:tc>
          <w:tcPr>
            <w:tcW w:w="4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2,749,467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8,317,050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8,244,254</w:t>
            </w:r>
          </w:p>
        </w:tc>
        <w:tc>
          <w:tcPr>
            <w:tcW w:w="1140" w:type="dxa"/>
            <w:vAlign w:val="bottom"/>
          </w:tcPr>
          <w:p>
            <w:pPr>
              <w:spacing w:after="0"/>
              <w:rPr>
                <w:sz w:val="19"/>
                <w:szCs w:val="19"/>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7,140,942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21,698,880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21,531,769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2" w:name="page63"/>
    <w:bookmarkEnd w:id="62"/>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Receivables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4,180,222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4,028,881</w:t>
            </w:r>
          </w:p>
        </w:tc>
        <w:tc>
          <w:tcPr>
            <w:tcW w:w="40" w:type="dxa"/>
            <w:vAlign w:val="bottom"/>
          </w:tcPr>
          <w:p>
            <w:pPr>
              <w:spacing w:after="0"/>
              <w:rPr>
                <w:sz w:val="18"/>
                <w:szCs w:val="18"/>
                <w:color w:val="auto"/>
              </w:rPr>
            </w:pPr>
          </w:p>
        </w:tc>
      </w:tr>
      <w:tr>
        <w:trPr>
          <w:trHeight w:val="229"/>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5,662,632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6,412,804</w:t>
            </w:r>
          </w:p>
        </w:tc>
        <w:tc>
          <w:tcPr>
            <w:tcW w:w="40" w:type="dxa"/>
            <w:vAlign w:val="bottom"/>
            <w:shd w:val="clear" w:color="auto" w:fill="CCEEFF"/>
          </w:tcPr>
          <w:p>
            <w:pPr>
              <w:spacing w:after="0"/>
              <w:rPr>
                <w:sz w:val="19"/>
                <w:szCs w:val="19"/>
                <w:color w:val="auto"/>
              </w:rPr>
            </w:pPr>
          </w:p>
        </w:tc>
      </w:tr>
      <w:tr>
        <w:trPr>
          <w:trHeight w:val="210"/>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16,640,797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17,537,274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(1,542,731)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r>
      <w:tr>
        <w:trPr>
          <w:trHeight w:val="223"/>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15,098,066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Three Months</w:t>
            </w:r>
          </w:p>
        </w:tc>
      </w:tr>
      <w:tr>
        <w:trPr>
          <w:trHeight w:val="234"/>
        </w:trPr>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0"/>
        </w:trPr>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2025</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84,603</w:t>
            </w:r>
          </w:p>
        </w:tc>
      </w:tr>
      <w:tr>
        <w:trPr>
          <w:trHeight w:val="230"/>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(32,915)</w:t>
            </w:r>
          </w:p>
        </w:tc>
      </w:tr>
      <w:tr>
        <w:trPr>
          <w:trHeight w:val="263"/>
        </w:trPr>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1,542,731</w:t>
            </w:r>
          </w:p>
        </w:tc>
        <w:tc>
          <w:tcPr>
            <w:tcW w:w="80" w:type="dxa"/>
            <w:vAlign w:val="bottom"/>
            <w:tcBorders>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 - June 30, 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1,770,911</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(167,300)</w:t>
            </w: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(37,461)</w:t>
            </w:r>
          </w:p>
        </w:tc>
      </w:tr>
      <w:tr>
        <w:trPr>
          <w:trHeight w:val="223"/>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Included in other expenses on the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9"/>
        </w:trPr>
        <w:tc>
          <w:tcPr>
            <w:tcW w:w="28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Nine Months</w:t>
            </w:r>
          </w:p>
        </w:tc>
      </w:tr>
      <w:tr>
        <w:trPr>
          <w:trHeight w:val="234"/>
        </w:trPr>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0"/>
        </w:trPr>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153,034</w:t>
            </w:r>
          </w:p>
        </w:tc>
      </w:tr>
      <w:tr>
        <w:trPr>
          <w:trHeight w:val="230"/>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(288,834)</w:t>
            </w:r>
          </w:p>
        </w:tc>
      </w:tr>
      <w:tr>
        <w:trPr>
          <w:trHeight w:val="263"/>
        </w:trPr>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 September 30, 2025</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1,542,731</w:t>
            </w:r>
          </w:p>
        </w:tc>
        <w:tc>
          <w:tcPr>
            <w:tcW w:w="80" w:type="dxa"/>
            <w:vAlign w:val="bottom"/>
            <w:tcBorders>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1,897,887</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(254,306)</w:t>
            </w: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(77,431)</w:t>
            </w:r>
          </w:p>
        </w:tc>
      </w:tr>
      <w:tr>
        <w:trPr>
          <w:trHeight w:val="223"/>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condensed consolidated statements of earnings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63" w:name="page64"/>
    <w:bookmarkEnd w:id="6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September 30,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150,482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152,288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122,043</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4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272,525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271,285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4,439,406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1,579,249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(135,365)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5,883,290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4,439,406</w:t>
            </w:r>
          </w:p>
        </w:tc>
        <w:tc>
          <w:tcPr>
            <w:tcW w:w="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1,579,249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(135,365</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5,883,290</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5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1,675,307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(3,351)</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1,168,269</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686,777</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4,101</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9,685,678</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(5,838,879)</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3,846,799</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2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651,428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649,418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125,194</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4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776,622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769,662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3,874,522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1,271,529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(226,007)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4,920,044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202,600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1,939,269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1,002,396</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2,937</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8,836,503</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(5,642,693)</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3,193,810</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5" w:name="page66"/>
    <w:bookmarkEnd w:id="6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4100" w:firstLine="8"/>
        <w:spacing w:after="0" w:line="500" w:lineRule="auto"/>
        <w:tabs>
          <w:tab w:leader="none" w:pos="2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2025, and December 31, 2024.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for Less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for More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than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Twelve</w:t>
            </w:r>
          </w:p>
        </w:tc>
        <w:tc>
          <w:tcPr>
            <w:tcW w:w="100" w:type="dxa"/>
            <w:vAlign w:val="bottom"/>
          </w:tcPr>
          <w:p>
            <w:pPr>
              <w:spacing w:after="0"/>
              <w:rPr>
                <w:sz w:val="18"/>
                <w:szCs w:val="18"/>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Months</w:t>
            </w:r>
          </w:p>
        </w:tc>
        <w:tc>
          <w:tcPr>
            <w:tcW w:w="100" w:type="dxa"/>
            <w:vAlign w:val="bottom"/>
          </w:tcPr>
          <w:p>
            <w:pPr>
              <w:spacing w:after="0"/>
              <w:rPr>
                <w:sz w:val="20"/>
                <w:szCs w:val="20"/>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0"/>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2025</w:t>
            </w:r>
          </w:p>
        </w:tc>
        <w:tc>
          <w:tcPr>
            <w:tcW w:w="2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29"/>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118,998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118,998</w:t>
            </w:r>
          </w:p>
        </w:tc>
        <w:tc>
          <w:tcPr>
            <w:tcW w:w="60" w:type="dxa"/>
            <w:vAlign w:val="bottom"/>
          </w:tcPr>
          <w:p>
            <w:pPr>
              <w:spacing w:after="0"/>
              <w:rPr>
                <w:sz w:val="19"/>
                <w:szCs w:val="19"/>
                <w:color w:val="auto"/>
              </w:rPr>
            </w:pPr>
          </w:p>
        </w:tc>
      </w:tr>
      <w:tr>
        <w:trPr>
          <w:trHeight w:val="223"/>
        </w:trPr>
        <w:tc>
          <w:tcPr>
            <w:tcW w:w="3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118,998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118,998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3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649,419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$649,419</w:t>
            </w:r>
          </w:p>
        </w:tc>
        <w:tc>
          <w:tcPr>
            <w:tcW w:w="60" w:type="dxa"/>
            <w:vAlign w:val="bottom"/>
          </w:tcPr>
          <w:p>
            <w:pPr>
              <w:spacing w:after="0"/>
              <w:rPr>
                <w:sz w:val="20"/>
                <w:szCs w:val="20"/>
                <w:color w:val="auto"/>
              </w:rPr>
            </w:pPr>
          </w:p>
        </w:tc>
      </w:tr>
      <w:tr>
        <w:trPr>
          <w:trHeight w:val="229"/>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120,243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4,950</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120,243</w:t>
            </w:r>
          </w:p>
        </w:tc>
        <w:tc>
          <w:tcPr>
            <w:tcW w:w="60" w:type="dxa"/>
            <w:vAlign w:val="bottom"/>
            <w:shd w:val="clear" w:color="auto" w:fill="CCEEFF"/>
          </w:tcPr>
          <w:p>
            <w:pPr>
              <w:spacing w:after="0"/>
              <w:rPr>
                <w:sz w:val="19"/>
                <w:szCs w:val="19"/>
                <w:color w:val="auto"/>
              </w:rPr>
            </w:pPr>
          </w:p>
        </w:tc>
      </w:tr>
      <w:tr>
        <w:trPr>
          <w:trHeight w:val="223"/>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769,662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769,662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97.5% of the aggregate amortized cost as of September 30, 2025. Relevant holdings were comprised of four securities with fair values aggregating 99.1% of aggregate amortized cost as of December 31, 2024. No credit losses have been recognized for the three- and nine-month periods ended September 30, 2025, and 2024, since the unrealized losses are primarily the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September 30,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220,652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220,389</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51,873</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50,896</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272,525</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271,285</w:t>
            </w: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-1019810</wp:posOffset>
            </wp:positionV>
            <wp:extent cx="498919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-736600</wp:posOffset>
            </wp:positionV>
            <wp:extent cx="498919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-453390</wp:posOffset>
            </wp:positionV>
            <wp:extent cx="4989195"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60" w:space="720"/>
            <w:col w:w="6360"/>
          </w:cols>
          <w:pgMar w:left="320" w:top="688" w:right="339" w:bottom="1440" w:gutter="0" w:footer="0" w:header="0"/>
          <w:type w:val="continuous"/>
        </w:sectPr>
      </w:pPr>
    </w:p>
    <w:bookmarkStart w:id="66" w:name="page67"/>
    <w:bookmarkEnd w:id="6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September 30,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14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4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20"/>
                <w:szCs w:val="20"/>
                <w:color w:val="auto"/>
              </w:rPr>
            </w:pPr>
          </w:p>
        </w:tc>
        <w:tc>
          <w:tcPr>
            <w:tcW w:w="14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1,625,998</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1,630,145</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330,955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328,917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52,030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51,014</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2,008,983</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2,010,076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10,790,554</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2,553,913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(337,799)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13,006,668</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10,790,554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2,553,913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1,178,890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1,176,532</w:t>
            </w:r>
          </w:p>
        </w:tc>
        <w:tc>
          <w:tcPr>
            <w:tcW w:w="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1,912,436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13,556,435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31,673,039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860" w:hanging="5532"/>
        <w:spacing w:after="0" w:line="532" w:lineRule="auto"/>
        <w:tabs>
          <w:tab w:leader="none" w:pos="3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$12,375,579 for the life insurance and mortgage segments.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4100" w:firstLine="8"/>
        <w:spacing w:after="0" w:line="500" w:lineRule="auto"/>
        <w:tabs>
          <w:tab w:leader="none" w:pos="2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Restricted assets as of December 31, 2024,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Gross 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54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8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1,741,029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1,741,774</w:t>
            </w: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467,174</w:t>
            </w:r>
          </w:p>
        </w:tc>
      </w:tr>
      <w:tr>
        <w:trPr>
          <w:trHeight w:val="22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144,616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142,421</w:t>
            </w:r>
          </w:p>
        </w:tc>
      </w:tr>
      <w:tr>
        <w:trPr>
          <w:trHeight w:val="263"/>
        </w:trPr>
        <w:tc>
          <w:tcPr>
            <w:tcW w:w="4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2,356,862</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8,547,709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1,914,309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(489,852)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9,972,166</w:t>
            </w: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1,939,269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8,553,803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23,806,836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940" w:hanging="5532"/>
        <w:spacing w:after="0" w:line="532" w:lineRule="auto"/>
        <w:tabs>
          <w:tab w:leader="none" w:pos="33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$7,657,958 for the life insurance and mortgage segments.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right="4100" w:firstLine="8"/>
        <w:spacing w:after="0" w:line="500" w:lineRule="auto"/>
        <w:tabs>
          <w:tab w:leader="none" w:pos="2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2025, and December 31, 2024.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September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Losses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for Less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 More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than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than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Twelve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Months</w:t>
            </w:r>
          </w:p>
        </w:tc>
        <w:tc>
          <w:tcPr>
            <w:tcW w:w="300" w:type="dxa"/>
            <w:vAlign w:val="bottom"/>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Value</w:t>
            </w:r>
          </w:p>
        </w:tc>
      </w:tr>
      <w:tr>
        <w:trPr>
          <w:trHeight w:val="421"/>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$100,305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$103,492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203,797</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100,305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154,506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-607695</wp:posOffset>
            </wp:positionV>
            <wp:extent cx="641223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-325120</wp:posOffset>
            </wp:positionV>
            <wp:extent cx="641223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660"/>
            <w:col w:w="72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5"/>
        </w:trPr>
        <w:tc>
          <w:tcPr>
            <w:tcW w:w="3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3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$558,707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558,707</w:t>
            </w:r>
          </w:p>
        </w:tc>
        <w:tc>
          <w:tcPr>
            <w:tcW w:w="60" w:type="dxa"/>
            <w:vAlign w:val="bottom"/>
            <w:shd w:val="clear" w:color="auto" w:fill="CCEEFF"/>
          </w:tcPr>
          <w:p>
            <w:pPr>
              <w:spacing w:after="0"/>
              <w:rPr>
                <w:sz w:val="20"/>
                <w:szCs w:val="20"/>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237,636</w:t>
            </w:r>
          </w:p>
        </w:tc>
        <w:tc>
          <w:tcPr>
            <w:tcW w:w="2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129,358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366,994</w:t>
            </w:r>
          </w:p>
        </w:tc>
        <w:tc>
          <w:tcPr>
            <w:tcW w:w="60" w:type="dxa"/>
            <w:vAlign w:val="bottom"/>
          </w:tcPr>
          <w:p>
            <w:pPr>
              <w:spacing w:after="0"/>
              <w:rPr>
                <w:sz w:val="18"/>
                <w:szCs w:val="18"/>
                <w:color w:val="auto"/>
              </w:rPr>
            </w:pPr>
          </w:p>
        </w:tc>
      </w:tr>
      <w:tr>
        <w:trPr>
          <w:trHeight w:val="22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1,316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51,685</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117,389</w:t>
            </w:r>
          </w:p>
        </w:tc>
        <w:tc>
          <w:tcPr>
            <w:tcW w:w="60" w:type="dxa"/>
            <w:vAlign w:val="bottom"/>
            <w:shd w:val="clear" w:color="auto" w:fill="CCEEFF"/>
          </w:tcPr>
          <w:p>
            <w:pPr>
              <w:spacing w:after="0"/>
              <w:rPr>
                <w:sz w:val="19"/>
                <w:szCs w:val="19"/>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3"/>
              </w:rPr>
              <w:t>4,831</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848,028</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195,062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1,043,090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four securities with fair values aggregating 98.8% of the aggregate amortized cost as of September 30, 2025. Relevant holdings were comprised of 15 securities with fair values aggregating 99.2% of the aggregate amortized cost as of December 31, 2024. No credit losses have been recognized for the three- and nine-month periods ended September 30, 2025, and 2024, since the unrealized losses are primarily the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September 30,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810,104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810,295</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941,887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945,094</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100,181</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154,506</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2,008,983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2,010,076</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-745490</wp:posOffset>
            </wp:positionV>
            <wp:extent cx="498919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-462280</wp:posOffset>
            </wp:positionV>
            <wp:extent cx="498919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9" w:name="page70"/>
    <w:bookmarkEnd w:id="69"/>
    <w:p>
      <w:pPr>
        <w:jc w:val="center"/>
        <w:ind w:left="1460" w:right="156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2025 (Unaudited)</w:t>
      </w:r>
    </w:p>
    <w:p>
      <w:pPr>
        <w:spacing w:after="0" w:line="176" w:lineRule="exact"/>
        <w:rPr>
          <w:sz w:val="20"/>
          <w:szCs w:val="20"/>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on fixed maturity securities</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6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3,546,952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10,595,637</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9,978,130</w:t>
            </w:r>
          </w:p>
        </w:tc>
        <w:tc>
          <w:tcPr>
            <w:tcW w:w="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8,809,823</w:t>
            </w:r>
          </w:p>
        </w:tc>
        <w:tc>
          <w:tcPr>
            <w:tcW w:w="60" w:type="dxa"/>
            <w:vAlign w:val="bottom"/>
            <w:shd w:val="clear" w:color="auto" w:fill="CCEEFF"/>
          </w:tcPr>
          <w:p>
            <w:pPr>
              <w:spacing w:after="0"/>
              <w:rPr>
                <w:sz w:val="20"/>
                <w:szCs w:val="20"/>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(193,672)</w:t>
            </w:r>
          </w:p>
        </w:tc>
        <w:tc>
          <w:tcPr>
            <w:tcW w:w="4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(142,876)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(148,472)</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before taxes</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3,353,280</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10,443,490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9,835,254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8,661,351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(704,684)</w:t>
            </w:r>
          </w:p>
        </w:tc>
        <w:tc>
          <w:tcPr>
            <w:tcW w:w="4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(2,198,474)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(2,066,384)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(1,824,502)</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2,648,596</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8,245,016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7,768,870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6,836,849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restricted assets (1)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(1,773)</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r>
      <w:tr>
        <w:trPr>
          <w:trHeight w:val="209"/>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178"/>
        </w:trPr>
        <w:tc>
          <w:tcPr>
            <w:tcW w:w="3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on cemetery perpetual care</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4,056</w:t>
            </w:r>
          </w:p>
        </w:tc>
        <w:tc>
          <w:tcPr>
            <w:tcW w:w="4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5,720</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2,438</w:t>
            </w:r>
          </w:p>
        </w:tc>
        <w:tc>
          <w:tcPr>
            <w:tcW w:w="60" w:type="dxa"/>
            <w:vAlign w:val="bottom"/>
            <w:shd w:val="clear" w:color="auto" w:fill="CCEEFF"/>
          </w:tcPr>
          <w:p>
            <w:pPr>
              <w:spacing w:after="0"/>
              <w:rPr>
                <w:sz w:val="20"/>
                <w:szCs w:val="20"/>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changes</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2,656,987</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8,255,240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7,778,110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September 30, 2025:</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jc w:val="both"/>
        <w:ind w:right="104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60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8"/>
              </w:rPr>
              <w:t>Beginning</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16"/>
        </w:trPr>
        <w:tc>
          <w:tcPr>
            <w:tcW w:w="240" w:type="dxa"/>
            <w:vAlign w:val="bottom"/>
          </w:tcPr>
          <w:p>
            <w:pPr>
              <w:spacing w:after="0"/>
              <w:rPr>
                <w:sz w:val="18"/>
                <w:szCs w:val="18"/>
                <w:color w:val="auto"/>
              </w:rPr>
            </w:pPr>
          </w:p>
        </w:tc>
        <w:tc>
          <w:tcPr>
            <w:tcW w:w="160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Change for the</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period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r>
      <w:tr>
        <w:trPr>
          <w:trHeight w:val="39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(6,941,915)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7,768,870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826,955</w:t>
            </w:r>
          </w:p>
        </w:tc>
        <w:tc>
          <w:tcPr>
            <w:tcW w:w="6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tcPr>
          <w:p>
            <w:pPr>
              <w:spacing w:after="0"/>
              <w:rPr>
                <w:sz w:val="20"/>
                <w:szCs w:val="20"/>
                <w:color w:val="auto"/>
              </w:rPr>
            </w:pPr>
          </w:p>
        </w:tc>
      </w:tr>
      <w:tr>
        <w:trPr>
          <w:trHeight w:val="445"/>
        </w:trPr>
        <w:tc>
          <w:tcPr>
            <w:tcW w:w="240" w:type="dxa"/>
            <w:vAlign w:val="bottom"/>
          </w:tcPr>
          <w:p>
            <w:pPr>
              <w:spacing w:after="0"/>
              <w:rPr>
                <w:sz w:val="24"/>
                <w:szCs w:val="24"/>
                <w:color w:val="auto"/>
              </w:rPr>
            </w:pPr>
          </w:p>
        </w:tc>
        <w:tc>
          <w:tcPr>
            <w:tcW w:w="16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(5,225)</w:t>
            </w:r>
          </w:p>
        </w:tc>
        <w:tc>
          <w:tcPr>
            <w:tcW w:w="16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(6,951,266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7,778,110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826,844</w:t>
            </w:r>
          </w:p>
        </w:tc>
        <w:tc>
          <w:tcPr>
            <w:tcW w:w="6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-873760</wp:posOffset>
            </wp:positionV>
            <wp:extent cx="641223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-462280</wp:posOffset>
            </wp:positionV>
            <wp:extent cx="6412230" cy="282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28257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4520" w:space="340"/>
            <w:col w:w="5279"/>
          </w:cols>
          <w:pgMar w:left="320" w:top="688"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accumulated balances of other comprehensive income (loss) as of December 31, 2024:</w:t>
      </w:r>
    </w:p>
    <w:p>
      <w:pPr>
        <w:sectPr>
          <w:pgSz w:w="11900" w:h="16838" w:orient="portrait"/>
          <w:cols w:equalWidth="0" w:num="1">
            <w:col w:w="10139"/>
          </w:cols>
          <w:pgMar w:left="320" w:top="6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cemetery perpetual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 trust investments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1840" w:type="dxa"/>
            <w:vAlign w:val="bottom"/>
            <w:gridSpan w:val="3"/>
          </w:tcPr>
          <w:p>
            <w:pPr>
              <w:jc w:val="center"/>
              <w:ind w:right="221"/>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spacing w:after="0"/>
              <w:rPr>
                <w:sz w:val="18"/>
                <w:szCs w:val="18"/>
                <w:color w:val="auto"/>
              </w:rPr>
            </w:pPr>
          </w:p>
        </w:tc>
        <w:tc>
          <w:tcPr>
            <w:tcW w:w="16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Change for the</w:t>
            </w:r>
          </w:p>
        </w:tc>
        <w:tc>
          <w:tcPr>
            <w:tcW w:w="120" w:type="dxa"/>
            <w:vAlign w:val="bottom"/>
          </w:tcPr>
          <w:p>
            <w:pPr>
              <w:spacing w:after="0"/>
              <w:rPr>
                <w:sz w:val="18"/>
                <w:szCs w:val="18"/>
                <w:color w:val="auto"/>
              </w:rPr>
            </w:pPr>
          </w:p>
        </w:tc>
        <w:tc>
          <w:tcPr>
            <w:tcW w:w="144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period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(6,876,629)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(65,286)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(6,941,915)</w:t>
            </w:r>
          </w:p>
        </w:tc>
      </w:tr>
      <w:tr>
        <w:trPr>
          <w:trHeight w:val="234"/>
        </w:trPr>
        <w:tc>
          <w:tcPr>
            <w:tcW w:w="380" w:type="dxa"/>
            <w:vAlign w:val="bottom"/>
          </w:tcPr>
          <w:p>
            <w:pPr>
              <w:spacing w:after="0"/>
              <w:rPr>
                <w:sz w:val="20"/>
                <w:szCs w:val="20"/>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(4,757)</w:t>
            </w:r>
          </w:p>
        </w:tc>
        <w:tc>
          <w:tcPr>
            <w:tcW w:w="160" w:type="dxa"/>
            <w:vAlign w:val="bottom"/>
          </w:tcPr>
          <w:p>
            <w:pPr>
              <w:spacing w:after="0"/>
              <w:rPr>
                <w:sz w:val="20"/>
                <w:szCs w:val="20"/>
                <w:color w:val="auto"/>
              </w:rPr>
            </w:pPr>
          </w:p>
        </w:tc>
        <w:tc>
          <w:tcPr>
            <w:tcW w:w="16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445"/>
        </w:trPr>
        <w:tc>
          <w:tcPr>
            <w:tcW w:w="380" w:type="dxa"/>
            <w:vAlign w:val="bottom"/>
          </w:tcPr>
          <w:p>
            <w:pPr>
              <w:spacing w:after="0"/>
              <w:rPr>
                <w:sz w:val="24"/>
                <w:szCs w:val="24"/>
                <w:color w:val="auto"/>
              </w:rPr>
            </w:pPr>
          </w:p>
        </w:tc>
        <w:tc>
          <w:tcPr>
            <w:tcW w:w="14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24"/>
                <w:szCs w:val="24"/>
                <w:color w:val="auto"/>
              </w:rPr>
            </w:pPr>
          </w:p>
        </w:tc>
        <w:tc>
          <w:tcPr>
            <w:tcW w:w="16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23"/>
        </w:trPr>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(6,951,266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1"/>
        </w:trPr>
        <w:tc>
          <w:tcPr>
            <w:tcW w:w="380" w:type="dxa"/>
            <w:vAlign w:val="bottom"/>
          </w:tcPr>
          <w:p>
            <w:pPr>
              <w:spacing w:after="0"/>
              <w:rPr>
                <w:sz w:val="24"/>
                <w:szCs w:val="24"/>
                <w:color w:val="auto"/>
              </w:rPr>
            </w:pPr>
          </w:p>
        </w:tc>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68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-1439545</wp:posOffset>
            </wp:positionV>
            <wp:extent cx="641223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-1028065</wp:posOffset>
            </wp:positionV>
            <wp:extent cx="6412230" cy="282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28257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40" w:space="720"/>
            <w:col w:w="5279"/>
          </w:cols>
          <w:pgMar w:left="320" w:top="688"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and nine-month periods ended September 30,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18"/>
                <w:szCs w:val="18"/>
                <w:color w:val="auto"/>
              </w:rPr>
            </w:pPr>
          </w:p>
        </w:tc>
        <w:tc>
          <w:tcPr>
            <w:tcW w:w="328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Increase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29,881</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30,011</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89,824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17,106</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52,902</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1,317</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2,195</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1,141</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2,066</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5,352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5,508</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9,706</w:t>
            </w:r>
          </w:p>
        </w:tc>
        <w:tc>
          <w:tcPr>
            <w:tcW w:w="28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16,057</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22,035</w:t>
            </w:r>
          </w:p>
        </w:tc>
        <w:tc>
          <w:tcPr>
            <w:tcW w:w="28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nine month period ended September 30, 2025 decreased due to (a) a $5,991,000 increase in selling, general and administrative expenses, primarily attributable to a $3,623,000 increase in personnel expenses due to an annual increase in salaries and key new hires as a part of the Company’s growth strategy, (b) a $4,728,000 increase in amortization of deferred policy acquisition costs, (c) a $2,896,000 increase in death benefits, (d) a $354,000 increase in surrenders and other policy benefits (e) a $159,000 decrease in intersegment revenue, and (f) a $22,000 increase in interest expense, which were partially offset by (i) a $5,008,000 increase in net investment income, (ii) a $1,490,000 decrease in income tax expense, (iii) a $983,000 decrease in future policy benefits, (iv) a $282,000 increase in other revenues, (v) a $228,000 increase in gains on investments and other assets, (vi) a $157,000 decrease in intersegment expenses, and (vii) a $22,000 increase in insurance premiums and other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eleven mortuaries in Utah and four mortuaries in New Mexico. The Company also sells cemetery services, products and land (burial plots) through its five cemeteries in Utah, one cemetery in San Diego County, California, and one cemetery in Santa Fe, New Mexico. At-need mortuary and cemetery product sales and services are recognized as revenue when the services are performed or when the products are delivered. Pre-need mortuary and cemetery product sales and services are deferred until the merchandise is delivered, or services are performed. Revenue for pre-need cemetery land sales is recognized at the time of sale, and land is removed from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nine-month periods ended September 30,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18"/>
                <w:szCs w:val="18"/>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 thousands of dollars)</w:t>
            </w: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Increase</w:t>
            </w:r>
          </w:p>
        </w:tc>
        <w:tc>
          <w:tcPr>
            <w:tcW w:w="220" w:type="dxa"/>
            <w:vAlign w:val="bottom"/>
          </w:tcPr>
          <w:p>
            <w:pPr>
              <w:spacing w:after="0"/>
              <w:rPr>
                <w:sz w:val="16"/>
                <w:szCs w:val="16"/>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3,624</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3,598</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3,216</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1,125</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Interesegment revenues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197"/>
        </w:trPr>
        <w:tc>
          <w:tcPr>
            <w:tcW w:w="3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2,123</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CCEEFF"/>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5,355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5,959</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nine month period ended September 30, 2025 decreased due to (a) a $701,000 increase in selling, general and administrative expenses, primarily attributable to a $555,000 increase in personnel expenses, (b) a $608,000 decrease in net investment income, (c) a $311,000 decrease in gains on investments and other assets, (d) a $240,000 decrease in cemetery pre-need sales, (e) a $108,000 decrease in cemetery at-need sales, and (f) a $1,000 decrease in intersegment revenues, which were partially offset by (i) a $516,000 increase in mortuary at-need sales, (ii) a $331,000 increase in other revenues, (iii) a $303,000 decrease in income tax expense, (iv) a $101,000 decrease in cost of goods and services sold, (v) a $92,000 decrease in amortization of deferred policy acquisition costs, and (vi) a $22,000 decrease in intersegment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0.43%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rates have followed the US Treasury yields in response to inflation and slowing new home sales. As expected, the lack of mortgage rate reductions has resulted in a decrease in loan originations classified as ‘refinance.’ Higher than anticipated mortgage rates have also had a negative effect on loan originations classified as ‘purchases’ although not as significant as those in the refinance classification.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nine-month periods ended September 30, 2025, and 2024, SecurityNational Mortgage originated 5,216 loans ($1,756,289,000 total volume) and 5,505 loans ($1,723,036,000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nine-month periods ended September 30, 2025, and 2024.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18"/>
                <w:szCs w:val="18"/>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8"/>
          </w:tcPr>
          <w:p>
            <w:pPr>
              <w:jc w:val="center"/>
              <w:ind w:right="4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80" w:type="dxa"/>
            <w:vAlign w:val="bottom"/>
          </w:tcPr>
          <w:p>
            <w:pPr>
              <w:spacing w:after="0"/>
              <w:rPr>
                <w:sz w:val="20"/>
                <w:szCs w:val="20"/>
                <w:color w:val="auto"/>
              </w:rPr>
            </w:pPr>
          </w:p>
        </w:tc>
        <w:tc>
          <w:tcPr>
            <w:tcW w:w="3280" w:type="dxa"/>
            <w:vAlign w:val="bottom"/>
            <w:gridSpan w:val="8"/>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 thousands of dollars)</w:t>
            </w:r>
          </w:p>
        </w:tc>
      </w:tr>
      <w:tr>
        <w:trPr>
          <w:trHeight w:val="191"/>
        </w:trPr>
        <w:tc>
          <w:tcPr>
            <w:tcW w:w="3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Increase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Increase</w:t>
            </w: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2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11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(Decrease)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20,378</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17,982</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57,518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51,388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9,462</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25,619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3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loans held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2,960</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loan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Gains (losses) on investments and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1,532</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31,016</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85,089</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84,013</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97"/>
        </w:trPr>
        <w:tc>
          <w:tcPr>
            <w:tcW w:w="3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900</w:t>
            </w:r>
          </w:p>
        </w:tc>
        <w:tc>
          <w:tcPr>
            <w:tcW w:w="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(2,752</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Losses for the nine month period ended September 30, 2025 increased due to (a) a $3,452,000 decrease in the fair value of loans held for sale, (b) a $2,075,000 increase in commissions, (c) a $1,371,000 decrease in other revenues, (d) a $1,197,000 increase in other expenses, (e) a $1,068,000 decrease in income from loan originations, (f) a $443,000 increase in costs related to funding mortgage loans, (g) a $337,000 increase in advertising expenses, (h) a $296,000 increase in interest expense, (i) a $296,000 decrease in net investment income, and (j) a $157,000 decrease in intersegment revenues, which were partially offset by (i) a $6,130,000 increase in secondary gains from investors, (ii) a $1,144,000 increase in gains on investments and other assets, (iii) a $1,132,000 decrease in rent and rent related expenses, (iv) a $452,000 increase in income tax benefit, (v) a $213,000 decrease in personnel expenses, (vi) a $148,000 increase in the fair value of loan commitments, and (vii) a $138,000 decrease in intersegment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2025, Compared to Three-month period ended September 30,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$1,052,000, or 1.2%, to $89,326,000 for the three-month period ended September 30, 2025, from $88,274,000 for the comparable period in 2024. Contributing to this increase in total revenues was a $2,310,000 increase in net investment income, a $624,000 increase in gains on investments and other assets, and a $327,000 increase in net mortuary and cemetery sales, which were partially offset by a $1,085,000 decrease in mortgage fee income, a $994,000 decrease in other revenues, and a $130,000 decrease in insurance premiums and other considerations.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decreased by $1,085,000, or 3.6%, to $29,139,000, for the three-month period ended September 30, 2025, from $30,224,000 for the comparable period in 2024. This decrease was primarily due to a $3,163,000 decrease in the fair value of loans held for sale and a $509,000 decrease in income from loan originations, which were partially offset by a $2,396,000 increase in secondary gains from mortgage loans sold to third-party investors into the secondary market and a $191,000 increase in the fair value of loan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decreased by $130,000, or 0.4%, to $29,881,000 for the three-month period ended September 30, 2025, from $30,011,000 for the comparable period in 2024. This decrease was primarily due to an increase of $557,000 in renewal premiums, which was partially offset by a decrease of $687,000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$2,310,000, or 13.0%, to $20,109,000 for the three-month period ended September 30, 2025, from $17,799,000 for the comparable period in 2024. This increase was primarily attributable to a $3,117,000 increase in mortgage loan interest, a $517,000 increase in fixed maturity securities income, a $39,000 increase in equity securities income, and a $32,000 increase in policy loan interest, which were partially offset by a $953,000 decrease in interest on cash and cash equivalents, a $208,000 decrease in real estate income, a $137,000 increase in investment expenses, a $61,000 decrease in insurance assignment income, and a $36,000 decrease in other investment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$327,000, or 4.8%, to $7,141,000 for the three-month period ended September 30, 2025, from $6,814,000 for the comparable period in 2024. This increase was primarily due to a $301,000 increase in mortuary at-need sales, a $23,000 increase in cemetery at-need sales, and a $3,000 increase in cemetery pre-need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(losses) on investments and other assets increased by $624,000 to $1,972,000 in net gains for the three-month period ended September 30, 2025, from $1,348,000 in net gains for the comparable period in 2024. This increase in gains on investments and other assets was primarily due to a $1,161,000 increase in gains on mortgage loans held for investment and a $561,000 increase in gains on real estate, which were partially offset by a $929,000 decrease in gains on equity securities primarily attributable to decreases in the fair value of these equity securities, a $158,000 decrease in gains on other assets, and a $11,000 decrease in gains on fixed maturity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decreased by $994,000, or 47.8%, to $1,083,000 for the three-month period ended September 30, 2025, from $2,077,000 for the comparable period in 2024. This decrease was primarily due to a decrease of $994,000 in other miscellaneous revenues.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$1,580,000 or 6.8%, to $24,934,000 for the three-month period ended September 30, 2025, from $23,354,000 for the comparable period in 2024. This increase was primarily the result of a $1,612,000 increase in death benefits and a $180,000 increase in surrender and other policy benefits, which were partially offset by a $212,000 decrease in future policy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$3,246,000, or 142.0%, to $5,533,000 for the three-month period ended September 30, 2025, from $2,287,000 for the comparable period in 2024. This increase was primarily due to an increase in the termination rate for deaths, lapses, policies moving to a reduced paid up status, and a shift in product mix.</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$1,286,000, or 2.8%, to $46,525,000 for the three-month period ended September 30, 2025, from $45,239,000 for the comparable period in 2024. This increase was primarily the result of a $1,409,000 increase in other expenses, a $269,000 increase in personnel expenses, a $119,000 increase in costs related to funding mortgage loans, and a $76,000 increase in advertising expense, which were partially offset by a $432,000 decrease in rent and rent related expenses, a $150,000 decrease in commissions, and a $5,000 decrease in depreciation on property and equipment.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$6,000, or 0.6%, to $1,067,000 for the three-month period ended September 30, 2025, from $1,061,000 for the comparable period in 2024. This increase was primarily due to an increase of $26,000 in interest expense on mortgage warehouse lines of credit for loans held for sale, which was partially offset by a decrease of $20,000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 in mortuaries and cemeteries decreased by $4,000, or 0.4%, to $1,113,000 for the three-month period ended September 30, 2025, from $1,117,000 for the comparable period in 2024. This decrease was primarily due to a decrease of $20,000 in pre-need sales, which was partially offset by an increase of $16,000 in at-need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$79,173,000, or 88.6% of total revenues, for the three-month period ended September 30, 2025, as compared to $73,059,000, or 82.8% of total revenues, for the comparable period in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2025, Compared to Nine-month period ended September 30,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$6,354,000, or 2.5%, to $261,607,000 for the nine-month period ended September 30, 2025, from $255,253,000 for the comparable period in 2024. Contributing to this increase in total revenues was a $4,103,000 increase in net investment income, a $1,758,000 increase in mortgage fee income, a $1,061,000 increase in gains on investments and other assets, a $167,000 increase in net mortuary and cemetery sales, and a $22,000 increase in insurance premiums and other considerations, which were partially offset by a $758,000 decrease in other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increased by $1,758,000, or 2.2%, to $83,433,000, for the nine-month period ended September 30, 2025, from $81,675,000 for the comparable period in 2024. This increase was primarily due to a $6,130,000 increase in secondary gains from mortgage loans sold to third-party investors into the secondary market and a $148,000 increase in the fair value of loan commitments, which were partially offset by a $3,452,000 decrease in the fair value of loans held for sale, and a $1,068,000 decrease in income from loan originations.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$22,000, less than a percentage point, to $89,846,000 for the nine-month period ended September 30, 2025, from $89,824,000 for the comparable period in 2024. This increase was primarily due to an increase of $1,432,000 in renewal premiums, which was partially offset by a decrease of $1,410,000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$4,103,000, or 7.4%, to $59,893,000 for the nine-month period ended September 30, 2025, from $55,790,000 for the comparable period in 2024. This increase was primarily attributable to a $7,704,000 increase in mortgage loan interest, a $1,183,000 increase in fixed maturity securities income, a $847,000 increase in insurance assignment income, a $134,000 increase in equity securities income, and a $21,000 increase in policy loan interest which were partially offset by a $2,415,000 increase in investment expenses, a $2,004,000 decrease in interest on cash and cash equivalents, a $1,175,000 decrease in real estate income, and a $192,000 decrease in other investment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$167,000, or 0.8%, to $21,699,000 for the nine-month period ended September 30, 2025, from $21,532,000 for the comparable period in 2024. This increase was primarily due to a $516,000 increase in mortuary at-need sales, which were partially offset by a $240,000 decrease in cemetery pre-need sales and a $109,000 decrease in cemetery at-need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(losses) on investments and other assets increased by $1,061,000, or 40.2% to $3,701,000 for the nine-month period ended September 30, 2025, from $2,640,000 for the comparable period in 2024. This increase in gains on investments and other assets was primarily due to a $1,161,000 increase in gains on mortgage loans held for investment, a $869,000 increase in gains on real estate, and a $6,000 increase in gains on fixed maturity securities, which were partially offset by a $833,000 decrease in gains on equity securities primarily attributable to decreases in the fair value of these equity securities and a $142,000 decrease in gains on other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decreased by $758,000, or 20.00%, to $3,034,000 for the nine-month period ended September 30, 2025, from $3,792,000 for the comparable period in 2024. This decrease was primarily due to a decrease of $713,000 in other miscellaneous revenues and a decrease of $45,000 in servicing fee revenue due to a decrease in the retention of mortgage servicing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$2,267,000 or 3.1%, to $76,223,000 for the nine-month period ended September 30, 2025, from $73,956,000 for the comparable period in 2024. This increase was primarily the result of a $2,896,000 increase in death benefits and a $354,000 increase in surrender and other policy benefits, which were partially offset by $983,000 decrease in future policy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$4,635,000, or 40.9%, to $15,968,000 for the nine-month period ended September 30, 2025, from $11,332,000 for the comparable period in 2024. This increase was primarily due to an increase in the termination rate for deaths, lapses, policies moving to a reduced paid up status, and a shift in product mix.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$9,399,000, or 7.3%, to $138,351,000 for the nine-month period ended September 30, 2025, from $128,952,000 for the comparable period in 2024. This increase was primarily the result of a $3,966,000 increase in personnel expenses due to an annual increase in salaries and key new hires as a part of the Company’s growth strategy, a $3,480,000 increase in other expenses, a $2,319,000 increase in commissions, a $443,000 increase in costs related to funding mortgage loans, a $366,000 increase in advertising expense, and a $30,000 increase in depreciation on property and equipment, which were partially offset by a $1,205,000 decrease in rent and rent related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$317,000, or 10.0%, to $3,479,000 for the nine-month period ended September 30, 2025, from $3,162,000 for the comparable period in 2024. This increase was primarily due to an increase of $296,000 in interest expense on mortgage warehouse lines of credit for loans held for sale and an increase of $21,000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 in mortuaries and cemeteries decreased by $101,000, or 2.8%, to $3,526,000 for the nine-month period ended September 30, 2025, from $3,627,000 for the comparable period in 2024. This decrease was primarily due to a decrease of $87,000 in at-need sales and a decrease of $14,000 in pre-need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$237,547,000, or 90.8% of total revenues, for the nine-month period ended September 30, 2025, as compared to $221,030,000, or 86.6% of total revenues, for the comparable period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SecurityNational Mortgage was not in compliance with the adjusted tangible net worth covenant of Western Alliance Bank’s warehouse line of credit. SecurityNational Mortgage is in the process of receiving waivers. In the unlikely event the Company is required to repay the outstanding advances of approximately $7,412,571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nine-month periods ended September 30, 2025, and 2024, the Company’s operations provided cash of approximately $27,553,000 and of approximately $34,894,000, respectively. The decrease in cash provided by operations was due primarily to the decrease in net earnings.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$370,953,000 (at estimated fair value) and $348,774,000 (at estimated fair value) as of September 30, 2025, and December 31, 2024, respectively. This represented 35.4% and 38.0% of the total investments of the Company as of September 30, 2025, and December 31, 2024, respectively. Generally, all bonds owned by the life insurance subsidiaries are rated by the National Association of Insurance Commissioners. Under this rating system, there are six categories used for the rating of bonds. As of September 30, 2025, 1.6% (or $5,882,000) and as of December 31, 2024, 2.4% (or $8,431,000)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September 30, 2025, and December 31, 2024,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$488,478,000 as of September 30, 2025, as compared to $445,522,000 as of December 31, 2024. This increase was primarily due to an increase of $26,600,000 in stockholders’ equity and an increase of $16,356,000 in bank loans and other loans payable. Stockholders’ equity as a percent of total capitalization was 74.8% and 76.1% as of September 30, 2025, and December 31,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2024 was 7.0% as compared to a lapse rate of 4.4% for 2023. The 2025 lapse rate to date has been approximately the same as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approximately $133,949,000 and $120,216,000 as of September 30, 2025, and December 31, 2024, respectively. The life insurance subsidiaries cannot pay a dividend to their parent company without the approval of state insurance regulatory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One Big Beautiful Bill Act (“OBBBA”), which was signed into law on July 4, 2025, significantly affected U.S. income tax law. The Company is currently assessing its impact; however, the Company does not expect a material impact to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2025,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2025,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2025, the Company executed a 10b5-1 agreement with a broker to repurchase shares of the Company’s Class A Common Stock. Under the terms of the agreement, the broker is permitted to repurchase up to $1,000,000 of the Company’s Class A Common Stock. Purchases commenced April 23, 2025. The agreement is subject to the daily time, price, and volume conditions of Rule 10b-18. The agreement will expire on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three-month period ended September 30, 2025, under the 10b5-1 agreement.</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Period</w:t>
      </w:r>
    </w:p>
    <w:p>
      <w:pPr>
        <w:spacing w:after="0" w:line="27" w:lineRule="exact"/>
        <w:rPr>
          <w:sz w:val="20"/>
          <w:szCs w:val="20"/>
          <w:color w:val="auto"/>
        </w:rPr>
      </w:pPr>
    </w:p>
    <w:p>
      <w:pPr>
        <w:jc w:val="both"/>
        <w:ind w:left="360"/>
        <w:spacing w:after="0" w:line="263" w:lineRule="auto"/>
        <w:rPr>
          <w:sz w:val="20"/>
          <w:szCs w:val="20"/>
          <w:color w:val="auto"/>
        </w:rPr>
      </w:pPr>
      <w:r>
        <w:rPr>
          <w:rFonts w:ascii="Times New Roman" w:cs="Times New Roman" w:eastAsia="Times New Roman" w:hAnsi="Times New Roman"/>
          <w:sz w:val="18"/>
          <w:szCs w:val="18"/>
          <w:color w:val="auto"/>
        </w:rPr>
        <w:t>7/1/2025-7/31/2025 8/1/2025-8/31/2025 9/1/2025-9/30/2025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(d) Maximum Number (or</w:t>
            </w: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 Total Number of Class</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Approximate Dollar</w:t>
            </w: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 Shares Purchased as</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Value) of Class A Shares</w:t>
            </w:r>
          </w:p>
        </w:tc>
      </w:t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Part of Publicly</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that May Yet Be</w:t>
            </w:r>
          </w:p>
        </w:tc>
      </w:tr>
      <w:tr>
        <w:trPr>
          <w:trHeight w:val="216"/>
        </w:trPr>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 Total Number of Class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 Average Price Paid</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Purchased Under the Plan</w:t>
            </w:r>
          </w:p>
        </w:tc>
      </w:tr>
      <w:tr>
        <w:trPr>
          <w:trHeight w:val="234"/>
        </w:trPr>
        <w:tc>
          <w:tcPr>
            <w:tcW w:w="2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 Shares 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per Class A Share (1)</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Program</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or Program (2)</w:t>
            </w:r>
          </w:p>
        </w:tc>
      </w:tr>
      <w:tr>
        <w:trPr>
          <w:trHeight w:val="191"/>
        </w:trPr>
        <w:tc>
          <w:tcPr>
            <w:tcW w:w="2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4,463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16"/>
                <w:szCs w:val="16"/>
                <w:color w:val="auto"/>
              </w:rPr>
            </w:pPr>
          </w:p>
        </w:tc>
        <w:tc>
          <w:tcPr>
            <w:tcW w:w="1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94,565</w:t>
            </w:r>
          </w:p>
        </w:tc>
        <w:tc>
          <w:tcPr>
            <w:tcW w:w="20" w:type="dxa"/>
            <w:vAlign w:val="bottom"/>
          </w:tcPr>
          <w:p>
            <w:pPr>
              <w:spacing w:after="0"/>
              <w:rPr>
                <w:sz w:val="16"/>
                <w:szCs w:val="16"/>
                <w:color w:val="auto"/>
              </w:rPr>
            </w:pPr>
          </w:p>
        </w:tc>
      </w:tr>
      <w:tr>
        <w:trPr>
          <w:trHeight w:val="229"/>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34"/>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r>
      <w:tr>
        <w:trPr>
          <w:trHeight w:val="466"/>
        </w:trPr>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0"/>
        </w:trPr>
        <w:tc>
          <w:tcPr>
            <w:tcW w:w="2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-479425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-179070</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-762635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580"/>
            <w:col w:w="8860"/>
          </w:cols>
          <w:pgMar w:left="320" w:top="684" w:right="339" w:bottom="1440" w:gutter="0" w:footer="0" w:header="0"/>
          <w:type w:val="continuous"/>
        </w:sectPr>
      </w:pPr>
    </w:p>
    <w:p>
      <w:pPr>
        <w:spacing w:after="0" w:line="25"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The Company continues to evaluate the impact the new legislation will have on its estimated annual effective tax rate and cash tax position; however, the Company does not expect a material impact to its estimated effective tax rate in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52">
        <w:r>
          <w:rPr>
            <w:rFonts w:ascii="Times New Roman" w:cs="Times New Roman" w:eastAsia="Times New Roman" w:hAnsi="Times New Roman"/>
            <w:sz w:val="17"/>
            <w:szCs w:val="17"/>
            <w:u w:val="single" w:color="auto"/>
            <w:color w:val="0000EE"/>
          </w:rPr>
          <w:t>Amended and Restated Articles of Incorporation (1)</w:t>
        </w:r>
      </w:hyperlink>
    </w:p>
    <w:p>
      <w:pPr>
        <w:spacing w:after="0" w:line="27" w:lineRule="exact"/>
        <w:rPr>
          <w:sz w:val="20"/>
          <w:szCs w:val="20"/>
          <w:color w:val="auto"/>
        </w:rPr>
      </w:pPr>
    </w:p>
    <w:p>
      <w:pPr>
        <w:ind w:left="660"/>
        <w:spacing w:after="0"/>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53">
        <w:r>
          <w:rPr>
            <w:rFonts w:ascii="Times New Roman" w:cs="Times New Roman" w:eastAsia="Times New Roman" w:hAnsi="Times New Roman"/>
            <w:sz w:val="17"/>
            <w:szCs w:val="17"/>
            <w:u w:val="single" w:color="auto"/>
            <w:color w:val="0000EE"/>
          </w:rPr>
          <w:t>Amended and Restated Bylaws (2)</w:t>
        </w:r>
      </w:hyperlink>
    </w:p>
    <w:p>
      <w:pPr>
        <w:spacing w:after="0" w:line="9" w:lineRule="exact"/>
        <w:rPr>
          <w:sz w:val="20"/>
          <w:szCs w:val="20"/>
          <w:color w:val="auto"/>
        </w:rPr>
      </w:pPr>
    </w:p>
    <w:p>
      <w:pPr>
        <w:ind w:left="1420" w:hanging="764"/>
        <w:spacing w:after="0"/>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185"/>
        </w:trPr>
        <w:tc>
          <w:tcPr>
            <w:tcW w:w="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Borders>
              <w:bottom w:val="single" w:sz="8" w:color="0000EE"/>
            </w:tcBorders>
          </w:tcPr>
          <w:p>
            <w:pPr>
              <w:spacing w:after="0" w:line="184"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84"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6"/>
                <w:szCs w:val="16"/>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420" w:hanging="764"/>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783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Dated: November 13, 2025</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Dated: November 13, 2025</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Source Center, Inc. dba Security National Travel Services</w:t>
      </w:r>
    </w:p>
    <w:p>
      <w:pPr>
        <w:spacing w:after="0" w:line="9"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Endowment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MEM-JK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Oquirrh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Towns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83" w:name="page84"/>
    <w:bookmarkEnd w:id="8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Dated: November 13,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4" w:name="page85"/>
    <w:bookmarkEnd w:id="8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Dated: November 13,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5" w:name="page86"/>
    <w:bookmarkEnd w:id="85"/>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2025,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Dated: November 13,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6" w:name="page87"/>
    <w:bookmarkEnd w:id="86"/>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2025,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Dated: November 13,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1)"/>
      <w:numFmt w:val="decimal"/>
      <w:start w:val="2"/>
    </w:lvl>
  </w:abstractNum>
  <w:abstractNum w:abstractNumId="5">
    <w:nsid w:val="1BA026FA"/>
    <w:multiLevelType w:val="hybridMultilevel"/>
    <w:lvl w:ilvl="0">
      <w:lvlJc w:val="left"/>
      <w:lvlText w:val="%1)"/>
      <w:numFmt w:val="decimal"/>
      <w:start w:val="2"/>
    </w:lvl>
  </w:abstractNum>
  <w:abstractNum w:abstractNumId="6">
    <w:nsid w:val="79A1DEAA"/>
    <w:multiLevelType w:val="hybridMultilevel"/>
    <w:lvl w:ilvl="0">
      <w:lvlJc w:val="left"/>
      <w:lvlText w:val="%1)"/>
      <w:numFmt w:val="decimal"/>
      <w:start w:val="3"/>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3"/>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3"/>
    </w:lvl>
  </w:abstractNum>
  <w:abstractNum w:abstractNumId="11">
    <w:nsid w:val="374A3FE6"/>
    <w:multiLevelType w:val="hybridMultilevel"/>
    <w:lvl w:ilvl="0">
      <w:lvlJc w:val="left"/>
      <w:lvlText w:val="%1)"/>
      <w:numFmt w:val="decimal"/>
      <w:start w:val="3"/>
    </w:lvl>
  </w:abstractNum>
  <w:abstractNum w:abstractNumId="12">
    <w:nsid w:val="4F4EF005"/>
    <w:multiLevelType w:val="hybridMultilevel"/>
    <w:lvl w:ilvl="0">
      <w:lvlJc w:val="left"/>
      <w:lvlText w:val="%1)"/>
      <w:numFmt w:val="decimal"/>
      <w:start w:val="3"/>
    </w:lvl>
  </w:abstractNum>
  <w:abstractNum w:abstractNumId="13">
    <w:nsid w:val="23F9C13C"/>
    <w:multiLevelType w:val="hybridMultilevel"/>
    <w:lvl w:ilvl="0">
      <w:lvlJc w:val="left"/>
      <w:lvlText w:val="%1)"/>
      <w:numFmt w:val="decimal"/>
      <w:start w:val="3"/>
    </w:lvl>
  </w:abstractNum>
  <w:abstractNum w:abstractNumId="14">
    <w:nsid w:val="649BB77C"/>
    <w:multiLevelType w:val="hybridMultilevel"/>
    <w:lvl w:ilvl="0">
      <w:lvlJc w:val="left"/>
      <w:lvlText w:val="%1)"/>
      <w:numFmt w:val="decimal"/>
      <w:start w:val="3"/>
    </w:lvl>
  </w:abstractNum>
  <w:abstractNum w:abstractNumId="15">
    <w:nsid w:val="275AC794"/>
    <w:multiLevelType w:val="hybridMultilevel"/>
    <w:lvl w:ilvl="0">
      <w:lvlJc w:val="left"/>
      <w:lvlText w:val="%1)"/>
      <w:numFmt w:val="decimal"/>
      <w:start w:val="3"/>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3"/>
    </w:lvl>
  </w:abstractNum>
  <w:abstractNum w:abstractNumId="18">
    <w:nsid w:val="180115BE"/>
    <w:multiLevelType w:val="hybridMultilevel"/>
    <w:lvl w:ilvl="0">
      <w:lvlJc w:val="left"/>
      <w:lvlText w:val="%1)"/>
      <w:numFmt w:val="decimal"/>
      <w:start w:val="3"/>
    </w:lvl>
  </w:abstractNum>
  <w:abstractNum w:abstractNumId="19">
    <w:nsid w:val="235BA861"/>
    <w:multiLevelType w:val="hybridMultilevel"/>
    <w:lvl w:ilvl="0">
      <w:lvlJc w:val="left"/>
      <w:lvlText w:val="%1)"/>
      <w:numFmt w:val="decimal"/>
      <w:start w:val="3"/>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decimal"/>
      <w:start w:val="3"/>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3"/>
    </w:lvl>
  </w:abstractNum>
  <w:abstractNum w:abstractNumId="27">
    <w:nsid w:val="61574095"/>
    <w:multiLevelType w:val="hybridMultilevel"/>
    <w:lvl w:ilvl="0">
      <w:lvlJc w:val="left"/>
      <w:lvlText w:val="%1)"/>
      <w:numFmt w:val="decimal"/>
      <w:start w:val="3"/>
    </w:lvl>
  </w:abstractNum>
  <w:abstractNum w:abstractNumId="28">
    <w:nsid w:val="7E0C57B1"/>
    <w:multiLevelType w:val="hybridMultilevel"/>
    <w:lvl w:ilvl="0">
      <w:lvlJc w:val="left"/>
      <w:lvlText w:val="%1)"/>
      <w:numFmt w:val="decimal"/>
      <w:start w:val="3"/>
    </w:lvl>
  </w:abstractNum>
  <w:abstractNum w:abstractNumId="29">
    <w:nsid w:val="77AE35EB"/>
    <w:multiLevelType w:val="hybridMultilevel"/>
    <w:lvl w:ilvl="0">
      <w:lvlJc w:val="left"/>
      <w:lvlText w:val="%1)"/>
      <w:numFmt w:val="decimal"/>
      <w:start w:val="3"/>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3"/>
    </w:lvl>
  </w:abstractNum>
  <w:abstractNum w:abstractNumId="32">
    <w:nsid w:val="5FF87E05"/>
    <w:multiLevelType w:val="hybridMultilevel"/>
    <w:lvl w:ilvl="0">
      <w:lvlJc w:val="left"/>
      <w:lvlText w:val="%1)"/>
      <w:numFmt w:val="decimal"/>
      <w:start w:val="3"/>
    </w:lvl>
  </w:abstractNum>
  <w:abstractNum w:abstractNumId="33">
    <w:nsid w:val="2F305DEF"/>
    <w:multiLevelType w:val="hybridMultilevel"/>
    <w:lvl w:ilvl="0">
      <w:lvlJc w:val="left"/>
      <w:lvlText w:val="%1)"/>
      <w:numFmt w:val="decimal"/>
      <w:start w:val="4"/>
    </w:lvl>
  </w:abstractNum>
  <w:abstractNum w:abstractNumId="34">
    <w:nsid w:val="25A70BF7"/>
    <w:multiLevelType w:val="hybridMultilevel"/>
    <w:lvl w:ilvl="0">
      <w:lvlJc w:val="left"/>
      <w:lvlText w:val="%1)"/>
      <w:numFmt w:val="decimal"/>
      <w:start w:val="4"/>
    </w:lvl>
  </w:abstractNum>
  <w:abstractNum w:abstractNumId="35">
    <w:nsid w:val="1DBABF00"/>
    <w:multiLevelType w:val="hybridMultilevel"/>
    <w:lvl w:ilvl="0">
      <w:lvlJc w:val="left"/>
      <w:lvlText w:val="%1)"/>
      <w:numFmt w:val="decimal"/>
      <w:start w:val="5"/>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decimal"/>
      <w:start w:val="5"/>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5"/>
    </w:lvl>
  </w:abstractNum>
  <w:abstractNum w:abstractNumId="42">
    <w:nsid w:val="15014ACB"/>
    <w:multiLevelType w:val="hybridMultilevel"/>
    <w:lvl w:ilvl="0">
      <w:lvlJc w:val="left"/>
      <w:lvlText w:val="%1)"/>
      <w:numFmt w:val="decimal"/>
      <w:start w:val="6"/>
    </w:lvl>
  </w:abstractNum>
  <w:abstractNum w:abstractNumId="43">
    <w:nsid w:val="5F5E7FD0"/>
    <w:multiLevelType w:val="hybridMultilevel"/>
    <w:lvl w:ilvl="0">
      <w:lvlJc w:val="left"/>
      <w:lvlText w:val="%1)"/>
      <w:numFmt w:val="decimal"/>
      <w:start w:val="7"/>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3"/>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3"/>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3"/>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decimal"/>
      <w:start w:val="3"/>
    </w:lvl>
  </w:abstractNum>
  <w:abstractNum w:abstractNumId="52">
    <w:nsid w:val="540A471C"/>
    <w:multiLevelType w:val="hybridMultilevel"/>
    <w:lvl w:ilvl="0">
      <w:lvlJc w:val="left"/>
      <w:lvlText w:val="%1)"/>
      <w:numFmt w:val="decimal"/>
      <w:start w:val="8"/>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decimal"/>
      <w:start w:val="8"/>
    </w:lvl>
  </w:abstractNum>
  <w:abstractNum w:abstractNumId="55">
    <w:nsid w:val="613EFDC5"/>
    <w:multiLevelType w:val="hybridMultilevel"/>
    <w:lvl w:ilvl="0">
      <w:lvlJc w:val="left"/>
      <w:lvlText w:val="%1)"/>
      <w:numFmt w:val="decimal"/>
      <w:start w:val="8"/>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8"/>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8"/>
    </w:lvl>
  </w:abstractNum>
  <w:abstractNum w:abstractNumId="60">
    <w:nsid w:val="8F2B15E"/>
    <w:multiLevelType w:val="hybridMultilevel"/>
    <w:lvl w:ilvl="0">
      <w:lvlJc w:val="left"/>
      <w:lvlText w:val="%1)"/>
      <w:numFmt w:val="decimal"/>
      <w:start w:val="8"/>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8"/>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8"/>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8"/>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8"/>
    </w:lvl>
  </w:abstractNum>
  <w:abstractNum w:abstractNumId="71">
    <w:nsid w:val="100F59DC"/>
    <w:multiLevelType w:val="hybridMultilevel"/>
    <w:lvl w:ilvl="0">
      <w:lvlJc w:val="left"/>
      <w:lvlText w:val="%1)"/>
      <w:numFmt w:val="decimal"/>
      <w:start w:val="9"/>
    </w:lvl>
  </w:abstractNum>
  <w:abstractNum w:abstractNumId="72">
    <w:nsid w:val="7FB7E0AA"/>
    <w:multiLevelType w:val="hybridMultilevel"/>
    <w:lvl w:ilvl="0">
      <w:lvlJc w:val="left"/>
      <w:lvlText w:val="%1)"/>
      <w:numFmt w:val="decimal"/>
      <w:start w:val="9"/>
    </w:lvl>
  </w:abstractNum>
  <w:abstractNum w:abstractNumId="73">
    <w:nsid w:val="6EB5BD4"/>
    <w:multiLevelType w:val="hybridMultilevel"/>
    <w:lvl w:ilvl="0">
      <w:lvlJc w:val="left"/>
      <w:lvlText w:val="%1)"/>
      <w:numFmt w:val="decimal"/>
      <w:start w:val="10"/>
    </w:lvl>
  </w:abstractNum>
  <w:abstractNum w:abstractNumId="74">
    <w:nsid w:val="6F6DD9AC"/>
    <w:multiLevelType w:val="hybridMultilevel"/>
    <w:lvl w:ilvl="0">
      <w:lvlJc w:val="left"/>
      <w:lvlText w:val="%1)"/>
      <w:numFmt w:val="decimal"/>
      <w:start w:val="1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11"/>
    </w:lvl>
  </w:abstractNum>
  <w:abstractNum w:abstractNumId="77">
    <w:nsid w:val="76272110"/>
    <w:multiLevelType w:val="hybridMultilevel"/>
    <w:lvl w:ilvl="0">
      <w:lvlJc w:val="left"/>
      <w:lvlText w:val="%1)"/>
      <w:numFmt w:val="decimal"/>
      <w:start w:val="12"/>
    </w:lvl>
  </w:abstractNum>
  <w:abstractNum w:abstractNumId="78">
    <w:nsid w:val="4C04A8AF"/>
    <w:multiLevelType w:val="hybridMultilevel"/>
    <w:lvl w:ilvl="0">
      <w:lvlJc w:val="left"/>
      <w:lvlText w:val="%1)"/>
      <w:numFmt w:val="decimal"/>
      <w:start w:val="13"/>
    </w:lvl>
  </w:abstractNum>
  <w:abstractNum w:abstractNumId="79">
    <w:nsid w:val="1716703B"/>
    <w:multiLevelType w:val="hybridMultilevel"/>
    <w:lvl w:ilvl="0">
      <w:lvlJc w:val="left"/>
      <w:lvlText w:val="%1)"/>
      <w:numFmt w:val="decimal"/>
      <w:start w:val="13"/>
    </w:lvl>
  </w:abstractNum>
  <w:abstractNum w:abstractNumId="80">
    <w:nsid w:val="14E17E33"/>
    <w:multiLevelType w:val="hybridMultilevel"/>
    <w:lvl w:ilvl="0">
      <w:lvlJc w:val="left"/>
      <w:lvlText w:val="%1)"/>
      <w:numFmt w:val="decimal"/>
      <w:start w:val="15"/>
    </w:lvl>
  </w:abstractNum>
  <w:abstractNum w:abstractNumId="81">
    <w:nsid w:val="3222E7CD"/>
    <w:multiLevelType w:val="hybridMultilevel"/>
    <w:lvl w:ilvl="0">
      <w:lvlJc w:val="left"/>
      <w:lvlText w:val="%1)"/>
      <w:numFmt w:val="decimal"/>
      <w:start w:val="15"/>
    </w:lvl>
  </w:abstractNum>
  <w:abstractNum w:abstractNumId="82">
    <w:nsid w:val="74DE0EE3"/>
    <w:multiLevelType w:val="hybridMultilevel"/>
    <w:lvl w:ilvl="0">
      <w:lvlJc w:val="left"/>
      <w:lvlText w:val="%1)"/>
      <w:numFmt w:val="decimal"/>
      <w:start w:val="15"/>
    </w:lvl>
  </w:abstractNum>
  <w:abstractNum w:abstractNumId="83">
    <w:nsid w:val="68EBC550"/>
    <w:multiLevelType w:val="hybridMultilevel"/>
    <w:lvl w:ilvl="0">
      <w:lvlJc w:val="left"/>
      <w:lvlText w:val="%1)"/>
      <w:numFmt w:val="decimal"/>
      <w:start w:val="15"/>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5"/>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5"/>
    </w:lvl>
  </w:abstractNum>
  <w:abstractNum w:abstractNumId="88">
    <w:nsid w:val="57FC4FBB"/>
    <w:multiLevelType w:val="hybridMultilevel"/>
    <w:lvl w:ilvl="0">
      <w:lvlJc w:val="left"/>
      <w:lvlText w:val="%1)"/>
      <w:numFmt w:val="decimal"/>
      <w:start w:val="16"/>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21"/>
    </w:lvl>
  </w:abstractNum>
  <w:abstractNum w:abstractNumId="91">
    <w:nsid w:val="60EF0119"/>
    <w:multiLevelType w:val="hybridMultilevel"/>
    <w:lvl w:ilvl="0">
      <w:lvlJc w:val="left"/>
      <w:lvlText w:val="%1"/>
      <w:numFmt w:val="decimal"/>
      <w:start w:val="104"/>
    </w:lvl>
    <w:lvl w:ilvl="1">
      <w:lvlJc w:val="left"/>
      <w:lvlText w:val="(%2)"/>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2" Type="http://schemas.openxmlformats.org/officeDocument/2006/relationships/hyperlink" Target="https://www.sec.gov/Archives/edgar/data/318673/000109690617000214/exh3_1.pdf" TargetMode="External"/><Relationship Id="rId153"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2025-11-13T13:07:21Z</dcterms:created>
  <dcterms:modified xsi:type="dcterms:W3CDTF">2025-11-13T13:07:21Z</dcterms:modified>
</cp:coreProperties>
</file>