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2023</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w:t>
      </w:r>
    </w:p>
    <w:p>
      <w:pPr>
        <w:spacing w:after="0" w:line="25"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transition period from _____ to 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000-09341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SECURITY NATIONAL FINANCIAL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5500" w:type="dxa"/>
            <w:vAlign w:val="bottom"/>
          </w:tcPr>
          <w:p>
            <w:pPr>
              <w:jc w:val="center"/>
              <w:ind w:right="1050"/>
              <w:spacing w:after="0"/>
              <w:rPr>
                <w:sz w:val="20"/>
                <w:szCs w:val="20"/>
                <w:color w:val="auto"/>
              </w:rPr>
            </w:pPr>
            <w:r>
              <w:rPr>
                <w:rFonts w:ascii="Arial" w:cs="Arial" w:eastAsia="Arial" w:hAnsi="Arial"/>
                <w:sz w:val="18"/>
                <w:szCs w:val="18"/>
                <w:b w:val="1"/>
                <w:bCs w:val="1"/>
                <w:color w:val="auto"/>
              </w:rPr>
              <w:t>UTAH</w:t>
            </w:r>
          </w:p>
        </w:tc>
        <w:tc>
          <w:tcPr>
            <w:tcW w:w="3700" w:type="dxa"/>
            <w:vAlign w:val="bottom"/>
          </w:tcPr>
          <w:p>
            <w:pPr>
              <w:jc w:val="right"/>
              <w:ind w:right="770"/>
              <w:spacing w:after="0"/>
              <w:rPr>
                <w:sz w:val="20"/>
                <w:szCs w:val="20"/>
                <w:color w:val="auto"/>
              </w:rPr>
            </w:pPr>
            <w:r>
              <w:rPr>
                <w:rFonts w:ascii="Arial" w:cs="Arial" w:eastAsia="Arial" w:hAnsi="Arial"/>
                <w:sz w:val="18"/>
                <w:szCs w:val="18"/>
                <w:b w:val="1"/>
                <w:bCs w:val="1"/>
                <w:color w:val="auto"/>
              </w:rPr>
              <w:t>87-0345941</w:t>
            </w:r>
          </w:p>
        </w:tc>
      </w:tr>
      <w:tr>
        <w:trPr>
          <w:trHeight w:val="230"/>
        </w:trPr>
        <w:tc>
          <w:tcPr>
            <w:tcW w:w="5500" w:type="dxa"/>
            <w:vAlign w:val="bottom"/>
          </w:tcPr>
          <w:p>
            <w:pPr>
              <w:jc w:val="center"/>
              <w:ind w:right="103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433 Ascension Way, 6th Floor, Salt Lake City, Utah</w:t>
            </w:r>
          </w:p>
        </w:tc>
        <w:tc>
          <w:tcPr>
            <w:tcW w:w="3700" w:type="dxa"/>
            <w:vAlign w:val="bottom"/>
          </w:tcPr>
          <w:p>
            <w:pPr>
              <w:jc w:val="right"/>
              <w:ind w:right="970"/>
              <w:spacing w:after="0"/>
              <w:rPr>
                <w:sz w:val="20"/>
                <w:szCs w:val="20"/>
                <w:color w:val="auto"/>
              </w:rPr>
            </w:pPr>
            <w:r>
              <w:rPr>
                <w:rFonts w:ascii="Arial" w:cs="Arial" w:eastAsia="Arial" w:hAnsi="Arial"/>
                <w:sz w:val="18"/>
                <w:szCs w:val="18"/>
                <w:b w:val="1"/>
                <w:bCs w:val="1"/>
                <w:color w:val="auto"/>
              </w:rPr>
              <w:t>84123</w:t>
            </w:r>
          </w:p>
        </w:tc>
      </w:tr>
      <w:tr>
        <w:trPr>
          <w:trHeight w:val="230"/>
        </w:trPr>
        <w:tc>
          <w:tcPr>
            <w:tcW w:w="5500" w:type="dxa"/>
            <w:vAlign w:val="bottom"/>
          </w:tcPr>
          <w:p>
            <w:pPr>
              <w:jc w:val="center"/>
              <w:ind w:right="10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700" w:type="dxa"/>
            <w:vAlign w:val="bottom"/>
          </w:tcPr>
          <w:p>
            <w:pPr>
              <w:jc w:val="center"/>
              <w:ind w:left="103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264-1060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46" w:right="339" w:bottom="1440" w:gutter="0" w:footer="0" w:header="0"/>
        </w:sect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Class A Common Stock</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SNFCA</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320" w:space="720"/>
            <w:col w:w="1680" w:space="720"/>
            <w:col w:w="3800"/>
          </w:cols>
          <w:pgMar w:left="320" w:top="746" w:right="339" w:bottom="1440" w:gutter="0" w:footer="0" w:header="0"/>
          <w:type w:val="continuous"/>
        </w:sectPr>
      </w:pPr>
    </w:p>
    <w:p>
      <w:pPr>
        <w:spacing w:after="0" w:line="11"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3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40" w:space="720"/>
            <w:col w:w="3280"/>
          </w:cols>
          <w:pgMar w:left="320" w:top="746" w:right="339" w:bottom="1440" w:gutter="0" w:footer="0" w:header="0"/>
          <w:type w:val="continuous"/>
        </w:sectPr>
      </w:pPr>
    </w:p>
    <w:p>
      <w:pPr>
        <w:spacing w:after="0" w:line="32"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As of November 3, 2023, the registrant had 20,008,016 shares of Class A Common Stock, $2.00 par value, outstanding and 2,971,854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60" w:type="dxa"/>
            <w:vAlign w:val="bottom"/>
            <w:gridSpan w:val="14"/>
          </w:tcPr>
          <w:p>
            <w:pPr>
              <w:jc w:val="center"/>
              <w:ind w:right="2100"/>
              <w:spacing w:after="0"/>
              <w:rPr>
                <w:sz w:val="20"/>
                <w:szCs w:val="20"/>
                <w:color w:val="auto"/>
              </w:rPr>
            </w:pPr>
            <w:r>
              <w:rPr>
                <w:rFonts w:ascii="Arial" w:cs="Arial" w:eastAsia="Arial" w:hAnsi="Arial"/>
                <w:sz w:val="18"/>
                <w:szCs w:val="18"/>
                <w:color w:val="auto"/>
                <w:w w:val="93"/>
              </w:rPr>
              <w:t>QUARTER ENDED SEPTEMBER 30, 2023</w:t>
            </w:r>
          </w:p>
        </w:tc>
        <w:tc>
          <w:tcPr>
            <w:tcW w:w="98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2"/>
          </w:tcPr>
          <w:p>
            <w:pPr>
              <w:jc w:val="center"/>
              <w:ind w:right="3480"/>
              <w:spacing w:after="0"/>
              <w:rPr>
                <w:sz w:val="20"/>
                <w:szCs w:val="20"/>
                <w:color w:val="auto"/>
              </w:rPr>
            </w:pPr>
            <w:r>
              <w:rPr>
                <w:rFonts w:ascii="Arial" w:cs="Arial" w:eastAsia="Arial" w:hAnsi="Arial"/>
                <w:sz w:val="18"/>
                <w:szCs w:val="18"/>
                <w:b w:val="1"/>
                <w:bCs w:val="1"/>
                <w:color w:val="auto"/>
                <w:w w:val="89"/>
              </w:rPr>
              <w:t>Table of Contents</w:t>
            </w:r>
          </w:p>
        </w:tc>
        <w:tc>
          <w:tcPr>
            <w:tcW w:w="980" w:type="dxa"/>
            <w:vAlign w:val="bottom"/>
          </w:tcPr>
          <w:p>
            <w:pPr>
              <w:spacing w:after="0"/>
              <w:rPr>
                <w:sz w:val="24"/>
                <w:szCs w:val="24"/>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Page No.</w:t>
            </w: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6"/>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0000EE"/>
                <w:w w:val="95"/>
              </w:rPr>
              <w:t>Part I - Financial Information</w:t>
            </w:r>
          </w:p>
        </w:tc>
        <w:tc>
          <w:tcPr>
            <w:tcW w:w="3580" w:type="dxa"/>
            <w:vAlign w:val="bottom"/>
            <w:tcBorders>
              <w:bottom w:val="single" w:sz="8" w:color="CCEEFF"/>
            </w:tcBorders>
            <w:gridSpan w:val="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rPr>
              <w:t>Financial Statements</w:t>
            </w:r>
          </w:p>
        </w:tc>
        <w:tc>
          <w:tcPr>
            <w:tcW w:w="98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4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(unaudited) and December 31, 2022</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w w:val="95"/>
              </w:rPr>
              <w:t>Condensed Consolidated Statements of Earnings for the three and nine month periods ended September 30, 2023 and 2022</w:t>
            </w:r>
          </w:p>
        </w:tc>
        <w:tc>
          <w:tcPr>
            <w:tcW w:w="98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88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(unaudited)</w:t>
            </w:r>
          </w:p>
        </w:tc>
        <w:tc>
          <w:tcPr>
            <w:tcW w:w="64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4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Comprehensive Income (Loss) for the three and nine month periods ended September 30,</w:t>
            </w:r>
          </w:p>
        </w:tc>
        <w:tc>
          <w:tcPr>
            <w:tcW w:w="980" w:type="dxa"/>
            <w:vAlign w:val="bottom"/>
            <w:shd w:val="clear" w:color="auto" w:fill="CCEEFF"/>
          </w:tcPr>
          <w:p>
            <w:pPr>
              <w:spacing w:after="0"/>
              <w:rPr>
                <w:sz w:val="15"/>
                <w:szCs w:val="15"/>
                <w:color w:val="auto"/>
              </w:rPr>
            </w:pPr>
          </w:p>
        </w:tc>
      </w:tr>
      <w:tr>
        <w:trPr>
          <w:trHeight w:val="196"/>
        </w:trPr>
        <w:tc>
          <w:tcPr>
            <w:tcW w:w="780" w:type="dxa"/>
            <w:vAlign w:val="bottom"/>
            <w:tcBorders>
              <w:top w:val="single" w:sz="8" w:color="CCEEFF"/>
            </w:tcBorders>
            <w:shd w:val="clear" w:color="auto" w:fill="CCEEFF"/>
          </w:tcPr>
          <w:p>
            <w:pPr>
              <w:spacing w:after="0"/>
              <w:rPr>
                <w:sz w:val="17"/>
                <w:szCs w:val="17"/>
                <w:color w:val="auto"/>
              </w:rPr>
            </w:pPr>
          </w:p>
        </w:tc>
        <w:tc>
          <w:tcPr>
            <w:tcW w:w="9300" w:type="dxa"/>
            <w:vAlign w:val="bottom"/>
            <w:tcBorders>
              <w:top w:val="single" w:sz="8" w:color="0000EE"/>
            </w:tcBorders>
            <w:gridSpan w:val="23"/>
            <w:shd w:val="clear" w:color="auto" w:fill="CCEEFF"/>
          </w:tcPr>
          <w:p>
            <w:pPr>
              <w:spacing w:after="0" w:line="196" w:lineRule="exact"/>
              <w:rPr>
                <w:sz w:val="20"/>
                <w:szCs w:val="20"/>
                <w:color w:val="auto"/>
              </w:rPr>
            </w:pPr>
            <w:r>
              <w:rPr>
                <w:rFonts w:ascii="Arial" w:cs="Arial" w:eastAsia="Arial" w:hAnsi="Arial"/>
                <w:sz w:val="18"/>
                <w:szCs w:val="18"/>
                <w:color w:val="0000EE"/>
              </w:rPr>
              <w:t>2023 and 2022 (unaudited)</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w w:val="99"/>
              </w:rPr>
              <w:t>Condensed Consolidated Statements of Stockholders’ Equity as of September 30, 2023 and June 30, 2022 (unaudited)</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2"/>
              </w:rPr>
              <w:t>7-8</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EE"/>
            </w:tcBorders>
            <w:gridSpan w:val="22"/>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nine month periods ended September 30, 2023 and 2022 (unaudited)</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9-10</w:t>
            </w:r>
          </w:p>
        </w:tc>
      </w:tr>
      <w:tr>
        <w:trPr>
          <w:trHeight w:val="176"/>
        </w:trPr>
        <w:tc>
          <w:tcPr>
            <w:tcW w:w="780" w:type="dxa"/>
            <w:vAlign w:val="bottom"/>
          </w:tcPr>
          <w:p>
            <w:pPr>
              <w:spacing w:after="0"/>
              <w:rPr>
                <w:sz w:val="15"/>
                <w:szCs w:val="15"/>
                <w:color w:val="auto"/>
              </w:rPr>
            </w:pP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020" w:type="dxa"/>
            <w:vAlign w:val="bottom"/>
            <w:tcBorders>
              <w:bottom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176"/>
        </w:trPr>
        <w:tc>
          <w:tcPr>
            <w:tcW w:w="7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5900" w:type="dxa"/>
            <w:vAlign w:val="bottom"/>
            <w:tcBorders>
              <w:top w:val="single" w:sz="8" w:color="CCEEFF"/>
            </w:tcBorders>
            <w:gridSpan w:val="13"/>
          </w:tcPr>
          <w:p>
            <w:pPr>
              <w:jc w:val="center"/>
              <w:ind w:right="3580"/>
              <w:spacing w:after="0" w:line="176" w:lineRule="exact"/>
              <w:rPr>
                <w:sz w:val="20"/>
                <w:szCs w:val="20"/>
                <w:color w:val="auto"/>
              </w:rPr>
            </w:pPr>
            <w:r>
              <w:rPr>
                <w:rFonts w:ascii="Arial" w:cs="Arial" w:eastAsia="Arial" w:hAnsi="Arial"/>
                <w:sz w:val="18"/>
                <w:szCs w:val="18"/>
                <w:b w:val="1"/>
                <w:bCs w:val="1"/>
                <w:color w:val="0000EE"/>
                <w:w w:val="97"/>
              </w:rPr>
              <w:t>Part II - Other Information</w:t>
            </w:r>
          </w:p>
        </w:tc>
        <w:tc>
          <w:tcPr>
            <w:tcW w:w="980" w:type="dxa"/>
            <w:vAlign w:val="bottom"/>
            <w:tcBorders>
              <w:top w:val="single" w:sz="8" w:color="CCEEFF"/>
            </w:tcBorders>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14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480" w:type="dxa"/>
            <w:vAlign w:val="bottom"/>
            <w:gridSpan w:val="24"/>
          </w:tcPr>
          <w:p>
            <w:pPr>
              <w:spacing w:after="0" w:line="176" w:lineRule="exact"/>
              <w:rPr>
                <w:sz w:val="20"/>
                <w:szCs w:val="20"/>
                <w:color w:val="auto"/>
              </w:rPr>
            </w:pPr>
            <w:r>
              <w:rPr>
                <w:rFonts w:ascii="Arial" w:cs="Arial" w:eastAsia="Arial" w:hAnsi="Arial"/>
                <w:sz w:val="18"/>
                <w:szCs w:val="18"/>
                <w:color w:val="0000EE"/>
              </w:rPr>
              <w:t>Risk Factors</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5140" w:type="dxa"/>
            <w:vAlign w:val="bottom"/>
            <w:tcBorders>
              <w:top w:val="single" w:sz="8" w:color="CCEEFF"/>
            </w:tcBorders>
            <w:gridSpan w:val="10"/>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176"/>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Other Information</w:t>
            </w:r>
          </w:p>
        </w:tc>
        <w:tc>
          <w:tcPr>
            <w:tcW w:w="7720" w:type="dxa"/>
            <w:vAlign w:val="bottom"/>
            <w:tcBorders>
              <w:top w:val="single" w:sz="8" w:color="CCEEFF"/>
            </w:tcBorders>
            <w:gridSpan w:val="16"/>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8880" w:type="dxa"/>
            <w:vAlign w:val="bottom"/>
            <w:tcBorders>
              <w:bottom w:val="single" w:sz="8" w:color="CCEEFF"/>
            </w:tcBorders>
            <w:gridSpan w:val="2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175"/>
        </w:trPr>
        <w:tc>
          <w:tcPr>
            <w:tcW w:w="7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5"/>
              </w:rPr>
              <w:t>Signatures</w:t>
            </w:r>
          </w:p>
        </w:tc>
        <w:tc>
          <w:tcPr>
            <w:tcW w:w="8720" w:type="dxa"/>
            <w:vAlign w:val="bottom"/>
            <w:gridSpan w:val="22"/>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460"/>
        </w:trPr>
        <w:tc>
          <w:tcPr>
            <w:tcW w:w="7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16"/>
          </w:tcPr>
          <w:p>
            <w:pPr>
              <w:jc w:val="center"/>
              <w:ind w:left="3790"/>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460"/>
              <w:spacing w:after="0"/>
              <w:rPr>
                <w:sz w:val="20"/>
                <w:szCs w:val="20"/>
                <w:color w:val="auto"/>
              </w:rPr>
            </w:pPr>
            <w:r>
              <w:rPr>
                <w:rFonts w:ascii="Arial" w:cs="Arial" w:eastAsia="Arial" w:hAnsi="Arial"/>
                <w:sz w:val="18"/>
                <w:szCs w:val="18"/>
                <w:b w:val="1"/>
                <w:bCs w:val="1"/>
                <w:color w:val="auto"/>
                <w:w w:val="98"/>
              </w:rPr>
              <w:t>Part I - Financial Information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September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Fixed maturity securities, available for sale, at estimated fair value (amortized cost of</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$380,283,562 and $362,750,511 for 2023 and 2022, respectively; net of allowance for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losses of $211,500 and nil for 2023 and 2022, respectively)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356,448,259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345,858,492</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3"/>
              </w:rPr>
              <w:t>Equity securities at estimated fair value (cost of $10,470,974 and $9,942,265 for 2023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2022,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12,309,544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11,682,526</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Mortgage loans held for investment (net of allowance for credit losses of $2,612,944 and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$1,970,311 for 2023 and 2022, respectively)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249,307,098</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308,123,927</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9"/>
              </w:rPr>
              <w:t>Real estate held for investment (net of accumulated depreciation of $28,516,470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$23,793,204 for 2023 and 2022,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184,691,463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191,328,616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4,764,367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11,161,582</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5"/>
              </w:rPr>
              <w:t>Other investments and policy loans (net of allowance for credit losses of $1,555,261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$1,609,951 for 2023 and 2022,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66,253,417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70,508,156</w:t>
            </w:r>
          </w:p>
        </w:tc>
        <w:tc>
          <w:tcPr>
            <w:tcW w:w="0" w:type="dxa"/>
            <w:vAlign w:val="bottom"/>
          </w:tcPr>
          <w:p>
            <w:pPr>
              <w:spacing w:after="0"/>
              <w:rPr>
                <w:sz w:val="1"/>
                <w:szCs w:val="1"/>
                <w:color w:val="auto"/>
              </w:rPr>
            </w:pPr>
          </w:p>
        </w:tc>
      </w:tr>
      <w:tr>
        <w:trPr>
          <w:trHeight w:val="249"/>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12,266,695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10,299,826</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886,040,843</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948,963,125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134,751,854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120,919,805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152,546,566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141,179,620</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Receivables (net of allowance for credit losses of $1,520,801 and $2,229,791 for 2023 and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2022, respectively)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15,498,951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28,573,092</w:t>
            </w: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Restricted assets (including $7,847,136 and $6,565,552 for 2023 and 2022 respectively, at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5"/>
              </w:rPr>
              <w:t>estimated fair value; net of allowance for credit losses of $2,232 and nil for 2023 and 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19,907,485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18,935,055</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Cemetery perpetual care trust investments (including $4,223,197 and $3,859,893 for 2023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and 2022, respectively, at estimated fair value; net of allowance for credit losses of $3,933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and nil for 2023 and 2022, respectively)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7,640,990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7,276,210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14,764,228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15,033,938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9,068,760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9,101,474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114,422,565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108,655,128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3,494,723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3,039,765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19,580,298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20,579,649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8,922,400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9,803,736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5,253,783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c>
          <w:tcPr>
            <w:tcW w:w="0" w:type="dxa"/>
            <w:vAlign w:val="bottom"/>
          </w:tcPr>
          <w:p>
            <w:pPr>
              <w:spacing w:after="0"/>
              <w:rPr>
                <w:sz w:val="1"/>
                <w:szCs w:val="1"/>
                <w:color w:val="auto"/>
              </w:rPr>
            </w:pPr>
          </w:p>
        </w:tc>
      </w:tr>
      <w:tr>
        <w:trPr>
          <w:trHeight w:val="23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21,878,789</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23,798,512</w:t>
            </w:r>
          </w:p>
        </w:tc>
        <w:tc>
          <w:tcPr>
            <w:tcW w:w="0" w:type="dxa"/>
            <w:vAlign w:val="bottom"/>
          </w:tcPr>
          <w:p>
            <w:pPr>
              <w:spacing w:after="0"/>
              <w:rPr>
                <w:sz w:val="1"/>
                <w:szCs w:val="1"/>
                <w:color w:val="auto"/>
              </w:rPr>
            </w:pPr>
          </w:p>
        </w:tc>
      </w:tr>
      <w:tr>
        <w:trPr>
          <w:trHeight w:val="216"/>
        </w:trPr>
        <w:tc>
          <w:tcPr>
            <w:tcW w:w="6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1,413,772,235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1,461,112,892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See accompanying notes to condensed consolidated financial statements (unaudited).</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September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908,917,966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889,327,303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2,611,873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2,773,616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108,431,028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161,712,804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17,573,212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16,226,836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5,265,166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5,099,542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2,977,402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5,361,449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56,431,051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57,113,888</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13,670,993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30,710,527</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1,115,878,691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1,168,325,965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2"/>
              </w:rPr>
              <w:t>Preferred Stock - non-voting - $1.00 par value; 5,000,000 shares authorized; none issued or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 $2.00 par value; 40,000,000 shares authorized; 20,007,611 shares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9"/>
              </w:rPr>
              <w:t>issued and outstanding as of September 30, 2023 and 18,758,031 shares issued and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40,015,222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37,516,062</w:t>
            </w: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w w:val="95"/>
              </w:rPr>
              <w:t>Class B: non-voting common stock - $1.00 par value; 5,000,000 shares authorized; none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issued or outstanding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C: convertible common stock - $2.00 par value; 6,000,000 shares authorized;</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3"/>
              </w:rPr>
              <w:t>2,971,854 shares issued and outstanding as of September 30, 2023 and 2,889,859 shares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as of December 31, 2022</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5,943,708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5,779,718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72,190,361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64,767,769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(18,282,298)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(13,070,277)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204,117,486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202,160,306</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stock at cost - 870,523 Class A shares and 35,717 Class C shares as of September</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1"/>
              </w:rPr>
              <w:t>30, 2023; and 525,870 Class A shares and 34,016 Class C shares as of December 31, 2022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(6,090,935)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(4,366,651)</w:t>
            </w:r>
          </w:p>
        </w:tc>
        <w:tc>
          <w:tcPr>
            <w:tcW w:w="0" w:type="dxa"/>
            <w:vAlign w:val="bottom"/>
          </w:tcPr>
          <w:p>
            <w:pPr>
              <w:spacing w:after="0"/>
              <w:rPr>
                <w:sz w:val="1"/>
                <w:szCs w:val="1"/>
                <w:color w:val="auto"/>
              </w:rPr>
            </w:pPr>
          </w:p>
        </w:tc>
      </w:tr>
      <w:tr>
        <w:trPr>
          <w:trHeight w:val="243"/>
        </w:trPr>
        <w:tc>
          <w:tcPr>
            <w:tcW w:w="67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297,893,544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292,786,927</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1,413,772,235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1,461,112,892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80"/>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right"/>
              <w:ind w:right="44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Mortgage fee income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24,936,019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28,607,888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77,003,778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118,983,231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28,906,803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26,237,417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85,687,394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78,491,364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19,248,463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18,603,070</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57,195,320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49,768,664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7,234,031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6,470,363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20,874,174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20,926,587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Losses on investments and other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(932,414)</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(2,178,952)</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(2,921,372)</w:t>
            </w: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848,825</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5,737,434</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2,832,630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16,221,307</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80,241,727</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83,477,220</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243,588,620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281,469,781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Death benefits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14,678,251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13,996,753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46,811,922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45,720,503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Surrenders and other policy benefits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1,467,066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1,337,507</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3,550,416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3,814,442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9,476,678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7,389,732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26,031,421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20,761,276</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Amortization of deferred policy and pre-need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acquisition costs and value of business acquired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4,480,457</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5,061,713</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13,615,359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13,511,235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10,467,796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15,004,275</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30,877,232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53,303,814</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20,234,106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24,392,703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62,705,033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76,772,417</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994,433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1,372,636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2,863,597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4,680,169</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rent related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1,677,701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1,701,164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5,285,492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5,062,696</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590,168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636,246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1,765,797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1,880,095</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funding mortgage loans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1,563,172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1,371,315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5,246,881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6,255,415</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7,124,347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11,178,276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22,308,291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34,444,040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1,151,534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2,136,763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4,019,669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5,764,327</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Cost of goods and services sold-mortuaries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160" w:type="dxa"/>
            <w:vAlign w:val="bottom"/>
          </w:tcPr>
          <w:p>
            <w:pPr>
              <w:spacing w:after="0"/>
              <w:rPr>
                <w:sz w:val="20"/>
                <w:szCs w:val="20"/>
                <w:color w:val="auto"/>
              </w:rPr>
            </w:pPr>
            <w:r>
              <w:rPr>
                <w:rFonts w:ascii="Arial" w:cs="Arial" w:eastAsia="Arial" w:hAnsi="Arial"/>
                <w:sz w:val="18"/>
                <w:szCs w:val="18"/>
                <w:color w:val="auto"/>
              </w:rPr>
              <w:t>cemeteries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1,177,328</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1,200,481</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3,614,599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3,628,334</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75,083,037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86,779,564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228,695,709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275,598,763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before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5,158,690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(3,302,344)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14,892,911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5,871,018</w:t>
            </w: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(1,117,397)</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949,159</w:t>
            </w: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(3,258,740)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(1,421,036)</w:t>
            </w:r>
          </w:p>
        </w:tc>
      </w:tr>
      <w:tr>
        <w:trPr>
          <w:trHeight w:val="216"/>
        </w:trPr>
        <w:tc>
          <w:tcPr>
            <w:tcW w:w="4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Net earnings (loss)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4,041,293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(2,353,185)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11,634,171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4,449,982</w:t>
            </w:r>
          </w:p>
        </w:tc>
      </w:tr>
      <w:tr>
        <w:trPr>
          <w:trHeight w:val="196"/>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16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Net earnings (loss) per Class A Equivalent common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1"/>
        </w:trPr>
        <w:tc>
          <w:tcPr>
            <w:tcW w:w="4160" w:type="dxa"/>
            <w:vAlign w:val="bottom"/>
          </w:tcPr>
          <w:p>
            <w:pPr>
              <w:spacing w:after="0"/>
              <w:rPr>
                <w:sz w:val="20"/>
                <w:szCs w:val="20"/>
                <w:color w:val="auto"/>
              </w:rPr>
            </w:pPr>
            <w:r>
              <w:rPr>
                <w:rFonts w:ascii="Arial" w:cs="Arial" w:eastAsia="Arial" w:hAnsi="Arial"/>
                <w:sz w:val="18"/>
                <w:szCs w:val="18"/>
                <w:b w:val="1"/>
                <w:bCs w:val="1"/>
                <w:color w:val="auto"/>
              </w:rPr>
              <w:t>share (1)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16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Net earnings (loss) per Class A Equivalent common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1"/>
        </w:trPr>
        <w:tc>
          <w:tcPr>
            <w:tcW w:w="4160" w:type="dxa"/>
            <w:vAlign w:val="bottom"/>
          </w:tcPr>
          <w:p>
            <w:pPr>
              <w:spacing w:after="0"/>
              <w:rPr>
                <w:sz w:val="20"/>
                <w:szCs w:val="20"/>
                <w:color w:val="auto"/>
              </w:rPr>
            </w:pPr>
            <w:r>
              <w:rPr>
                <w:rFonts w:ascii="Arial" w:cs="Arial" w:eastAsia="Arial" w:hAnsi="Arial"/>
                <w:sz w:val="18"/>
                <w:szCs w:val="18"/>
                <w:b w:val="1"/>
                <w:bCs w:val="1"/>
                <w:color w:val="auto"/>
              </w:rPr>
              <w:t>share-assuming dilution (1)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60" w:lineRule="auto"/>
        <w:rPr>
          <w:sz w:val="20"/>
          <w:szCs w:val="20"/>
          <w:color w:val="auto"/>
        </w:rPr>
      </w:pPr>
      <w:r>
        <w:rPr>
          <w:rFonts w:ascii="Arial" w:cs="Arial" w:eastAsia="Arial" w:hAnsi="Arial"/>
          <w:sz w:val="18"/>
          <w:szCs w:val="18"/>
          <w:color w:val="auto"/>
        </w:rPr>
        <w:t>Weighted-average Class A equivalent common shares outstanding (1)</w:t>
      </w:r>
    </w:p>
    <w:p>
      <w:pPr>
        <w:spacing w:after="0" w:line="2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Weighted-average Class A equivalent common shares outstanding-assuming dilution (1)</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22,063,495</w:t>
            </w:r>
          </w:p>
        </w:tc>
        <w:tc>
          <w:tcPr>
            <w:tcW w:w="3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21,976,292</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22,066,243</w:t>
            </w:r>
          </w:p>
        </w:tc>
        <w:tc>
          <w:tcPr>
            <w:tcW w:w="1460" w:type="dxa"/>
            <w:vAlign w:val="bottom"/>
          </w:tcPr>
          <w:p>
            <w:pPr>
              <w:jc w:val="right"/>
              <w:spacing w:after="0"/>
              <w:rPr>
                <w:sz w:val="20"/>
                <w:szCs w:val="20"/>
                <w:color w:val="auto"/>
              </w:rPr>
            </w:pPr>
            <w:r>
              <w:rPr>
                <w:rFonts w:ascii="Arial" w:cs="Arial" w:eastAsia="Arial" w:hAnsi="Arial"/>
                <w:sz w:val="18"/>
                <w:szCs w:val="18"/>
                <w:color w:val="auto"/>
              </w:rPr>
              <w:t>22,213,846</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22,831,726</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22,695,996</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22,700,342</w:t>
            </w:r>
          </w:p>
        </w:tc>
        <w:tc>
          <w:tcPr>
            <w:tcW w:w="1460" w:type="dxa"/>
            <w:vAlign w:val="bottom"/>
          </w:tcPr>
          <w:p>
            <w:pPr>
              <w:jc w:val="right"/>
              <w:spacing w:after="0"/>
              <w:rPr>
                <w:sz w:val="20"/>
                <w:szCs w:val="20"/>
                <w:color w:val="auto"/>
              </w:rPr>
            </w:pPr>
            <w:r>
              <w:rPr>
                <w:rFonts w:ascii="Arial" w:cs="Arial" w:eastAsia="Arial" w:hAnsi="Arial"/>
                <w:sz w:val="18"/>
                <w:szCs w:val="18"/>
                <w:color w:val="auto"/>
              </w:rPr>
              <w:t>23,036,213</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-470535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400"/>
            <w:col w:w="6960"/>
          </w:cols>
          <w:pgMar w:left="320" w:top="692" w:right="339" w:bottom="1440" w:gutter="0" w:footer="0" w:header="0"/>
          <w:type w:val="continuous"/>
        </w:sectPr>
      </w:pPr>
    </w:p>
    <w:p>
      <w:pPr>
        <w:spacing w:after="0" w:line="2" w:lineRule="exact"/>
        <w:rPr>
          <w:sz w:val="20"/>
          <w:szCs w:val="20"/>
          <w:color w:val="auto"/>
        </w:rPr>
      </w:pPr>
    </w:p>
    <w:p>
      <w:pPr>
        <w:jc w:val="both"/>
        <w:ind w:left="360" w:hanging="292"/>
        <w:spacing w:after="0" w:line="286"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01"/>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right"/>
              <w:ind w:right="361"/>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4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4,041,293</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(2,353,185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11,634,171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4,449,982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4140" w:type="dxa"/>
            <w:vAlign w:val="bottom"/>
          </w:tcPr>
          <w:p>
            <w:pPr>
              <w:spacing w:after="0" w:line="203"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losses on fixed maturity securities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 for sale</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(6,805,602)</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(13,523,240)</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(6,580,750)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(41,845,274)</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Unrealized gains (losses) on restricted assets (1)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1"/>
              <w:spacing w:after="0"/>
              <w:rPr>
                <w:sz w:val="20"/>
                <w:szCs w:val="20"/>
                <w:color w:val="auto"/>
              </w:rPr>
            </w:pPr>
            <w:r>
              <w:rPr>
                <w:rFonts w:ascii="Arial" w:cs="Arial" w:eastAsia="Arial" w:hAnsi="Arial"/>
                <w:sz w:val="18"/>
                <w:szCs w:val="18"/>
                <w:color w:val="auto"/>
              </w:rPr>
              <w:t>(12,284)</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27,060</w:t>
            </w:r>
          </w:p>
        </w:tc>
        <w:tc>
          <w:tcPr>
            <w:tcW w:w="22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(14,340)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(88,058)</w:t>
            </w:r>
          </w:p>
        </w:tc>
      </w:tr>
      <w:tr>
        <w:trPr>
          <w:trHeight w:val="202"/>
        </w:trPr>
        <w:tc>
          <w:tcPr>
            <w:tcW w:w="4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Unrealized gains (losses) on cemetery perpetual care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investments (1)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28,931</w:t>
            </w: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(24,294)</w:t>
            </w:r>
          </w:p>
        </w:tc>
      </w:tr>
      <w:tr>
        <w:trPr>
          <w:trHeight w:val="210"/>
        </w:trPr>
        <w:tc>
          <w:tcPr>
            <w:tcW w:w="41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comprehensive loss, before income tax</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(6,820,373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(13,467,249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(6,598,389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(41,957,626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1,432,846</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2,825,936</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1,386,368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8,815,498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Other comprehensive loss, net of income tax</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(5,387,527</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(10,641,313</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(5,212,021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(33,142,128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(1,346,234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(12,994,498</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6,422,150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(28,692,146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Arial" w:cs="Arial" w:eastAsia="Arial" w:hAnsi="Arial"/>
                <w:sz w:val="18"/>
                <w:szCs w:val="18"/>
                <w:color w:val="auto"/>
              </w:rPr>
              <w:t>Nine Months Ended September 30, 2023</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Retained</w:t>
            </w:r>
          </w:p>
        </w:tc>
        <w:tc>
          <w:tcPr>
            <w:tcW w:w="1140" w:type="dxa"/>
            <w:vAlign w:val="bottom"/>
            <w:gridSpan w:val="2"/>
          </w:tcPr>
          <w:p>
            <w:pPr>
              <w:jc w:val="center"/>
              <w:ind w:right="170"/>
              <w:spacing w:after="0"/>
              <w:rPr>
                <w:sz w:val="20"/>
                <w:szCs w:val="20"/>
                <w:color w:val="auto"/>
              </w:rPr>
            </w:pPr>
            <w:r>
              <w:rPr>
                <w:rFonts w:ascii="Arial" w:cs="Arial" w:eastAsia="Arial" w:hAnsi="Arial"/>
                <w:sz w:val="18"/>
                <w:szCs w:val="18"/>
                <w:color w:val="auto"/>
                <w:w w:val="90"/>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Earnings</w:t>
            </w:r>
          </w:p>
        </w:tc>
        <w:tc>
          <w:tcPr>
            <w:tcW w:w="1140" w:type="dxa"/>
            <w:vAlign w:val="bottom"/>
            <w:gridSpan w:val="2"/>
          </w:tcPr>
          <w:p>
            <w:pPr>
              <w:jc w:val="center"/>
              <w:ind w:right="170"/>
              <w:spacing w:after="0"/>
              <w:rPr>
                <w:sz w:val="20"/>
                <w:szCs w:val="20"/>
                <w:color w:val="auto"/>
              </w:rPr>
            </w:pPr>
            <w:r>
              <w:rPr>
                <w:rFonts w:ascii="Arial" w:cs="Arial" w:eastAsia="Arial" w:hAnsi="Arial"/>
                <w:sz w:val="18"/>
                <w:szCs w:val="18"/>
                <w:color w:val="auto"/>
                <w:w w:val="88"/>
              </w:rPr>
              <w:t>Stock</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2023</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$ 37,516,062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$ 5,779,718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$ 64,767,769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(13,070,277)</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$ 202,160,306</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7"/>
              </w:rPr>
              <w:t>$ (4,366,651)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$ 292,786,927</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 upon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5"/>
              </w:rPr>
              <w:t>adoption of new accounting standard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(ASU 2016-13)</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(671,506)</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(671,506)</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earnings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1,240,172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1,240,172</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4,127,558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4,127,558</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6"/>
              </w:rPr>
              <w:t>Stock-based compensation expense</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143,671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143,671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96,092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(43,493)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620,651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577,158</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(1,204,357)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(1,204,357)</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1,872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(1,872)</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37,614,026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$ 5,777,846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64,805,874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(8,942,719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$ 202,728,972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(4,950,357</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$ 297,033,642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6,352,706</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6,352,706</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(3,952,052)</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(3,952,052)</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Stock-based compensation expense</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141,954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159,284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(154,424)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(54,350)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623,056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568,706</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(1,514,049)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(1,387,059)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113,930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(113,930)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1,899,350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283,188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6,820,431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(9,002,969)</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39,787,400</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$ 5,947,104</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71,685,665</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(12,894,771</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$ 200,078,709</w:t>
            </w:r>
          </w:p>
        </w:tc>
        <w:tc>
          <w:tcPr>
            <w:tcW w:w="240" w:type="dxa"/>
            <w:vAlign w:val="bottom"/>
            <w:tcBorders>
              <w:top w:val="single" w:sz="8" w:color="CCEEFF"/>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(5,841,350</w:t>
            </w:r>
          </w:p>
        </w:tc>
        <w:tc>
          <w:tcPr>
            <w:tcW w:w="260" w:type="dxa"/>
            <w:vAlign w:val="bottom"/>
            <w:tcBorders>
              <w:top w:val="single" w:sz="8" w:color="CCEEFF"/>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$ 298,762,757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earnings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4,041,293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4,041,293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(5,387,527)</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(5,387,527)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6"/>
              </w:rPr>
              <w:t>Stock-based compensation expense</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145,973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145,973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223,006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810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458,530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556,917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456,166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(708,115)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(251,949)</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Stock dividends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610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(2,516)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40,015,222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$ 5,943,708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72,190,361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(18,282,298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$ 204,117,486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(6,090,935</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$ 297,893,544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Arial" w:cs="Arial" w:eastAsia="Arial" w:hAnsi="Arial"/>
                <w:sz w:val="18"/>
                <w:szCs w:val="18"/>
                <w:color w:val="auto"/>
              </w:rPr>
              <w:t>Nine Months Ended September 30,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1040" w:type="dxa"/>
            <w:vAlign w:val="bottom"/>
            <w:gridSpan w:val="2"/>
          </w:tcPr>
          <w:p>
            <w:pPr>
              <w:jc w:val="right"/>
              <w:ind w:right="290"/>
              <w:spacing w:after="0"/>
              <w:rPr>
                <w:sz w:val="20"/>
                <w:szCs w:val="20"/>
                <w:color w:val="auto"/>
              </w:rPr>
            </w:pPr>
            <w:r>
              <w:rPr>
                <w:rFonts w:ascii="Arial" w:cs="Arial" w:eastAsia="Arial" w:hAnsi="Arial"/>
                <w:sz w:val="18"/>
                <w:szCs w:val="18"/>
                <w:color w:val="auto"/>
                <w:w w:val="90"/>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right"/>
              <w:ind w:right="410"/>
              <w:spacing w:after="0"/>
              <w:rPr>
                <w:sz w:val="20"/>
                <w:szCs w:val="20"/>
                <w:color w:val="auto"/>
              </w:rPr>
            </w:pPr>
            <w:r>
              <w:rPr>
                <w:rFonts w:ascii="Arial" w:cs="Arial" w:eastAsia="Arial" w:hAnsi="Arial"/>
                <w:sz w:val="18"/>
                <w:szCs w:val="18"/>
                <w:color w:val="auto"/>
              </w:rPr>
              <w:t>Stock</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$ 35,285,444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$ 5,733,130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$ 57,985,947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18,070,448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$ 184,537,489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1"/>
              </w:rPr>
              <w:t>(1,845,624)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$ 299,766,834</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3,228,718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3,228,718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(12,190,330)</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(12,190,330)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271,747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100,446</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(8,487)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91,959</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1,880,125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1,904,180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106,176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(878,417)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(772,241)</w:t>
            </w: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35,386,304</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$ 5,732,716</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58,379,438</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5,880,118</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$ 187,766,207</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(843,916</w:t>
            </w:r>
          </w:p>
        </w:tc>
        <w:tc>
          <w:tcPr>
            <w:tcW w:w="260" w:type="dxa"/>
            <w:vAlign w:val="bottom"/>
            <w:tcBorders>
              <w:top w:val="single" w:sz="8" w:color="CCEEFF"/>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$ 292,300,867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3,574,449</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3,574,449</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(10,310,485)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(10,310,485)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4"/>
              </w:rPr>
              <w:t>Stock-based compensation expense</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220,175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220,175</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37,746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50,401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w w:val="97"/>
              </w:rPr>
              <w:t>1,119,392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1,169,793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1"/>
              </w:rPr>
              <w:t>(6,505,050)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(6,505,050)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154,218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(154,218)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1,779,108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278,924</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6,009,453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(8,067,485)</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37,357,376</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$ 5,857,422</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64,657,027</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(4,430,367</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$ 183,273,171</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(6,229,574</w:t>
            </w:r>
          </w:p>
        </w:tc>
        <w:tc>
          <w:tcPr>
            <w:tcW w:w="260" w:type="dxa"/>
            <w:vAlign w:val="bottom"/>
            <w:tcBorders>
              <w:top w:val="single" w:sz="8" w:color="CCEEFF"/>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$ 280,485,055</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(2,353,185)</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(2,353,185)</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(10,641,313)</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(10,641,313)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4"/>
              </w:rPr>
              <w:t>Stock-based compensation expense</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230,853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230,853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1,187,752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1,140,467</w:t>
            </w: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77,704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(77,704)</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37,435,080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$ 5,779,718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64,840,595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(15,071,680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$ 180,919,986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(5,041,822</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$ 268,861,877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41"/>
              <w:spacing w:after="0"/>
              <w:rPr>
                <w:sz w:val="20"/>
                <w:szCs w:val="20"/>
                <w:color w:val="auto"/>
              </w:rPr>
            </w:pPr>
            <w:r>
              <w:rPr>
                <w:rFonts w:ascii="Arial" w:cs="Arial" w:eastAsia="Arial" w:hAnsi="Arial"/>
                <w:sz w:val="18"/>
                <w:szCs w:val="18"/>
                <w:color w:val="auto"/>
              </w:rPr>
              <w:t>Nine Months Ended September 30,</w:t>
            </w:r>
          </w:p>
        </w:tc>
      </w:tr>
      <w:tr>
        <w:trPr>
          <w:trHeight w:val="236"/>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8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18,383,768</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109,318,230</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(50,158,586)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(115,680,915)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33,160,924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11,695,675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(6,464,200)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(3,591,283)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5,891,964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2,295,931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(1,836,290)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(1,157,021)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387,049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(493,833)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177,932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325,908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(467,172,350)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(569,434,389)</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6"/>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532,511,486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577,997,140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(791,569)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(966,375)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62,561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(17,219,245)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(20,892,501)</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Sales of real estate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25,727,541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22,941,365</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53,720,823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(96,403,904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9,323,700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8,853,710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(11,657,189)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(11,964,046)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64,959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127,265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(2,843,365)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(7,277,291)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(69,133,305)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(48,383,522)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68,500,000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59,618,050</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Net change in warehouse line borrowings for loans held for sale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(52,720,401)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(61,081,557)</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(58,465,601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(60,107,391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change in cash, cash equivalents, restricted cash and restricted cash equivalents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13,638,990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(47,193,065)</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cash equivalents, restricted cash and restricted cash equivalents at beginning of period</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133,483,817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141,414,282</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147,122,807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94,221,217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4,182,368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5,646,811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18,911,907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468,578</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Transfer from mortgage loans held for investment to restricted assets</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1,625,961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Transfer from mortgage loans held for investment to cemetery perpetual care trust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6,111,550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Transfer from loans held for sale to mortgage loans held for investment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3,017,626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49,428,757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Benefit plans funded with treasury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1,702,781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4,214,440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139,095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1,164,287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12,332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1,401,437</w:t>
            </w:r>
          </w:p>
        </w:tc>
      </w:tr>
      <w:tr>
        <w:trPr>
          <w:trHeight w:val="439"/>
        </w:trPr>
        <w:tc>
          <w:tcPr>
            <w:tcW w:w="68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38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134,751,854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84,947,720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Restricted assets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10,946,379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8,276,613</w:t>
            </w: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1,424,574</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996,884</w:t>
            </w:r>
          </w:p>
        </w:tc>
        <w:tc>
          <w:tcPr>
            <w:tcW w:w="0" w:type="dxa"/>
            <w:vAlign w:val="bottom"/>
          </w:tcPr>
          <w:p>
            <w:pPr>
              <w:spacing w:after="0"/>
              <w:rPr>
                <w:sz w:val="1"/>
                <w:szCs w:val="1"/>
                <w:color w:val="auto"/>
              </w:rPr>
            </w:pPr>
          </w:p>
        </w:tc>
      </w:tr>
      <w:tr>
        <w:trPr>
          <w:trHeight w:val="243"/>
        </w:trPr>
        <w:tc>
          <w:tcPr>
            <w:tcW w:w="65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147,122,807</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94,221,217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0" w:name="page11"/>
    <w:bookmarkEnd w:id="10"/>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2022, included in the Company’s Annual Report on Form 10-K (File Number 000-09341). In the opinion of management, all adjustments (consisting of normal recurring accruals) considered necessary for a fair presentation have been included. Operating results for the three and nine month periods ended September 30, 2023 are not necessarily indicative of the results that may be expected for the year ending December 31,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Banking Environment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2023</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Amount</w:t>
            </w:r>
          </w:p>
        </w:tc>
      </w:tr>
      <w:tr>
        <w:trPr>
          <w:trHeight w:val="216"/>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(192,607)</w:t>
            </w: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301,830</w:t>
            </w:r>
          </w:p>
        </w:tc>
      </w:tr>
      <w:tr>
        <w:trPr>
          <w:trHeight w:val="237"/>
        </w:trPr>
        <w:tc>
          <w:tcPr>
            <w:tcW w:w="7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555,807</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Restriced assets - mortgage loans held for investment: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3,463</w:t>
            </w:r>
          </w:p>
        </w:tc>
      </w:tr>
      <w:tr>
        <w:trPr>
          <w:trHeight w:val="216"/>
        </w:trPr>
        <w:tc>
          <w:tcPr>
            <w:tcW w:w="7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Cemetery perpetual care trust investments - mortgage loans held for investment: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w:t>
            </w:r>
          </w:p>
        </w:tc>
      </w:tr>
      <w:tr>
        <w:trPr>
          <w:trHeight w:val="216"/>
        </w:trPr>
        <w:tc>
          <w:tcPr>
            <w:tcW w:w="73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671,506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ASU No. 2018-12: “Financial Services – Insurance (Topic 944): Targeted Improvements to the Accounting for Long-Duration Contracts”</w:t>
      </w:r>
      <w:r>
        <w:rPr>
          <w:rFonts w:ascii="Arial" w:cs="Arial" w:eastAsia="Arial" w:hAnsi="Arial"/>
          <w:sz w:val="16"/>
          <w:szCs w:val="16"/>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the FASB issued an update to ASU No. 2018-12 that requires the standard to be adopted by the Company commencing on January 1, 2025. The Company is nearing completion of its analysis and implementation of the new standard, including the identification of cohorts, system updates, design and a preliminary analysis of the Company’s “Cold Start.” The Company has engaged its team of actuaries, accountants, and systems specialists and consulted external system providers as part of the implementation. The Company is in the process of estimating the impact of the new guidance on the consolidated financial statements.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September 30,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Unrealized</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Allowance for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7"/>
        </w:trPr>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Losses (1)</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r>
      <w:tr>
        <w:trPr>
          <w:trHeight w:val="176"/>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2023:</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108,680,913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(2,498,554)</w:t>
            </w: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106,188,340</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6,649,289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(586,789)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6,062,718</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231,814,067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(15,412,932)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216,789,710</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32,889,293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(5,755,224)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27,147,491</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43"/>
        </w:trPr>
        <w:tc>
          <w:tcPr>
            <w:tcW w:w="1500" w:type="dxa"/>
            <w:vAlign w:val="bottom"/>
            <w:tcBorders>
              <w:top w:val="single" w:sz="8" w:color="CCEEFF"/>
            </w:tcBorders>
          </w:tcPr>
          <w:p>
            <w:pPr>
              <w:spacing w:after="0"/>
              <w:rPr>
                <w:sz w:val="21"/>
                <w:szCs w:val="21"/>
                <w:color w:val="auto"/>
              </w:rPr>
            </w:pPr>
          </w:p>
        </w:tc>
        <w:tc>
          <w:tcPr>
            <w:tcW w:w="25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380,283,562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629,696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(24,253,499)</w:t>
            </w: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356,448,259</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10,470,974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2,684,920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(846,350)</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12,309,544</w:t>
            </w:r>
          </w:p>
        </w:tc>
      </w:tr>
      <w:tr>
        <w:trPr>
          <w:trHeight w:val="216"/>
        </w:trPr>
        <w:tc>
          <w:tcPr>
            <w:tcW w:w="15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10,470,974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2,684,920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(846,350)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12,309,544</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96,591,643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101,295,751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55,991,027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(1,629,546)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(2,612,944)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(328,833)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5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249,307,098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38,034,997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146,656,466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5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184,691,463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2,285,707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2,478,660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5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4,764,367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13,154,845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42,624,001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2,699,300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9,330,532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assignments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(1,555,261)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5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66,253,417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12,266,695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92"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40" w:type="dxa"/>
            <w:vAlign w:val="bottom"/>
          </w:tcPr>
          <w:p>
            <w:pPr>
              <w:jc w:val="right"/>
              <w:spacing w:after="0"/>
              <w:rPr>
                <w:sz w:val="20"/>
                <w:szCs w:val="20"/>
                <w:color w:val="auto"/>
              </w:rPr>
            </w:pPr>
            <w:r>
              <w:rPr>
                <w:rFonts w:ascii="Arial" w:cs="Arial" w:eastAsia="Arial" w:hAnsi="Arial"/>
                <w:sz w:val="18"/>
                <w:szCs w:val="18"/>
                <w:color w:val="auto"/>
                <w:w w:val="93"/>
              </w:rPr>
              <w:t>$  886,040,843</w:t>
            </w: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282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42" w:lineRule="exact"/>
        <w:rPr>
          <w:sz w:val="20"/>
          <w:szCs w:val="20"/>
          <w:color w:val="auto"/>
        </w:rPr>
      </w:pPr>
    </w:p>
    <w:p>
      <w:pPr>
        <w:ind w:left="360" w:hanging="29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unrealized losses are net of allowance for credit losses</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$978,600 of Membership stock and $1,720,700 of Activity stock attributable to short-term borrowings and letters of credit.</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 w:name="page15"/>
    <w:bookmarkEnd w:id="14"/>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Gross Unrealized</w:t>
            </w: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Gross 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Estimated Fair</w:t>
            </w:r>
          </w:p>
        </w:tc>
      </w:tr>
      <w:tr>
        <w:trPr>
          <w:trHeight w:val="237"/>
        </w:trPr>
        <w:tc>
          <w:tcPr>
            <w:tcW w:w="1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Amortized Cost</w:t>
            </w:r>
          </w:p>
        </w:tc>
        <w:tc>
          <w:tcPr>
            <w:tcW w:w="10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Gains</w:t>
            </w:r>
          </w:p>
        </w:tc>
        <w:tc>
          <w:tcPr>
            <w:tcW w:w="100" w:type="dxa"/>
            <w:vAlign w:val="bottom"/>
          </w:tcPr>
          <w:p>
            <w:pPr>
              <w:spacing w:after="0"/>
              <w:rPr>
                <w:sz w:val="20"/>
                <w:szCs w:val="20"/>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28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93,182,210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(2,685,277)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90,677,576</w:t>
            </w: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6,675,071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6,230,803</w:t>
            </w: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229,141,544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1,909,630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(11,930,773)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219,120,401</w:t>
            </w: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33,501,686</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168,700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(4,100,674)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29,569,712</w:t>
            </w: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43"/>
        </w:trPr>
        <w:tc>
          <w:tcPr>
            <w:tcW w:w="1480" w:type="dxa"/>
            <w:vAlign w:val="bottom"/>
            <w:tcBorders>
              <w:top w:val="single" w:sz="8" w:color="CCEEFF"/>
            </w:tcBorders>
          </w:tcPr>
          <w:p>
            <w:pPr>
              <w:spacing w:after="0"/>
              <w:rPr>
                <w:sz w:val="21"/>
                <w:szCs w:val="21"/>
                <w:color w:val="auto"/>
              </w:rPr>
            </w:pPr>
          </w:p>
        </w:tc>
        <w:tc>
          <w:tcPr>
            <w:tcW w:w="28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362,750,511</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2,282,842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(19,174,861)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345,858,492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2,688,375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11,682,526</w:t>
            </w:r>
          </w:p>
        </w:tc>
      </w:tr>
      <w:tr>
        <w:trPr>
          <w:trHeight w:val="216"/>
        </w:trPr>
        <w:tc>
          <w:tcPr>
            <w:tcW w:w="14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2,688,375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11,682,526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Mortgage loans held for investment at amortized cost: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93,355,623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172,516,125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46,311,955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(1,746,605)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(1,970,311)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(342,860)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308,123,927</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38,437,960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152,890,656</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191,328,616</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11,010,029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11,161,582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Other investments and policy loans at amortized cost: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13,095,473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46,942,536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2,600,300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9,479,798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2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Less: Allowance for credit losses for insurance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assignments</w:t>
            </w:r>
          </w:p>
        </w:tc>
        <w:tc>
          <w:tcPr>
            <w:tcW w:w="14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(1,609,951)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4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28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70,508,156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10,299,826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2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948,963,125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64" w:orient="portrait"/>
          <w:cols w:equalWidth="0" w:num="1">
            <w:col w:w="11240"/>
          </w:cols>
          <w:pgMar w:left="320" w:top="692" w:right="339" w:bottom="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t>(1) Includes $938,500 of Membership stock and $1,661,800 of Activity stock attributable to short-term borrowings and letters of credit.</w:t>
      </w:r>
    </w:p>
    <w:p>
      <w:pPr>
        <w:sectPr>
          <w:pgSz w:w="11900" w:h="16838" w:orient="portrait"/>
          <w:cols w:equalWidth="0" w:num="1">
            <w:col w:w="10139"/>
          </w:cols>
          <w:pgMar w:left="320" w:top="652"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type w:val="continuous"/>
        </w:sectPr>
      </w:pPr>
    </w:p>
    <w:bookmarkStart w:id="16" w:name="page17"/>
    <w:bookmarkEnd w:id="16"/>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summarizes unrealized losses on fixed maturity securities available for sale that were carried at estimated fair value as of September 30, 2023, and December 31, 2022. The unrealized losses were primarily related to interest rate fluctuations.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Less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More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Combined</w:t>
            </w:r>
          </w:p>
        </w:tc>
      </w:tr>
      <w:tr>
        <w:trPr>
          <w:trHeight w:val="237"/>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Months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Months</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196"/>
        </w:trPr>
        <w:tc>
          <w:tcPr>
            <w:tcW w:w="146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September 30, 2023</w:t>
            </w:r>
          </w:p>
        </w:tc>
        <w:tc>
          <w:tcPr>
            <w:tcW w:w="2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3700" w:type="dxa"/>
            <w:vAlign w:val="bottom"/>
            <w:gridSpan w:val="3"/>
          </w:tcPr>
          <w:p>
            <w:pPr>
              <w:spacing w:after="0" w:line="201" w:lineRule="exact"/>
              <w:rPr>
                <w:sz w:val="20"/>
                <w:szCs w:val="20"/>
                <w:color w:val="auto"/>
              </w:rPr>
            </w:pPr>
            <w:r>
              <w:rPr>
                <w:rFonts w:ascii="Arial" w:cs="Arial" w:eastAsia="Arial" w:hAnsi="Arial"/>
                <w:sz w:val="18"/>
                <w:szCs w:val="18"/>
                <w:color w:val="auto"/>
                <w:w w:val="95"/>
              </w:rPr>
              <w:t>U.S. Treasury Securities And Obligations of U.S.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Government Agencies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331,740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36,115,986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2,166,815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69,967,155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2,498,555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106,083,141</w:t>
            </w: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Obligations of States and Political Subdivisions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1,469,753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431,331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4,142,748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5,612,501</w:t>
            </w: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4,092,910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86,409,480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11,320,021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106,047,158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15,412,931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192,456,638</w:t>
            </w:r>
          </w:p>
        </w:tc>
      </w:tr>
      <w:tr>
        <w:trPr>
          <w:trHeight w:val="249"/>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and other asset-backed securities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123,790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4,627,445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5,631,434</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22,003,452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5,755,224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26,630,897</w:t>
            </w:r>
          </w:p>
        </w:tc>
      </w:tr>
      <w:tr>
        <w:trPr>
          <w:trHeight w:val="257"/>
        </w:trPr>
        <w:tc>
          <w:tcPr>
            <w:tcW w:w="370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4,703,898</w:t>
            </w: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128,622,664</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19,549,601</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202,160,513</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24,253,499</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330,783,177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7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U.S. Treasury Securities And Obligations of U.S.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2,685,277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79,400,753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2,685,277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79,400,753</w:t>
            </w: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w w:val="98"/>
              </w:rPr>
              <w:t>Obligations of States and Political Subdivisions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378,067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5,467,910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80,070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458,137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5,896,930</w:t>
            </w: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10,935,114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162,995,969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995,659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5,781,822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11,930,773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168,777,791</w:t>
            </w:r>
          </w:p>
        </w:tc>
      </w:tr>
      <w:tr>
        <w:trPr>
          <w:trHeight w:val="236"/>
        </w:trPr>
        <w:tc>
          <w:tcPr>
            <w:tcW w:w="3700" w:type="dxa"/>
            <w:vAlign w:val="bottom"/>
            <w:gridSpan w:val="3"/>
          </w:tcPr>
          <w:p>
            <w:pPr>
              <w:spacing w:after="0"/>
              <w:rPr>
                <w:sz w:val="20"/>
                <w:szCs w:val="20"/>
                <w:color w:val="auto"/>
              </w:rPr>
            </w:pPr>
            <w:r>
              <w:rPr>
                <w:rFonts w:ascii="Arial" w:cs="Arial" w:eastAsia="Arial" w:hAnsi="Arial"/>
                <w:sz w:val="18"/>
                <w:szCs w:val="18"/>
                <w:color w:val="auto"/>
              </w:rPr>
              <w:t>Mortgage and other asset-backed securities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2,884,731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19,909,907</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1,215,943</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6,978,745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4,100,674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26,888,652</w:t>
            </w:r>
          </w:p>
        </w:tc>
      </w:tr>
      <w:tr>
        <w:trPr>
          <w:trHeight w:val="230"/>
        </w:trPr>
        <w:tc>
          <w:tcPr>
            <w:tcW w:w="3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16,883,189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267,774,539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2,291,672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13,189,587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19,174,861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280,964,126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Relevant holdings were comprised of 816 securities with fair values aggregating 93.2% of the aggregate amortized cost as of September 30, 2023. Relevant holdings were comprised of 703 securities with fair values aggregating 93.1% of the aggregate amortized cost as of December 31, 2022. Credit loss provision (release) of $(1,741) and nil have been recognized for the three month periods ended September 30, 2023 and 2022, respectively. Credit loss provision (release) of $222,264 and nil have been recognized for the nine month periods ended September 30, 2023 and 2022, respectively. Credit losses are included in gains (losses) on investments and other assets on the condensed consolidated statements of earnings. Other unrealized losses for which no credit loss was recognized are primarily the result of the recent increases in interest rates.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98.2% and 97.7% of its fixed maturity securities rated investment grade as of September 30, 2023 and December 31, 2022,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credit quality, by NAIC designation, of the Company’s fixed maturity securities available for sale, excluding redeemable preferred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jc w:val="right"/>
              <w:ind w:right="1200"/>
              <w:spacing w:after="0"/>
              <w:rPr>
                <w:sz w:val="20"/>
                <w:szCs w:val="20"/>
                <w:color w:val="auto"/>
              </w:rPr>
            </w:pPr>
            <w:r>
              <w:rPr>
                <w:rFonts w:ascii="Arial" w:cs="Arial" w:eastAsia="Arial" w:hAnsi="Arial"/>
                <w:sz w:val="18"/>
                <w:szCs w:val="18"/>
                <w:color w:val="auto"/>
              </w:rPr>
              <w:t>September 30, 2023</w:t>
            </w:r>
          </w:p>
        </w:tc>
        <w:tc>
          <w:tcPr>
            <w:tcW w:w="220" w:type="dxa"/>
            <w:vAlign w:val="bottom"/>
          </w:tcPr>
          <w:p>
            <w:pPr>
              <w:spacing w:after="0"/>
              <w:rPr>
                <w:sz w:val="20"/>
                <w:szCs w:val="20"/>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8"/>
                <w:szCs w:val="18"/>
                <w:color w:val="auto"/>
              </w:rPr>
              <w:t>December 31, 2022</w:t>
            </w:r>
          </w:p>
        </w:tc>
      </w:tr>
      <w:tr>
        <w:trPr>
          <w:trHeight w:val="202"/>
        </w:trPr>
        <w:tc>
          <w:tcPr>
            <w:tcW w:w="20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NAIC</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540"/>
              <w:spacing w:after="0" w:line="201" w:lineRule="exact"/>
              <w:rPr>
                <w:sz w:val="20"/>
                <w:szCs w:val="20"/>
                <w:color w:val="auto"/>
              </w:rPr>
            </w:pPr>
            <w:r>
              <w:rPr>
                <w:rFonts w:ascii="Arial" w:cs="Arial" w:eastAsia="Arial" w:hAnsi="Arial"/>
                <w:sz w:val="18"/>
                <w:szCs w:val="18"/>
                <w:color w:val="auto"/>
                <w:w w:val="93"/>
              </w:rPr>
              <w:t>Amortized</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4"/>
              </w:rPr>
              <w:t>Estimated Fair</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660"/>
              <w:spacing w:after="0" w:line="201" w:lineRule="exact"/>
              <w:rPr>
                <w:sz w:val="20"/>
                <w:szCs w:val="20"/>
                <w:color w:val="auto"/>
              </w:rPr>
            </w:pPr>
            <w:r>
              <w:rPr>
                <w:rFonts w:ascii="Arial" w:cs="Arial" w:eastAsia="Arial" w:hAnsi="Arial"/>
                <w:sz w:val="18"/>
                <w:szCs w:val="18"/>
                <w:color w:val="auto"/>
              </w:rPr>
              <w:t>Amortized</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3"/>
              </w:rPr>
              <w:t>Estimated Fair</w:t>
            </w:r>
          </w:p>
        </w:tc>
        <w:tc>
          <w:tcPr>
            <w:tcW w:w="80" w:type="dxa"/>
            <w:vAlign w:val="bottom"/>
          </w:tcPr>
          <w:p>
            <w:pPr>
              <w:spacing w:after="0"/>
              <w:rPr>
                <w:sz w:val="17"/>
                <w:szCs w:val="17"/>
                <w:color w:val="auto"/>
              </w:rPr>
            </w:pPr>
          </w:p>
        </w:tc>
      </w:tr>
      <w:tr>
        <w:trPr>
          <w:trHeight w:val="237"/>
        </w:trPr>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Designation</w:t>
            </w:r>
          </w:p>
        </w:tc>
        <w:tc>
          <w:tcPr>
            <w:tcW w:w="24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20"/>
                <w:szCs w:val="20"/>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Value</w:t>
            </w: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210,224,246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198,601,878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197,753,818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189,691,540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162,752,957</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151,279,566</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156,261,804</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148,073,873</w:t>
            </w: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5,329,117</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4,890,504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7,080,305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6,635,786</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1,462,481</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1,325,409</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1,377,541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1,157,454</w:t>
            </w: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263,504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90,901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25,736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39,155</w:t>
            </w:r>
          </w:p>
        </w:tc>
      </w:tr>
      <w:tr>
        <w:trPr>
          <w:trHeight w:val="237"/>
        </w:trPr>
        <w:tc>
          <w:tcPr>
            <w:tcW w:w="18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1,257</w:t>
            </w:r>
          </w:p>
        </w:tc>
        <w:tc>
          <w:tcPr>
            <w:tcW w:w="14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r>
      <w:tr>
        <w:trPr>
          <w:trHeight w:val="229"/>
        </w:trPr>
        <w:tc>
          <w:tcPr>
            <w:tcW w:w="2000" w:type="dxa"/>
            <w:vAlign w:val="bottom"/>
            <w:tcBorders>
              <w:top w:val="single" w:sz="8" w:color="CCEEFF"/>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380,033,562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356,188,259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362,500,511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345,598,492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a roll forward of the Company’s allowance for credit losses on fixed maturity securities available for sale:</w:t>
      </w:r>
    </w:p>
    <w:p>
      <w:pPr>
        <w:spacing w:after="0" w:line="2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Nine Months Ended September 30, 2023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December 31, 2022</w:t>
      </w:r>
    </w:p>
    <w:p>
      <w:pPr>
        <w:spacing w:after="0" w:line="225"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Additions for credit losses not previously recorded Change in allowance on securities with previous allowance</w:t>
      </w:r>
    </w:p>
    <w:p>
      <w:pPr>
        <w:spacing w:after="0" w:line="3" w:lineRule="exact"/>
        <w:rPr>
          <w:sz w:val="20"/>
          <w:szCs w:val="20"/>
          <w:color w:val="auto"/>
        </w:rPr>
      </w:pPr>
    </w:p>
    <w:p>
      <w:pPr>
        <w:ind w:left="180" w:right="80"/>
        <w:spacing w:after="0" w:line="250" w:lineRule="auto"/>
        <w:rPr>
          <w:sz w:val="20"/>
          <w:szCs w:val="20"/>
          <w:color w:val="auto"/>
        </w:rPr>
      </w:pPr>
      <w:r>
        <w:rPr>
          <w:rFonts w:ascii="Arial" w:cs="Arial" w:eastAsia="Arial" w:hAnsi="Arial"/>
          <w:sz w:val="18"/>
          <w:szCs w:val="18"/>
          <w:color w:val="auto"/>
        </w:rPr>
        <w:t>Reductions for securities sold during the period Reductions for securities with credit losses due to intent to sell</w:t>
      </w:r>
    </w:p>
    <w:p>
      <w:pPr>
        <w:spacing w:after="0" w:line="1" w:lineRule="exact"/>
        <w:rPr>
          <w:sz w:val="20"/>
          <w:szCs w:val="20"/>
          <w:color w:val="auto"/>
        </w:rPr>
      </w:pPr>
    </w:p>
    <w:p>
      <w:pPr>
        <w:ind w:left="180" w:right="400"/>
        <w:spacing w:after="0" w:line="323" w:lineRule="auto"/>
        <w:rPr>
          <w:sz w:val="20"/>
          <w:szCs w:val="20"/>
          <w:color w:val="auto"/>
        </w:rPr>
      </w:pPr>
      <w:r>
        <w:rPr>
          <w:rFonts w:ascii="Arial" w:cs="Arial" w:eastAsia="Arial" w:hAnsi="Arial"/>
          <w:sz w:val="16"/>
          <w:szCs w:val="16"/>
          <w:color w:val="auto"/>
        </w:rPr>
        <w:t>Write-offs charged against the allowance Recoveries of amounts previously written off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September 30, 2023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 Treasury</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Securities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Obligations of</w:t>
            </w: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0"/>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Agencies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subdivisions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securities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32"/>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179,500</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179,500</w:t>
            </w:r>
          </w:p>
        </w:tc>
        <w:tc>
          <w:tcPr>
            <w:tcW w:w="60" w:type="dxa"/>
            <w:vAlign w:val="bottom"/>
          </w:tcPr>
          <w:p>
            <w:pPr>
              <w:spacing w:after="0"/>
              <w:rPr>
                <w:sz w:val="24"/>
                <w:szCs w:val="24"/>
                <w:color w:val="auto"/>
              </w:rPr>
            </w:pPr>
          </w:p>
        </w:tc>
      </w:tr>
      <w:tr>
        <w:trPr>
          <w:trHeight w:val="418"/>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42,764</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42,764</w:t>
            </w:r>
          </w:p>
        </w:tc>
      </w:tr>
      <w:tr>
        <w:trPr>
          <w:trHeight w:val="230"/>
        </w:trPr>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(10,764)</w:t>
            </w:r>
          </w:p>
        </w:tc>
      </w:tr>
      <w:tr>
        <w:trPr>
          <w:trHeight w:val="418"/>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30"/>
        </w:trPr>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6"/>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211,500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211,500</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-2005330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-1731010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-1319530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-908050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-616585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840" w:space="340"/>
            <w:col w:w="7060"/>
          </w:cols>
          <w:pgMar w:left="320" w:top="692" w:right="339" w:bottom="1440" w:gutter="0" w:footer="0" w:header="0"/>
          <w:type w:val="continuous"/>
        </w:sectPr>
      </w:pPr>
    </w:p>
    <w:bookmarkStart w:id="19" w:name="page20"/>
    <w:bookmarkEnd w:id="19"/>
    <w:p>
      <w:pPr>
        <w:ind w:left="270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30, 2023 (Unaudited)</w:t>
      </w:r>
    </w:p>
    <w:p>
      <w:pPr>
        <w:spacing w:after="0" w:line="211"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9"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Three Months Ended September 30, 2023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June 30, 2023</w:t>
      </w:r>
    </w:p>
    <w:p>
      <w:pPr>
        <w:spacing w:after="0" w:line="225"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Additions for credit losses not previously recorded Change in allowance on securities with previous allowance</w:t>
      </w:r>
    </w:p>
    <w:p>
      <w:pPr>
        <w:spacing w:after="0" w:line="3" w:lineRule="exact"/>
        <w:rPr>
          <w:sz w:val="20"/>
          <w:szCs w:val="20"/>
          <w:color w:val="auto"/>
        </w:rPr>
      </w:pPr>
    </w:p>
    <w:p>
      <w:pPr>
        <w:ind w:left="180" w:right="80"/>
        <w:spacing w:after="0" w:line="250" w:lineRule="auto"/>
        <w:rPr>
          <w:sz w:val="20"/>
          <w:szCs w:val="20"/>
          <w:color w:val="auto"/>
        </w:rPr>
      </w:pPr>
      <w:r>
        <w:rPr>
          <w:rFonts w:ascii="Arial" w:cs="Arial" w:eastAsia="Arial" w:hAnsi="Arial"/>
          <w:sz w:val="18"/>
          <w:szCs w:val="18"/>
          <w:color w:val="auto"/>
        </w:rPr>
        <w:t>Reductions for securities sold during the period Reductions for securities with credit losses due to intent to sell</w:t>
      </w:r>
    </w:p>
    <w:p>
      <w:pPr>
        <w:spacing w:after="0" w:line="1" w:lineRule="exact"/>
        <w:rPr>
          <w:sz w:val="20"/>
          <w:szCs w:val="20"/>
          <w:color w:val="auto"/>
        </w:rPr>
      </w:pPr>
    </w:p>
    <w:p>
      <w:pPr>
        <w:ind w:left="180" w:right="400"/>
        <w:spacing w:after="0" w:line="323" w:lineRule="auto"/>
        <w:rPr>
          <w:sz w:val="20"/>
          <w:szCs w:val="20"/>
          <w:color w:val="auto"/>
        </w:rPr>
      </w:pPr>
      <w:r>
        <w:rPr>
          <w:rFonts w:ascii="Arial" w:cs="Arial" w:eastAsia="Arial" w:hAnsi="Arial"/>
          <w:sz w:val="16"/>
          <w:szCs w:val="16"/>
          <w:color w:val="auto"/>
        </w:rPr>
        <w:t>Write-offs charged against the allowance Recoveries of amounts previously written off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September 30, 2023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 Treasury</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Securities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Obligations of</w:t>
            </w: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0"/>
              </w:rPr>
              <w:t>Government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Agencies</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subdivisions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securities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32"/>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224,005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224,005</w:t>
            </w:r>
          </w:p>
        </w:tc>
        <w:tc>
          <w:tcPr>
            <w:tcW w:w="6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18"/>
        </w:trPr>
        <w:tc>
          <w:tcPr>
            <w:tcW w:w="10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(10,764)</w:t>
            </w:r>
          </w:p>
        </w:tc>
      </w:tr>
      <w:tr>
        <w:trPr>
          <w:trHeight w:val="418"/>
        </w:trPr>
        <w:tc>
          <w:tcPr>
            <w:tcW w:w="10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29"/>
        </w:trPr>
        <w:tc>
          <w:tcPr>
            <w:tcW w:w="106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6"/>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211,500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211,500</w:t>
            </w:r>
          </w:p>
        </w:tc>
        <w:tc>
          <w:tcPr>
            <w:tcW w:w="60" w:type="dxa"/>
            <w:vAlign w:val="bottom"/>
          </w:tcPr>
          <w:p>
            <w:pPr>
              <w:spacing w:after="0"/>
              <w:rPr>
                <w:sz w:val="24"/>
                <w:szCs w:val="24"/>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-1731010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-1456690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-1045210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-633730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-342265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340"/>
            <w:col w:w="7060"/>
          </w:cols>
          <w:pgMar w:left="320" w:top="692" w:right="339" w:bottom="1440" w:gutter="0" w:footer="0" w:header="0"/>
          <w:type w:val="continuous"/>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a roll forward of the Company’s cumulative other than temporary credit impairments (“OTTI”) recognized in earnings on fixed maturity securities available for sale which was required to be presented prior to the adoption of ASU 2016-13:</w:t>
      </w:r>
    </w:p>
    <w:p>
      <w:pPr>
        <w:sectPr>
          <w:pgSz w:w="11900" w:h="16838" w:orient="portrait"/>
          <w:cols w:equalWidth="0" w:num="1">
            <w:col w:w="11240"/>
          </w:cols>
          <w:pgMar w:left="320" w:top="692"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498919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not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previously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Securities that matured or were sold during the period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891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due to an increase in expected cash flows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2022</w:t>
      </w:r>
    </w:p>
    <w:p>
      <w:pPr>
        <w:spacing w:after="0" w:line="36" w:lineRule="exact"/>
        <w:rPr>
          <w:sz w:val="20"/>
          <w:szCs w:val="20"/>
          <w:color w:val="auto"/>
        </w:rPr>
      </w:pPr>
    </w:p>
    <w:p>
      <w:pPr>
        <w:ind w:left="780" w:hanging="77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264,977</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ind w:right="3380"/>
        <w:spacing w:after="0"/>
        <w:rPr>
          <w:sz w:val="20"/>
          <w:szCs w:val="20"/>
          <w:color w:val="auto"/>
        </w:rPr>
      </w:pPr>
      <w:r>
        <w:rPr>
          <w:rFonts w:ascii="Arial" w:cs="Arial" w:eastAsia="Arial" w:hAnsi="Arial"/>
          <w:sz w:val="18"/>
          <w:szCs w:val="18"/>
          <w:color w:val="auto"/>
        </w:rPr>
        <w:t>(39,502)</w:t>
      </w:r>
    </w:p>
    <w:p>
      <w:pPr>
        <w:spacing w:after="0" w:line="23" w:lineRule="exact"/>
        <w:rPr>
          <w:sz w:val="20"/>
          <w:szCs w:val="20"/>
          <w:color w:val="auto"/>
        </w:rPr>
      </w:pPr>
    </w:p>
    <w:p>
      <w:pPr>
        <w:jc w:val="right"/>
        <w:ind w:right="344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780" w:hanging="773"/>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225,475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857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692" w:right="339" w:bottom="1440" w:gutter="0" w:footer="0" w:header="0"/>
          <w:type w:val="continuous"/>
        </w:sectPr>
      </w:pP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amortized cost and the estimated fair value of fixed maturity securities available for sale as of September 30, 2023, by contractual maturity. Actual or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3"/>
              </w:rPr>
              <w:t>Estimated Fair</w:t>
            </w:r>
          </w:p>
        </w:tc>
        <w:tc>
          <w:tcPr>
            <w:tcW w:w="4500" w:type="dxa"/>
            <w:vAlign w:val="bottom"/>
          </w:tcPr>
          <w:p>
            <w:pPr>
              <w:spacing w:after="0"/>
              <w:rPr>
                <w:sz w:val="18"/>
                <w:szCs w:val="18"/>
                <w:color w:val="auto"/>
              </w:rPr>
            </w:pPr>
          </w:p>
        </w:tc>
      </w:tr>
      <w:tr>
        <w:trPr>
          <w:trHeight w:val="237"/>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Value</w:t>
            </w:r>
          </w:p>
        </w:tc>
        <w:tc>
          <w:tcPr>
            <w:tcW w:w="450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6,818,008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6,812,398</w:t>
            </w:r>
          </w:p>
        </w:tc>
        <w:tc>
          <w:tcPr>
            <w:tcW w:w="450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2-5 years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160,874,392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155,802,499</w:t>
            </w:r>
          </w:p>
        </w:tc>
        <w:tc>
          <w:tcPr>
            <w:tcW w:w="45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93,763,663</w:t>
            </w: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88,297,470</w:t>
            </w:r>
          </w:p>
        </w:tc>
        <w:tc>
          <w:tcPr>
            <w:tcW w:w="450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85,688,206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78,128,401</w:t>
            </w:r>
          </w:p>
        </w:tc>
        <w:tc>
          <w:tcPr>
            <w:tcW w:w="45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32,889,293</w:t>
            </w: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27,147,491</w:t>
            </w:r>
          </w:p>
        </w:tc>
        <w:tc>
          <w:tcPr>
            <w:tcW w:w="4500" w:type="dxa"/>
            <w:vAlign w:val="bottom"/>
          </w:tcPr>
          <w:p>
            <w:pPr>
              <w:spacing w:after="0"/>
              <w:rPr>
                <w:sz w:val="18"/>
                <w:szCs w:val="18"/>
                <w:color w:val="auto"/>
              </w:rPr>
            </w:pPr>
          </w:p>
        </w:tc>
      </w:tr>
      <w:tr>
        <w:trPr>
          <w:trHeight w:val="236"/>
        </w:trPr>
        <w:tc>
          <w:tcPr>
            <w:tcW w:w="366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260,000</w:t>
            </w:r>
          </w:p>
        </w:tc>
        <w:tc>
          <w:tcPr>
            <w:tcW w:w="4500" w:type="dxa"/>
            <w:vAlign w:val="bottom"/>
          </w:tcPr>
          <w:p>
            <w:pPr>
              <w:spacing w:after="0"/>
              <w:rPr>
                <w:sz w:val="20"/>
                <w:szCs w:val="20"/>
                <w:color w:val="auto"/>
              </w:rPr>
            </w:pPr>
          </w:p>
        </w:tc>
      </w:tr>
      <w:tr>
        <w:trPr>
          <w:trHeight w:val="229"/>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380,283,562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356,448,259</w:t>
            </w:r>
          </w:p>
        </w:tc>
        <w:tc>
          <w:tcPr>
            <w:tcW w:w="45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0"/>
        </w:trPr>
        <w:tc>
          <w:tcPr>
            <w:tcW w:w="3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18</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20" w:name="page21"/>
    <w:bookmarkEnd w:id="2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member of the Federal Home Loan Bank of Des Moines and Dallas (“FHLB”). The Company had pledged a total of $92,437,113, at estimated fair value, of fixed maturity securities with the FHLB as of September 30, 2023. These pledged securities are used as collateral for any FHLB cash advances. As of September 30, 2023, the Company owed nil to the FHLB and its estimated maximum borrowing capacity was $85,218,402.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gridSpan w:val="8"/>
          </w:tcPr>
          <w:p>
            <w:pPr>
              <w:jc w:val="right"/>
              <w:ind w:right="12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jc w:val="right"/>
              <w:ind w:right="460"/>
              <w:spacing w:after="0"/>
              <w:rPr>
                <w:sz w:val="20"/>
                <w:szCs w:val="20"/>
                <w:color w:val="auto"/>
              </w:rPr>
            </w:pPr>
            <w:r>
              <w:rPr>
                <w:rFonts w:ascii="Arial" w:cs="Arial" w:eastAsia="Arial" w:hAnsi="Arial"/>
                <w:sz w:val="18"/>
                <w:szCs w:val="18"/>
                <w:color w:val="auto"/>
                <w:w w:val="96"/>
              </w:rPr>
              <w:t>Nine Months Ended September 30,</w:t>
            </w:r>
          </w:p>
        </w:tc>
      </w:tr>
      <w:tr>
        <w:trPr>
          <w:trHeight w:val="237"/>
        </w:trPr>
        <w:tc>
          <w:tcPr>
            <w:tcW w:w="24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207,522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1,198,240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1,163,132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1,886,891</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Gross realized gains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4"/>
          </w:tcPr>
          <w:p>
            <w:pPr>
              <w:jc w:val="right"/>
              <w:ind w:right="110"/>
              <w:spacing w:after="0"/>
              <w:rPr>
                <w:sz w:val="20"/>
                <w:szCs w:val="20"/>
                <w:color w:val="auto"/>
              </w:rPr>
            </w:pPr>
            <w:r>
              <w:rPr>
                <w:rFonts w:ascii="Arial" w:cs="Arial" w:eastAsia="Arial" w:hAnsi="Arial"/>
                <w:sz w:val="18"/>
                <w:szCs w:val="18"/>
                <w:color w:val="auto"/>
              </w:rPr>
              <w:t>21,926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11,257</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24,281</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(57,472)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(32,656)</w:t>
            </w:r>
          </w:p>
        </w:tc>
      </w:tr>
      <w:tr>
        <w:trPr>
          <w:trHeight w:val="418"/>
        </w:trPr>
        <w:tc>
          <w:tcPr>
            <w:tcW w:w="6920" w:type="dxa"/>
            <w:vAlign w:val="bottom"/>
            <w:gridSpan w:val="14"/>
          </w:tcPr>
          <w:p>
            <w:pPr>
              <w:spacing w:after="0"/>
              <w:rPr>
                <w:sz w:val="20"/>
                <w:szCs w:val="20"/>
                <w:color w:val="auto"/>
              </w:rPr>
            </w:pPr>
            <w:r>
              <w:rPr>
                <w:rFonts w:ascii="Arial" w:cs="Arial" w:eastAsia="Arial" w:hAnsi="Arial"/>
                <w:sz w:val="18"/>
                <w:szCs w:val="18"/>
                <w:color w:val="auto"/>
                <w:w w:val="92"/>
              </w:rPr>
              <w:t>Assets on deposit with life insurance regulatory authorities as required by law were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As of</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ind w:right="132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8"/>
                <w:szCs w:val="18"/>
                <w:color w:val="auto"/>
                <w:w w:val="86"/>
              </w:rPr>
              <w:t>September 30,</w:t>
            </w:r>
          </w:p>
        </w:tc>
        <w:tc>
          <w:tcPr>
            <w:tcW w:w="260" w:type="dxa"/>
            <w:vAlign w:val="bottom"/>
          </w:tcPr>
          <w:p>
            <w:pPr>
              <w:spacing w:after="0"/>
              <w:rPr>
                <w:sz w:val="18"/>
                <w:szCs w:val="18"/>
                <w:color w:val="auto"/>
              </w:rPr>
            </w:pPr>
          </w:p>
        </w:tc>
        <w:tc>
          <w:tcPr>
            <w:tcW w:w="2120" w:type="dxa"/>
            <w:vAlign w:val="bottom"/>
            <w:gridSpan w:val="6"/>
          </w:tcPr>
          <w:p>
            <w:pPr>
              <w:jc w:val="center"/>
              <w:ind w:right="980"/>
              <w:spacing w:after="0"/>
              <w:rPr>
                <w:sz w:val="20"/>
                <w:szCs w:val="20"/>
                <w:color w:val="auto"/>
              </w:rPr>
            </w:pPr>
            <w:r>
              <w:rPr>
                <w:rFonts w:ascii="Arial" w:cs="Arial" w:eastAsia="Arial" w:hAnsi="Arial"/>
                <w:sz w:val="18"/>
                <w:szCs w:val="18"/>
                <w:color w:val="auto"/>
                <w:w w:val="90"/>
              </w:rPr>
              <w:t>December 31,</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4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color w:val="auto"/>
                <w:w w:val="89"/>
              </w:rPr>
              <w:t>2022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6,248,114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8,817,959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1,956,777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2,214,206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11,032,165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investments, aggregated by issuer, of more than 10% of shareholders’ equity (before net unrealized gains and losses on equity securities and fixed maturity securities) as of September 30, 2023, other than investments issued or guaranteed by the United States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in regions expected to have high growth in employment and population and that provide operational efficiencies.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currently owns and operates nine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book value of commercial real estate serving as collateral for bank loans was $125,641,402 and $129,330,119 as of September 30, 2023, and December 31, 2022, respectively. The associated bank loan carrying values totaled $98,250,725 and $97,112,131 as of September 30, 2023, and December 31, 2022,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 periods ended September 30, 2023, and 2022,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three month periods ended September 30, 2023, and 2022, the Company recorded depreciation expense on commercial real estate held for investment of $1,572,494 and $1,604,195, respectively, and of $4,715,322 and $4,593,468 during the nine month periods ended September 30, 2023, and 2022,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580"/>
              <w:spacing w:after="0"/>
              <w:rPr>
                <w:sz w:val="20"/>
                <w:szCs w:val="20"/>
                <w:color w:val="auto"/>
              </w:rPr>
            </w:pPr>
            <w:r>
              <w:rPr>
                <w:rFonts w:ascii="Arial" w:cs="Arial" w:eastAsia="Arial" w:hAnsi="Arial"/>
                <w:sz w:val="18"/>
                <w:szCs w:val="18"/>
                <w:color w:val="auto"/>
              </w:rPr>
              <w:t>Net Book Value</w:t>
            </w:r>
          </w:p>
        </w:tc>
        <w:tc>
          <w:tcPr>
            <w:tcW w:w="80" w:type="dxa"/>
            <w:vAlign w:val="bottom"/>
          </w:tcPr>
          <w:p>
            <w:pPr>
              <w:spacing w:after="0"/>
              <w:rPr>
                <w:sz w:val="20"/>
                <w:szCs w:val="20"/>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8"/>
                <w:szCs w:val="18"/>
                <w:color w:val="auto"/>
              </w:rPr>
              <w:t>Total Square Footage</w:t>
            </w:r>
          </w:p>
        </w:tc>
      </w:tr>
      <w:tr>
        <w:trPr>
          <w:trHeight w:val="202"/>
        </w:trPr>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240"/>
              <w:spacing w:after="0" w:line="201" w:lineRule="exact"/>
              <w:rPr>
                <w:sz w:val="20"/>
                <w:szCs w:val="20"/>
                <w:color w:val="auto"/>
              </w:rPr>
            </w:pPr>
            <w:r>
              <w:rPr>
                <w:rFonts w:ascii="Arial" w:cs="Arial" w:eastAsia="Arial" w:hAnsi="Arial"/>
                <w:sz w:val="18"/>
                <w:szCs w:val="18"/>
                <w:color w:val="auto"/>
                <w:w w:val="89"/>
              </w:rPr>
              <w:t>September 30,</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0"/>
              <w:spacing w:after="0" w:line="201" w:lineRule="exact"/>
              <w:rPr>
                <w:sz w:val="20"/>
                <w:szCs w:val="20"/>
                <w:color w:val="auto"/>
              </w:rPr>
            </w:pPr>
            <w:r>
              <w:rPr>
                <w:rFonts w:ascii="Arial" w:cs="Arial" w:eastAsia="Arial" w:hAnsi="Arial"/>
                <w:sz w:val="18"/>
                <w:szCs w:val="18"/>
                <w:color w:val="auto"/>
                <w:w w:val="93"/>
              </w:rPr>
              <w:t>December 31,</w:t>
            </w:r>
          </w:p>
        </w:tc>
        <w:tc>
          <w:tcPr>
            <w:tcW w:w="260" w:type="dxa"/>
            <w:vAlign w:val="bottom"/>
          </w:tcPr>
          <w:p>
            <w:pPr>
              <w:spacing w:after="0"/>
              <w:rPr>
                <w:sz w:val="17"/>
                <w:szCs w:val="17"/>
                <w:color w:val="auto"/>
              </w:rPr>
            </w:pPr>
          </w:p>
        </w:tc>
        <w:tc>
          <w:tcPr>
            <w:tcW w:w="1400" w:type="dxa"/>
            <w:vAlign w:val="bottom"/>
            <w:tcBorders>
              <w:top w:val="single" w:sz="8" w:color="auto"/>
            </w:tcBorders>
            <w:gridSpan w:val="3"/>
          </w:tcPr>
          <w:p>
            <w:pPr>
              <w:jc w:val="right"/>
              <w:ind w:right="340"/>
              <w:spacing w:after="0" w:line="201" w:lineRule="exact"/>
              <w:rPr>
                <w:sz w:val="20"/>
                <w:szCs w:val="20"/>
                <w:color w:val="auto"/>
              </w:rPr>
            </w:pPr>
            <w:r>
              <w:rPr>
                <w:rFonts w:ascii="Arial" w:cs="Arial" w:eastAsia="Arial" w:hAnsi="Arial"/>
                <w:sz w:val="18"/>
                <w:szCs w:val="18"/>
                <w:color w:val="auto"/>
                <w:w w:val="88"/>
              </w:rPr>
              <w:t>September 30,</w:t>
            </w:r>
          </w:p>
        </w:tc>
        <w:tc>
          <w:tcPr>
            <w:tcW w:w="1140" w:type="dxa"/>
            <w:vAlign w:val="bottom"/>
            <w:tcBorders>
              <w:top w:val="single" w:sz="8" w:color="auto"/>
            </w:tcBorders>
            <w:gridSpan w:val="2"/>
          </w:tcPr>
          <w:p>
            <w:pPr>
              <w:jc w:val="right"/>
              <w:ind w:right="80"/>
              <w:spacing w:after="0" w:line="201" w:lineRule="exact"/>
              <w:rPr>
                <w:sz w:val="20"/>
                <w:szCs w:val="20"/>
                <w:color w:val="auto"/>
              </w:rPr>
            </w:pPr>
            <w:r>
              <w:rPr>
                <w:rFonts w:ascii="Arial" w:cs="Arial" w:eastAsia="Arial" w:hAnsi="Arial"/>
                <w:sz w:val="18"/>
                <w:szCs w:val="18"/>
                <w:color w:val="auto"/>
                <w:w w:val="91"/>
              </w:rPr>
              <w:t>December 31,</w:t>
            </w:r>
          </w:p>
        </w:tc>
        <w:tc>
          <w:tcPr>
            <w:tcW w:w="80" w:type="dxa"/>
            <w:vAlign w:val="bottom"/>
          </w:tcPr>
          <w:p>
            <w:pPr>
              <w:spacing w:after="0"/>
              <w:rPr>
                <w:sz w:val="17"/>
                <w:szCs w:val="17"/>
                <w:color w:val="auto"/>
              </w:rPr>
            </w:pPr>
          </w:p>
        </w:tc>
      </w:tr>
      <w:tr>
        <w:trPr>
          <w:trHeight w:val="237"/>
        </w:trPr>
        <w:tc>
          <w:tcPr>
            <w:tcW w:w="12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Utah (1)</w:t>
            </w: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143,735,609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147,627,946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8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Louisiana</w:t>
            </w: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19,416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2,380,847</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1,622</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31,778</w:t>
            </w:r>
          </w:p>
        </w:tc>
      </w:tr>
      <w:tr>
        <w:trPr>
          <w:trHeight w:val="23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1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2,901,441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2,881,863</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19,694</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19,694</w:t>
            </w:r>
          </w:p>
        </w:tc>
      </w:tr>
      <w:tr>
        <w:trPr>
          <w:trHeight w:val="243"/>
        </w:trPr>
        <w:tc>
          <w:tcPr>
            <w:tcW w:w="120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3"/>
        </w:trPr>
        <w:tc>
          <w:tcPr>
            <w:tcW w:w="120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146,656,466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152,890,656</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647,236</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677,392</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31"/>
        </w:trPr>
        <w:tc>
          <w:tcPr>
            <w:tcW w:w="1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0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8"/>
                <w:szCs w:val="18"/>
                <w:color w:val="auto"/>
              </w:rPr>
              <w:t>(1)</w:t>
            </w:r>
          </w:p>
        </w:tc>
        <w:tc>
          <w:tcPr>
            <w:tcW w:w="2420" w:type="dxa"/>
            <w:vAlign w:val="bottom"/>
            <w:gridSpan w:val="3"/>
          </w:tcPr>
          <w:p>
            <w:pPr>
              <w:jc w:val="right"/>
              <w:ind w:right="658"/>
              <w:spacing w:after="0"/>
              <w:rPr>
                <w:sz w:val="20"/>
                <w:szCs w:val="20"/>
                <w:color w:val="auto"/>
              </w:rPr>
            </w:pPr>
            <w:r>
              <w:rPr>
                <w:rFonts w:ascii="Arial" w:cs="Arial" w:eastAsia="Arial" w:hAnsi="Arial"/>
                <w:sz w:val="18"/>
                <w:szCs w:val="18"/>
                <w:color w:val="auto"/>
              </w:rPr>
              <w:t>Includes Center53</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ind w:left="520"/>
              <w:spacing w:after="0"/>
              <w:rPr>
                <w:sz w:val="20"/>
                <w:szCs w:val="20"/>
                <w:color w:val="auto"/>
              </w:rPr>
            </w:pPr>
            <w:r>
              <w:rPr>
                <w:rFonts w:ascii="Arial" w:cs="Arial" w:eastAsia="Arial" w:hAnsi="Arial"/>
                <w:sz w:val="18"/>
                <w:szCs w:val="18"/>
                <w:color w:val="auto"/>
              </w:rPr>
              <w:t>Net Book Value</w:t>
            </w:r>
          </w:p>
        </w:tc>
        <w:tc>
          <w:tcPr>
            <w:tcW w:w="2620" w:type="dxa"/>
            <w:vAlign w:val="bottom"/>
            <w:gridSpan w:val="5"/>
          </w:tcPr>
          <w:p>
            <w:pPr>
              <w:ind w:left="500"/>
              <w:spacing w:after="0"/>
              <w:rPr>
                <w:sz w:val="20"/>
                <w:szCs w:val="20"/>
                <w:color w:val="auto"/>
              </w:rPr>
            </w:pPr>
            <w:r>
              <w:rPr>
                <w:rFonts w:ascii="Arial" w:cs="Arial" w:eastAsia="Arial" w:hAnsi="Arial"/>
                <w:sz w:val="18"/>
                <w:szCs w:val="18"/>
                <w:color w:val="auto"/>
              </w:rPr>
              <w:t>Total Square Footage</w:t>
            </w:r>
          </w:p>
        </w:tc>
      </w:tr>
      <w:tr>
        <w:trPr>
          <w:trHeight w:val="202"/>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w w:val="89"/>
              </w:rPr>
              <w:t>September 30,</w:t>
            </w:r>
          </w:p>
        </w:tc>
        <w:tc>
          <w:tcPr>
            <w:tcW w:w="1200" w:type="dxa"/>
            <w:vAlign w:val="bottom"/>
            <w:tcBorders>
              <w:top w:val="single" w:sz="8" w:color="auto"/>
            </w:tcBorders>
            <w:gridSpan w:val="2"/>
          </w:tcPr>
          <w:p>
            <w:pPr>
              <w:jc w:val="right"/>
              <w:ind w:right="30"/>
              <w:spacing w:after="0" w:line="201" w:lineRule="exact"/>
              <w:rPr>
                <w:sz w:val="20"/>
                <w:szCs w:val="20"/>
                <w:color w:val="auto"/>
              </w:rPr>
            </w:pPr>
            <w:r>
              <w:rPr>
                <w:rFonts w:ascii="Arial" w:cs="Arial" w:eastAsia="Arial" w:hAnsi="Arial"/>
                <w:sz w:val="18"/>
                <w:szCs w:val="18"/>
                <w:color w:val="auto"/>
                <w:w w:val="93"/>
              </w:rPr>
              <w:t>December 31,</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8"/>
              </w:rPr>
              <w:t>September 30,</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80" w:type="dxa"/>
            <w:vAlign w:val="bottom"/>
            <w:gridSpan w:val="2"/>
          </w:tcPr>
          <w:p>
            <w:pPr>
              <w:spacing w:after="0"/>
              <w:rPr>
                <w:sz w:val="17"/>
                <w:szCs w:val="17"/>
                <w:color w:val="auto"/>
              </w:rPr>
            </w:pPr>
          </w:p>
        </w:tc>
      </w:tr>
      <w:tr>
        <w:trPr>
          <w:trHeight w:val="237"/>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2,327,107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Mississippi (1)</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151,553</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151,553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2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2,478,660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151,553</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8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4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approximately 93 acres of undeveloped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properties are being marketed with the assistance of commercial real estate brokers in Mississippi and 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occasionally acquires a small portfolio of residential homes primarily because of loan foreclosures. The Company has the option to sell these properties or to continue to hold them for expected cash flow and price appreciation. The Company also invests in residential subdivision development.</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 periods ended September 30, 2023, and 2022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 periods ended September 30, 2023, and 2022, the Company recorded depreciation expense on residential real estate held for investment of $2,648 and $2,648, respectively, and of $7,944 and $7,944 during the nine month periods ended September 30, 2023, and 2022,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7"/>
          </w:tcPr>
          <w:p>
            <w:pPr>
              <w:ind w:left="820"/>
              <w:spacing w:after="0"/>
              <w:rPr>
                <w:sz w:val="20"/>
                <w:szCs w:val="20"/>
                <w:color w:val="auto"/>
              </w:rPr>
            </w:pPr>
            <w:r>
              <w:rPr>
                <w:rFonts w:ascii="Arial" w:cs="Arial" w:eastAsia="Arial" w:hAnsi="Arial"/>
                <w:sz w:val="18"/>
                <w:szCs w:val="18"/>
                <w:color w:val="auto"/>
              </w:rPr>
              <w:t>Net Book Value</w:t>
            </w:r>
          </w:p>
        </w:tc>
      </w:tr>
      <w:tr>
        <w:trPr>
          <w:trHeight w:val="202"/>
        </w:trPr>
        <w:tc>
          <w:tcPr>
            <w:tcW w:w="2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w w:val="91"/>
              </w:rPr>
              <w:t>December 31,</w:t>
            </w:r>
          </w:p>
        </w:tc>
        <w:tc>
          <w:tcPr>
            <w:tcW w:w="40" w:type="dxa"/>
            <w:vAlign w:val="bottom"/>
            <w:gridSpan w:val="2"/>
          </w:tcPr>
          <w:p>
            <w:pPr>
              <w:spacing w:after="0"/>
              <w:rPr>
                <w:sz w:val="17"/>
                <w:szCs w:val="17"/>
                <w:color w:val="auto"/>
              </w:rPr>
            </w:pPr>
          </w:p>
        </w:tc>
      </w:tr>
      <w:tr>
        <w:trPr>
          <w:trHeight w:val="237"/>
        </w:trPr>
        <w:tc>
          <w:tcPr>
            <w:tcW w:w="28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236"/>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Utah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38,034,997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38,437,960</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17"/>
        </w:trPr>
        <w:tc>
          <w:tcPr>
            <w:tcW w:w="2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38,034,997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38,437,960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82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42"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residential subdivision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the Company’s residential subdivision development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September 30,</w:t>
            </w: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7"/>
        </w:trPr>
        <w:tc>
          <w:tcPr>
            <w:tcW w:w="28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Lots developed</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Lots to be developed</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37,846,685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38,241,705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40" w:type="dxa"/>
            <w:vAlign w:val="bottom"/>
            <w:gridSpan w:val="5"/>
          </w:tcPr>
          <w:p>
            <w:pPr>
              <w:ind w:left="320"/>
              <w:spacing w:after="0"/>
              <w:rPr>
                <w:sz w:val="20"/>
                <w:szCs w:val="20"/>
                <w:color w:val="auto"/>
              </w:rPr>
            </w:pPr>
            <w:r>
              <w:rPr>
                <w:rFonts w:ascii="Arial" w:cs="Arial" w:eastAsia="Arial" w:hAnsi="Arial"/>
                <w:sz w:val="18"/>
                <w:szCs w:val="18"/>
                <w:color w:val="auto"/>
              </w:rPr>
              <w:t>Net Book Value</w:t>
            </w:r>
          </w:p>
        </w:tc>
      </w:tr>
      <w:tr>
        <w:trPr>
          <w:trHeight w:val="202"/>
        </w:trPr>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Borders>
              <w:top w:val="single" w:sz="8" w:color="auto"/>
            </w:tcBorders>
            <w:gridSpan w:val="3"/>
          </w:tcPr>
          <w:p>
            <w:pPr>
              <w:jc w:val="right"/>
              <w:ind w:right="470"/>
              <w:spacing w:after="0" w:line="201" w:lineRule="exact"/>
              <w:rPr>
                <w:sz w:val="20"/>
                <w:szCs w:val="20"/>
                <w:color w:val="auto"/>
              </w:rPr>
            </w:pPr>
            <w:r>
              <w:rPr>
                <w:rFonts w:ascii="Arial" w:cs="Arial" w:eastAsia="Arial" w:hAnsi="Arial"/>
                <w:sz w:val="18"/>
                <w:szCs w:val="18"/>
                <w:color w:val="auto"/>
                <w:w w:val="99"/>
              </w:rPr>
              <w:t>September 30,</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w w:val="91"/>
              </w:rPr>
              <w:t>December 31,</w:t>
            </w:r>
          </w:p>
        </w:tc>
        <w:tc>
          <w:tcPr>
            <w:tcW w:w="4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940" w:type="dxa"/>
            <w:vAlign w:val="bottom"/>
            <w:gridSpan w:val="4"/>
          </w:tcPr>
          <w:p>
            <w:pPr>
              <w:jc w:val="right"/>
              <w:ind w:right="45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r>
      <w:tr>
        <w:trPr>
          <w:trHeight w:val="236"/>
        </w:trPr>
        <w:tc>
          <w:tcPr>
            <w:tcW w:w="1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2,285,707</w:t>
            </w:r>
          </w:p>
        </w:tc>
        <w:tc>
          <w:tcPr>
            <w:tcW w:w="3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1"/>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11,010,029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2,285,707</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11,010,029</w:t>
            </w:r>
          </w:p>
        </w:tc>
        <w:tc>
          <w:tcPr>
            <w:tcW w:w="4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10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3"/>
        </w:trPr>
        <w:tc>
          <w:tcPr>
            <w:tcW w:w="1000" w:type="dxa"/>
            <w:vAlign w:val="bottom"/>
          </w:tcPr>
          <w:p>
            <w:pPr>
              <w:spacing w:after="0"/>
              <w:rPr>
                <w:sz w:val="20"/>
                <w:szCs w:val="20"/>
                <w:color w:val="auto"/>
              </w:rPr>
            </w:pPr>
            <w:r>
              <w:rPr>
                <w:rFonts w:ascii="Arial" w:cs="Arial" w:eastAsia="Arial" w:hAnsi="Arial"/>
                <w:sz w:val="18"/>
                <w:szCs w:val="18"/>
                <w:color w:val="auto"/>
              </w:rPr>
              <w:t>(1)</w:t>
            </w:r>
          </w:p>
        </w:tc>
        <w:tc>
          <w:tcPr>
            <w:tcW w:w="3200" w:type="dxa"/>
            <w:vAlign w:val="bottom"/>
            <w:gridSpan w:val="3"/>
          </w:tcPr>
          <w:p>
            <w:pPr>
              <w:jc w:val="right"/>
              <w:ind w:right="1216"/>
              <w:spacing w:after="0"/>
              <w:rPr>
                <w:sz w:val="20"/>
                <w:szCs w:val="20"/>
                <w:color w:val="auto"/>
              </w:rPr>
            </w:pPr>
            <w:r>
              <w:rPr>
                <w:rFonts w:ascii="Arial" w:cs="Arial" w:eastAsia="Arial" w:hAnsi="Arial"/>
                <w:sz w:val="18"/>
                <w:szCs w:val="18"/>
                <w:color w:val="auto"/>
              </w:rPr>
              <w:t>Unimproved land</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book value of foreclosed residential real estate included in residential real estate held for sale was nil and $11,010,029 as of September 30, 2023, and December 31,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As of September 30, 2023, real estate owned and occupied by the Company is summarized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Approximate Square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Occupied by the</w:t>
            </w:r>
          </w:p>
        </w:tc>
      </w:tr>
      <w:tr>
        <w:trPr>
          <w:trHeight w:val="237"/>
        </w:trPr>
        <w:tc>
          <w:tcPr>
            <w:tcW w:w="362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Business Segment</w:t>
            </w: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Footage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Company</w:t>
            </w:r>
          </w:p>
        </w:tc>
      </w:tr>
      <w:tr>
        <w:trPr>
          <w:trHeight w:val="202"/>
        </w:trPr>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433</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Ascension Way, Floors 4, 5 and 6, Salt Lake</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Cemetery/Mortuary Operations, and Mortgage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UT - Center53 Building 2 (1)</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Operations and Sales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221,000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1044</w:t>
            </w:r>
          </w:p>
        </w:tc>
        <w:tc>
          <w:tcPr>
            <w:tcW w:w="3220" w:type="dxa"/>
            <w:vAlign w:val="bottom"/>
          </w:tcPr>
          <w:p>
            <w:pPr>
              <w:ind w:left="20"/>
              <w:spacing w:after="0"/>
              <w:rPr>
                <w:sz w:val="20"/>
                <w:szCs w:val="20"/>
                <w:color w:val="auto"/>
              </w:rPr>
            </w:pPr>
            <w:r>
              <w:rPr>
                <w:rFonts w:ascii="Arial" w:cs="Arial" w:eastAsia="Arial" w:hAnsi="Arial"/>
                <w:sz w:val="18"/>
                <w:szCs w:val="18"/>
                <w:color w:val="auto"/>
              </w:rPr>
              <w:t>River Oaks Dr., Flowood, MS (1)</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Life Insurance Operations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19,694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1818</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Marshall Street, Shreveport, LA (2)</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Life Insurance Operations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909</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Foisy Street, Alexandria, LA (2)</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8,059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812</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Sheppard Street, Minden, LA (2)</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1550</w:t>
            </w:r>
          </w:p>
        </w:tc>
        <w:tc>
          <w:tcPr>
            <w:tcW w:w="3220" w:type="dxa"/>
            <w:vAlign w:val="bottom"/>
          </w:tcPr>
          <w:p>
            <w:pPr>
              <w:ind w:left="20"/>
              <w:spacing w:after="0"/>
              <w:rPr>
                <w:sz w:val="20"/>
                <w:szCs w:val="20"/>
                <w:color w:val="auto"/>
              </w:rPr>
            </w:pPr>
            <w:r>
              <w:rPr>
                <w:rFonts w:ascii="Arial" w:cs="Arial" w:eastAsia="Arial" w:hAnsi="Arial"/>
                <w:sz w:val="18"/>
                <w:szCs w:val="18"/>
                <w:color w:val="auto"/>
              </w:rPr>
              <w:t>N 3rd Street, Jena, LA (2)</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1,737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real estate held for investment on the condensed consolidated balance sheets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property and equipment on the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September 30, 2023, the Company had 45%, 12%, 9%, 7% and 6%, of its mortgage loans from borrowers located in the states of Utah, Florida, California, Texas, and Arizona, respectively. As of December 31, 2022, the Company had 64%, 10%, 5% and 5% of its mortgage loans from borrowers located in the states of Utah, Florida, California, and Texas, respectively.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$249,000 and $226,000 as of September 30, 2023, and December 31, 2022,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are evaluated for credit loss by analyzing loan attributes that are predictors for future credit losses. The Company uses a combination of the debt service coverage ratio (“DSCR”) and loan to value (“LTV”) to group similar loans. The Company applies a future loss factor to the outstanding balance of each group to arrive at the allowance for credit loss.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uses a third-party to provide a monthly analysis of its residential portfolio for credit losses. The third party uses the Company’s current loan data and runs it through various models to project cash flows and provide a projected life of loan loss. The models consider loan features such as loan type, loan to value, payment status, age, and current property values. The Company also considers historical delinquency rates and current unemployment trends.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construction (including land acquisition and development)</w:t>
      </w:r>
      <w:r>
        <w:rPr>
          <w:rFonts w:ascii="Arial" w:cs="Arial" w:eastAsia="Arial" w:hAnsi="Arial"/>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the allowance for credit losses on residential construction mortgage loans, the Company considers historical activity and housing market trends. Given the continued volatility in the housing market, the Company has adjusted its credit loss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Total</w:t>
            </w:r>
          </w:p>
        </w:tc>
      </w:tr>
      <w:tr>
        <w:trPr>
          <w:trHeight w:val="196"/>
        </w:trPr>
        <w:tc>
          <w:tcPr>
            <w:tcW w:w="146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September 30, 2023</w:t>
            </w:r>
          </w:p>
        </w:tc>
        <w:tc>
          <w:tcPr>
            <w:tcW w:w="27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418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187,129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1,739,980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43,202</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1,970,311</w:t>
            </w:r>
          </w:p>
        </w:tc>
        <w:tc>
          <w:tcPr>
            <w:tcW w:w="80" w:type="dxa"/>
            <w:vAlign w:val="bottom"/>
            <w:shd w:val="clear" w:color="auto" w:fill="CCEEFF"/>
          </w:tcPr>
          <w:p>
            <w:pPr>
              <w:spacing w:after="0"/>
              <w:rPr>
                <w:sz w:val="18"/>
                <w:szCs w:val="18"/>
                <w:color w:val="auto"/>
              </w:rPr>
            </w:pPr>
          </w:p>
        </w:tc>
      </w:tr>
      <w:tr>
        <w:trPr>
          <w:trHeight w:val="202"/>
        </w:trPr>
        <w:tc>
          <w:tcPr>
            <w:tcW w:w="418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7"/>
              </w:rPr>
              <w:t>Cumulative effect adjustment upon adoption of new</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180" w:type="dxa"/>
            <w:vAlign w:val="bottom"/>
            <w:gridSpan w:val="4"/>
          </w:tcPr>
          <w:p>
            <w:pPr>
              <w:ind w:left="180"/>
              <w:spacing w:after="0"/>
              <w:rPr>
                <w:sz w:val="20"/>
                <w:szCs w:val="20"/>
                <w:color w:val="auto"/>
              </w:rPr>
            </w:pPr>
            <w:r>
              <w:rPr>
                <w:rFonts w:ascii="Arial" w:cs="Arial" w:eastAsia="Arial" w:hAnsi="Arial"/>
                <w:sz w:val="18"/>
                <w:szCs w:val="18"/>
                <w:color w:val="auto"/>
              </w:rPr>
              <w:t>accounting standard (ASU 2016-13)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555,807</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(192,607)</w:t>
            </w:r>
          </w:p>
        </w:tc>
        <w:tc>
          <w:tcPr>
            <w:tcW w:w="18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301,830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665,030</w:t>
            </w:r>
          </w:p>
        </w:tc>
        <w:tc>
          <w:tcPr>
            <w:tcW w:w="80" w:type="dxa"/>
            <w:vAlign w:val="bottom"/>
          </w:tcPr>
          <w:p>
            <w:pPr>
              <w:spacing w:after="0"/>
              <w:rPr>
                <w:sz w:val="20"/>
                <w:szCs w:val="20"/>
                <w:color w:val="auto"/>
              </w:rPr>
            </w:pPr>
          </w:p>
        </w:tc>
      </w:tr>
      <w:tr>
        <w:trPr>
          <w:trHeight w:val="216"/>
        </w:trPr>
        <w:tc>
          <w:tcPr>
            <w:tcW w:w="4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 (2)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67,246</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52,797</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(22,397)</w:t>
            </w:r>
          </w:p>
        </w:tc>
      </w:tr>
      <w:tr>
        <w:trPr>
          <w:trHeight w:val="237"/>
        </w:trPr>
        <w:tc>
          <w:tcPr>
            <w:tcW w:w="4180" w:type="dxa"/>
            <w:vAlign w:val="bottom"/>
            <w:gridSpan w:val="4"/>
          </w:tcPr>
          <w:p>
            <w:pPr>
              <w:ind w:left="18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9"/>
        </w:trPr>
        <w:tc>
          <w:tcPr>
            <w:tcW w:w="4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Ending balance - September 30, 2023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810,182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1,600,170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2,612,944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December 31, 2022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18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 January 1, 2022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187,129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1,469,571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43,202</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1,699,902</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gridSpan w:val="4"/>
          </w:tcPr>
          <w:p>
            <w:pPr>
              <w:ind w:left="180"/>
              <w:spacing w:after="0"/>
              <w:rPr>
                <w:sz w:val="20"/>
                <w:szCs w:val="20"/>
                <w:color w:val="auto"/>
              </w:rPr>
            </w:pPr>
            <w:r>
              <w:rPr>
                <w:rFonts w:ascii="Arial" w:cs="Arial" w:eastAsia="Arial" w:hAnsi="Arial"/>
                <w:sz w:val="18"/>
                <w:szCs w:val="18"/>
                <w:color w:val="auto"/>
              </w:rPr>
              <w:t>Change in provision for credit losses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270,409</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270,409</w:t>
            </w:r>
          </w:p>
        </w:tc>
        <w:tc>
          <w:tcPr>
            <w:tcW w:w="80" w:type="dxa"/>
            <w:vAlign w:val="bottom"/>
          </w:tcPr>
          <w:p>
            <w:pPr>
              <w:spacing w:after="0"/>
              <w:rPr>
                <w:sz w:val="18"/>
                <w:szCs w:val="18"/>
                <w:color w:val="auto"/>
              </w:rPr>
            </w:pPr>
          </w:p>
        </w:tc>
      </w:tr>
      <w:tr>
        <w:trPr>
          <w:trHeight w:val="250"/>
        </w:trPr>
        <w:tc>
          <w:tcPr>
            <w:tcW w:w="4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1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Ending balance - December 31, 2022</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1,739,980</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1,970,311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42"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2 of the notes to the condensed consolidated financial statements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other expenses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r>
      <w:tr>
        <w:trPr>
          <w:trHeight w:val="196"/>
        </w:trPr>
        <w:tc>
          <w:tcPr>
            <w:tcW w:w="146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September 30, 2023</w:t>
            </w:r>
          </w:p>
        </w:tc>
        <w:tc>
          <w:tcPr>
            <w:tcW w:w="22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30-59 days past due</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3,139,403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3,816,822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805,766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7,761,991</w:t>
            </w:r>
          </w:p>
        </w:tc>
      </w:tr>
      <w:tr>
        <w:trPr>
          <w:trHeight w:val="216"/>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60-89 days past due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1,795,326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1,795,326</w:t>
            </w:r>
          </w:p>
        </w:tc>
      </w:tr>
      <w:tr>
        <w:trPr>
          <w:trHeight w:val="216"/>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Over 90 days past due (1)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1,646,508</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3,778,582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1,005,417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6,430,507</w:t>
            </w:r>
          </w:p>
        </w:tc>
      </w:tr>
      <w:tr>
        <w:trPr>
          <w:trHeight w:val="250"/>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 process of foreclosure (1)</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276,580</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276,580</w:t>
            </w:r>
          </w:p>
        </w:tc>
      </w:tr>
      <w:tr>
        <w:trPr>
          <w:trHeight w:val="210"/>
        </w:trPr>
        <w:tc>
          <w:tcPr>
            <w:tcW w:w="3660" w:type="dxa"/>
            <w:vAlign w:val="bottom"/>
            <w:tcBorders>
              <w:top w:val="single" w:sz="8" w:color="CCEEFF"/>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Total past due</w:t>
            </w:r>
          </w:p>
        </w:tc>
        <w:tc>
          <w:tcPr>
            <w:tcW w:w="6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4,785,911</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9,667,310</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1,811,183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16,264,404</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3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51,205,116</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86,924,333</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99,484,568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237,614,017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3660" w:type="dxa"/>
            <w:vAlign w:val="bottom"/>
            <w:tcBorders>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Total mortgage loans</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55,991,027</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96,591,643</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101,295,751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253,878,421</w:t>
            </w:r>
          </w:p>
        </w:tc>
        <w:tc>
          <w:tcPr>
            <w:tcW w:w="100" w:type="dxa"/>
            <w:vAlign w:val="bottom"/>
            <w:tcBorders>
              <w:bottom w:val="single" w:sz="8" w:color="CCEEFF"/>
            </w:tcBorders>
          </w:tcPr>
          <w:p>
            <w:pPr>
              <w:spacing w:after="0"/>
              <w:rPr>
                <w:sz w:val="18"/>
                <w:szCs w:val="18"/>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(810,182)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(2,612,944)</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Unamortized deferred loan fees,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(145,572)</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(1,129,517)</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(354,457)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(1,629,546)</w:t>
            </w:r>
          </w:p>
        </w:tc>
      </w:tr>
      <w:tr>
        <w:trPr>
          <w:trHeight w:val="249"/>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Unamortized discounts, net</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(220,276)</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(108,557)</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(328,833)</w:t>
            </w:r>
          </w:p>
        </w:tc>
      </w:tr>
      <w:tr>
        <w:trPr>
          <w:trHeight w:val="257"/>
        </w:trPr>
        <w:tc>
          <w:tcPr>
            <w:tcW w:w="366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Net mortgage loans held for investment</w:t>
            </w:r>
          </w:p>
        </w:tc>
        <w:tc>
          <w:tcPr>
            <w:tcW w:w="6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54,814,997</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93,753,399</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100,738,702</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249,307,098</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6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2022</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30-59 days past due</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3,553,390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4,553,390</w:t>
            </w:r>
          </w:p>
        </w:tc>
      </w:tr>
      <w:tr>
        <w:trPr>
          <w:trHeight w:val="216"/>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60-89 days past due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814,184</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814,184</w:t>
            </w:r>
          </w:p>
        </w:tc>
      </w:tr>
      <w:tr>
        <w:trPr>
          <w:trHeight w:val="216"/>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Over 90 days past due (1)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1,286,211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1,286,211</w:t>
            </w:r>
          </w:p>
        </w:tc>
      </w:tr>
      <w:tr>
        <w:trPr>
          <w:trHeight w:val="237"/>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In process of foreclosure (1)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405,000</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876,174</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1,281,174</w:t>
            </w:r>
          </w:p>
        </w:tc>
      </w:tr>
      <w:tr>
        <w:trPr>
          <w:trHeight w:val="236"/>
        </w:trPr>
        <w:tc>
          <w:tcPr>
            <w:tcW w:w="366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past due</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6,529,959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7,934,959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660" w:type="dxa"/>
            <w:vAlign w:val="bottom"/>
            <w:tcBorders>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Current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44,906,955</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86,825,664</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172,516,125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304,248,744</w:t>
            </w:r>
          </w:p>
        </w:tc>
        <w:tc>
          <w:tcPr>
            <w:tcW w:w="100" w:type="dxa"/>
            <w:vAlign w:val="bottom"/>
            <w:tcBorders>
              <w:bottom w:val="single" w:sz="8" w:color="CCEEFF"/>
            </w:tcBorders>
          </w:tcPr>
          <w:p>
            <w:pPr>
              <w:spacing w:after="0"/>
              <w:rPr>
                <w:sz w:val="18"/>
                <w:szCs w:val="18"/>
                <w:color w:val="auto"/>
              </w:rPr>
            </w:pPr>
          </w:p>
        </w:tc>
      </w:tr>
      <w:tr>
        <w:trPr>
          <w:trHeight w:val="236"/>
        </w:trPr>
        <w:tc>
          <w:tcPr>
            <w:tcW w:w="3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mortgage loans</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46,311,955</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93,355,623</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172,516,125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312,183,703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366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Allowance for credit losses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(187,129)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(1,739,980)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(43,202)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(1,970,311)</w:t>
            </w:r>
          </w:p>
        </w:tc>
        <w:tc>
          <w:tcPr>
            <w:tcW w:w="100" w:type="dxa"/>
            <w:vAlign w:val="bottom"/>
          </w:tcPr>
          <w:p>
            <w:pPr>
              <w:spacing w:after="0"/>
              <w:rPr>
                <w:sz w:val="17"/>
                <w:szCs w:val="17"/>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Unamortized deferred loan fees,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(199,765)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(1,212,994)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(1,746,605)</w:t>
            </w:r>
          </w:p>
        </w:tc>
      </w:tr>
      <w:tr>
        <w:trPr>
          <w:trHeight w:val="237"/>
        </w:trPr>
        <w:tc>
          <w:tcPr>
            <w:tcW w:w="3660" w:type="dxa"/>
            <w:vAlign w:val="bottom"/>
            <w:gridSpan w:val="3"/>
          </w:tcPr>
          <w:p>
            <w:pPr>
              <w:ind w:left="180"/>
              <w:spacing w:after="0"/>
              <w:rPr>
                <w:sz w:val="20"/>
                <w:szCs w:val="20"/>
                <w:color w:val="auto"/>
              </w:rPr>
            </w:pPr>
            <w:r>
              <w:rPr>
                <w:rFonts w:ascii="Arial" w:cs="Arial" w:eastAsia="Arial" w:hAnsi="Arial"/>
                <w:sz w:val="18"/>
                <w:szCs w:val="18"/>
                <w:color w:val="auto"/>
              </w:rPr>
              <w:t>Unamortized discounts, net</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(230,987)</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(111,873)</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(342,860)</w:t>
            </w:r>
          </w:p>
        </w:tc>
      </w:tr>
      <w:tr>
        <w:trPr>
          <w:trHeight w:val="229"/>
        </w:trPr>
        <w:tc>
          <w:tcPr>
            <w:tcW w:w="366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mortgage loans held for investment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45,694,074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90,290,776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172,139,077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308,123,927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3840" w:hanging="5532"/>
        <w:spacing w:after="0" w:line="527" w:lineRule="auto"/>
        <w:tabs>
          <w:tab w:leader="none" w:pos="3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is not recognized on loans which are more than 90 days past due or in foreclosure.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right="9260" w:firstLine="8"/>
        <w:spacing w:after="0" w:line="563" w:lineRule="auto"/>
        <w:tabs>
          <w:tab w:leader="none" w:pos="19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Credit Quality Indicators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aggregate unpaid principal balance of commercial mortgage loans by credit quality indicator and origination year was as follows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 of</w:t>
            </w:r>
          </w:p>
        </w:tc>
      </w:tr>
      <w:tr>
        <w:trPr>
          <w:trHeight w:val="237"/>
        </w:trPr>
        <w:tc>
          <w:tcPr>
            <w:tcW w:w="2420" w:type="dxa"/>
            <w:vAlign w:val="bottom"/>
            <w:gridSpan w:val="4"/>
          </w:tcPr>
          <w:p>
            <w:pPr>
              <w:ind w:left="260"/>
              <w:spacing w:after="0"/>
              <w:rPr>
                <w:sz w:val="20"/>
                <w:szCs w:val="20"/>
                <w:color w:val="auto"/>
              </w:rPr>
            </w:pPr>
            <w:r>
              <w:rPr>
                <w:rFonts w:ascii="Arial" w:cs="Arial" w:eastAsia="Arial" w:hAnsi="Arial"/>
                <w:sz w:val="18"/>
                <w:szCs w:val="18"/>
                <w:color w:val="auto"/>
              </w:rPr>
              <w:t>Credit Quality Indicator</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Total</w:t>
            </w:r>
          </w:p>
        </w:tc>
      </w:tr>
      <w:tr>
        <w:trPr>
          <w:trHeight w:val="196"/>
        </w:trPr>
        <w:tc>
          <w:tcPr>
            <w:tcW w:w="3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LTV:</w:t>
            </w:r>
          </w:p>
        </w:tc>
        <w:tc>
          <w:tcPr>
            <w:tcW w:w="18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rPr>
              <w:t>Less than 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17,525,000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13,396,458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$ 3,800,378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$ 2,989,026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$ 6,796,621</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$ 44,507,483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79.49%</w:t>
            </w:r>
          </w:p>
        </w:tc>
      </w:tr>
      <w:tr>
        <w:trPr>
          <w:trHeight w:val="21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65% to 80%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4,585,706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10,549,019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rPr>
              <w:t>Greater than 80%</w:t>
            </w: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529,525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405,000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934,525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2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17,525,000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18,511,689</w:t>
            </w: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$ 5,255,378</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4,913,313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$ 2,989,026</w:t>
            </w: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$ 6,796,621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55,991,027</w:t>
            </w: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197"/>
        </w:trPr>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6"/>
        </w:trPr>
        <w:tc>
          <w:tcPr>
            <w:tcW w:w="2420" w:type="dxa"/>
            <w:vAlign w:val="bottom"/>
            <w:gridSpan w:val="4"/>
          </w:tcPr>
          <w:p>
            <w:pPr>
              <w:spacing w:after="0" w:line="176" w:lineRule="exact"/>
              <w:rPr>
                <w:sz w:val="20"/>
                <w:szCs w:val="20"/>
                <w:color w:val="auto"/>
              </w:rPr>
            </w:pPr>
            <w:r>
              <w:rPr>
                <w:rFonts w:ascii="Arial" w:cs="Arial" w:eastAsia="Arial" w:hAnsi="Arial"/>
                <w:sz w:val="18"/>
                <w:szCs w:val="18"/>
                <w:color w:val="auto"/>
              </w:rPr>
              <w:t>DSCR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&gt;1.20x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5,725,000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1,000,000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$ 1,750,000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$ 2,989,026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$ 2,754,604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$ 19,131,943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w:t>
            </w: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rPr>
              <w:t>1.00x - 1.20x</w:t>
            </w: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5,300,000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8,496,130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3,505,378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4,042,017</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21,343,525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38.12%</w:t>
            </w:r>
          </w:p>
        </w:tc>
      </w:tr>
      <w:tr>
        <w:trPr>
          <w:trHeight w:val="21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&lt;1.00x</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6,500,000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9,015,559(1)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15,515,559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36"/>
        </w:trPr>
        <w:tc>
          <w:tcPr>
            <w:tcW w:w="3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30"/>
        </w:trPr>
        <w:tc>
          <w:tcPr>
            <w:tcW w:w="2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17,525,000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18,511,689</w:t>
            </w: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$ 5,255,378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4,913,313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$ 2,989,026</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$ 6,796,621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55,991,027</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42" w:lineRule="exact"/>
        <w:rPr>
          <w:sz w:val="20"/>
          <w:szCs w:val="20"/>
          <w:color w:val="auto"/>
        </w:rPr>
      </w:pPr>
    </w:p>
    <w:p>
      <w:pPr>
        <w:ind w:left="1000" w:hanging="992"/>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construction loan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mortgage loans by analyzing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unpaid principal balance of residential mortgage loans by credit quality indicator and origination year was as follows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 of</w:t>
            </w:r>
          </w:p>
        </w:tc>
      </w:tr>
      <w:tr>
        <w:trPr>
          <w:trHeight w:val="237"/>
        </w:trPr>
        <w:tc>
          <w:tcPr>
            <w:tcW w:w="2520" w:type="dxa"/>
            <w:vAlign w:val="bottom"/>
            <w:gridSpan w:val="3"/>
          </w:tcPr>
          <w:p>
            <w:pPr>
              <w:ind w:left="320"/>
              <w:spacing w:after="0"/>
              <w:rPr>
                <w:sz w:val="20"/>
                <w:szCs w:val="20"/>
                <w:color w:val="auto"/>
              </w:rPr>
            </w:pPr>
            <w:r>
              <w:rPr>
                <w:rFonts w:ascii="Arial" w:cs="Arial" w:eastAsia="Arial" w:hAnsi="Arial"/>
                <w:sz w:val="18"/>
                <w:szCs w:val="18"/>
                <w:color w:val="auto"/>
              </w:rPr>
              <w:t>Credit Quality Indicator</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Total</w:t>
            </w:r>
          </w:p>
        </w:tc>
      </w:tr>
      <w:tr>
        <w:trPr>
          <w:trHeight w:val="196"/>
        </w:trPr>
        <w:tc>
          <w:tcPr>
            <w:tcW w:w="23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Performing</w:t>
            </w:r>
          </w:p>
        </w:tc>
        <w:tc>
          <w:tcPr>
            <w:tcW w:w="780" w:type="dxa"/>
            <w:vAlign w:val="bottom"/>
            <w:tcBorders>
              <w:top w:val="single" w:sz="8" w:color="CCEEFF"/>
            </w:tcBorders>
            <w:gridSpan w:val="2"/>
          </w:tcPr>
          <w:p>
            <w:pPr>
              <w:spacing w:after="0"/>
              <w:rPr>
                <w:sz w:val="18"/>
                <w:szCs w:val="18"/>
                <w:color w:val="auto"/>
              </w:rPr>
            </w:pPr>
          </w:p>
        </w:tc>
        <w:tc>
          <w:tcPr>
            <w:tcW w:w="96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w w:val="86"/>
              </w:rPr>
              <w:t>$ 7,788,450</w:t>
            </w:r>
          </w:p>
        </w:tc>
        <w:tc>
          <w:tcPr>
            <w:tcW w:w="1300" w:type="dxa"/>
            <w:vAlign w:val="bottom"/>
            <w:tcBorders>
              <w:top w:val="single" w:sz="8" w:color="CCEEFF"/>
            </w:tcBorders>
            <w:gridSpan w:val="3"/>
          </w:tcPr>
          <w:p>
            <w:pPr>
              <w:jc w:val="right"/>
              <w:ind w:right="240"/>
              <w:spacing w:after="0"/>
              <w:rPr>
                <w:sz w:val="20"/>
                <w:szCs w:val="20"/>
                <w:color w:val="auto"/>
              </w:rPr>
            </w:pPr>
            <w:r>
              <w:rPr>
                <w:rFonts w:ascii="Arial" w:cs="Arial" w:eastAsia="Arial" w:hAnsi="Arial"/>
                <w:sz w:val="18"/>
                <w:szCs w:val="18"/>
                <w:color w:val="auto"/>
                <w:w w:val="98"/>
              </w:rPr>
              <w:t>$ 55,306,009</w:t>
            </w:r>
          </w:p>
        </w:tc>
        <w:tc>
          <w:tcPr>
            <w:tcW w:w="9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86"/>
              </w:rPr>
              <w:t>$ 7,249,701</w:t>
            </w:r>
          </w:p>
        </w:tc>
        <w:tc>
          <w:tcPr>
            <w:tcW w:w="122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w w:val="98"/>
              </w:rPr>
              <w:t>$ 7,495,836</w:t>
            </w: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86"/>
              </w:rPr>
              <w:t>$ 2,808,390</w:t>
            </w:r>
          </w:p>
        </w:tc>
        <w:tc>
          <w:tcPr>
            <w:tcW w:w="118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w w:val="97"/>
              </w:rPr>
              <w:t>$ 11,888,093</w:t>
            </w:r>
          </w:p>
        </w:tc>
        <w:tc>
          <w:tcPr>
            <w:tcW w:w="132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w w:val="98"/>
              </w:rPr>
              <w:t>$ 92,536,479</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95.80%</w:t>
            </w:r>
          </w:p>
        </w:tc>
      </w:tr>
      <w:tr>
        <w:trPr>
          <w:trHeight w:val="216"/>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 (1)</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324,111</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838,669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741,534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800,486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1,350,364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4,055,164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6"/>
        </w:trPr>
        <w:tc>
          <w:tcPr>
            <w:tcW w:w="17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30"/>
        </w:trPr>
        <w:tc>
          <w:tcPr>
            <w:tcW w:w="2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$ 8,112,561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56,144,678</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$ 7,991,235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$ 8,296,322</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$ 2,808,390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13,238,457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96,591,643</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42" w:lineRule="exact"/>
        <w:rPr>
          <w:sz w:val="20"/>
          <w:szCs w:val="20"/>
          <w:color w:val="auto"/>
        </w:rPr>
      </w:pPr>
    </w:p>
    <w:p>
      <w:pPr>
        <w:ind w:left="5540" w:right="3500" w:hanging="5532"/>
        <w:spacing w:after="0" w:line="527"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residential mortgage loans in the process of foreclosure of $276,580 as of September 30, 2023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residential construction mortgage loans by credit quality indicator and origination year was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0" w:type="dxa"/>
            <w:vAlign w:val="bottom"/>
          </w:tcPr>
          <w:p>
            <w:pPr>
              <w:spacing w:after="0"/>
              <w:rPr>
                <w:sz w:val="20"/>
                <w:szCs w:val="20"/>
                <w:color w:val="auto"/>
              </w:rPr>
            </w:pPr>
          </w:p>
        </w:tc>
        <w:tc>
          <w:tcPr>
            <w:tcW w:w="3160" w:type="dxa"/>
            <w:vAlign w:val="bottom"/>
            <w:gridSpan w:val="2"/>
          </w:tcPr>
          <w:p>
            <w:pPr>
              <w:ind w:left="540"/>
              <w:spacing w:after="0"/>
              <w:rPr>
                <w:sz w:val="20"/>
                <w:szCs w:val="20"/>
                <w:color w:val="auto"/>
              </w:rPr>
            </w:pPr>
            <w:r>
              <w:rPr>
                <w:rFonts w:ascii="Arial" w:cs="Arial" w:eastAsia="Arial" w:hAnsi="Arial"/>
                <w:sz w:val="18"/>
                <w:szCs w:val="18"/>
                <w:color w:val="auto"/>
              </w:rPr>
              <w:t>Credit Quality Indicator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of Total</w:t>
            </w:r>
          </w:p>
        </w:tc>
      </w:tr>
      <w:tr>
        <w:trPr>
          <w:trHeight w:val="196"/>
        </w:trPr>
        <w:tc>
          <w:tcPr>
            <w:tcW w:w="354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Performance Indicators: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Performing</w:t>
            </w:r>
          </w:p>
        </w:tc>
        <w:tc>
          <w:tcPr>
            <w:tcW w:w="18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95"/>
              </w:rPr>
              <w:t>48,525,276</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27,213,555</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93"/>
              </w:rPr>
              <w:t>24,551,503</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87"/>
              </w:rPr>
              <w:t>100,290,334</w:t>
            </w:r>
          </w:p>
        </w:tc>
        <w:tc>
          <w:tcPr>
            <w:tcW w:w="11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99.01%</w:t>
            </w:r>
          </w:p>
        </w:tc>
      </w:tr>
      <w:tr>
        <w:trPr>
          <w:trHeight w:val="237"/>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1,005,417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1,005,417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48,525,276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28,218,972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24,551,503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101,295,751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LTV:</w:t>
            </w:r>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Less than 65%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29,476,916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8,675,281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17,117,181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55,269,378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54.56%</w:t>
            </w: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65% to 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19,048,360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19,543,691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7,434,322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46,026,373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37"/>
        </w:trPr>
        <w:tc>
          <w:tcPr>
            <w:tcW w:w="3540" w:type="dxa"/>
            <w:vAlign w:val="bottom"/>
            <w:gridSpan w:val="3"/>
          </w:tcPr>
          <w:p>
            <w:pPr>
              <w:spacing w:after="0"/>
              <w:rPr>
                <w:sz w:val="20"/>
                <w:szCs w:val="20"/>
                <w:color w:val="auto"/>
              </w:rPr>
            </w:pPr>
            <w:r>
              <w:rPr>
                <w:rFonts w:ascii="Arial" w:cs="Arial" w:eastAsia="Arial" w:hAnsi="Arial"/>
                <w:sz w:val="18"/>
                <w:szCs w:val="18"/>
                <w:color w:val="auto"/>
              </w:rPr>
              <w:t>Greater than 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3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43"/>
        </w:trPr>
        <w:tc>
          <w:tcPr>
            <w:tcW w:w="3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48,525,276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28,218,972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24,551,503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101,295,751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Assignments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aging of insurance assignments, included in other investments and policy loans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gridSpan w:val="3"/>
          </w:tcPr>
          <w:p>
            <w:pPr>
              <w:jc w:val="right"/>
              <w:ind w:right="261"/>
              <w:spacing w:after="0"/>
              <w:rPr>
                <w:sz w:val="20"/>
                <w:szCs w:val="20"/>
                <w:color w:val="auto"/>
              </w:rPr>
            </w:pPr>
            <w:r>
              <w:rPr>
                <w:rFonts w:ascii="Arial" w:cs="Arial" w:eastAsia="Arial" w:hAnsi="Arial"/>
                <w:sz w:val="18"/>
                <w:szCs w:val="18"/>
                <w:color w:val="auto"/>
                <w:w w:val="92"/>
              </w:rPr>
              <w:t>As of September 30,</w:t>
            </w:r>
          </w:p>
        </w:tc>
        <w:tc>
          <w:tcPr>
            <w:tcW w:w="1720" w:type="dxa"/>
            <w:vAlign w:val="bottom"/>
            <w:gridSpan w:val="4"/>
          </w:tcPr>
          <w:p>
            <w:pPr>
              <w:jc w:val="right"/>
              <w:ind w:right="200"/>
              <w:spacing w:after="0"/>
              <w:rPr>
                <w:sz w:val="20"/>
                <w:szCs w:val="20"/>
                <w:color w:val="auto"/>
              </w:rPr>
            </w:pPr>
            <w:r>
              <w:rPr>
                <w:rFonts w:ascii="Arial" w:cs="Arial" w:eastAsia="Arial" w:hAnsi="Arial"/>
                <w:sz w:val="18"/>
                <w:szCs w:val="18"/>
                <w:color w:val="auto"/>
                <w:w w:val="94"/>
              </w:rPr>
              <w:t>As of December 31,</w:t>
            </w:r>
          </w:p>
        </w:tc>
      </w:tr>
      <w:tr>
        <w:trPr>
          <w:trHeight w:val="237"/>
        </w:trPr>
        <w:tc>
          <w:tcPr>
            <w:tcW w:w="31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30-59 days past due</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9,374,806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10,621,443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60-89 days past due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3,591,685</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3,997,484</w:t>
            </w:r>
          </w:p>
        </w:tc>
        <w:tc>
          <w:tcPr>
            <w:tcW w:w="40" w:type="dxa"/>
            <w:vAlign w:val="bottom"/>
          </w:tcPr>
          <w:p>
            <w:pPr>
              <w:spacing w:after="0"/>
              <w:rPr>
                <w:sz w:val="18"/>
                <w:szCs w:val="18"/>
                <w:color w:val="auto"/>
              </w:rPr>
            </w:pPr>
          </w:p>
        </w:tc>
      </w:tr>
      <w:tr>
        <w:trPr>
          <w:trHeight w:val="24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Over 90 days past due</w:t>
            </w: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4,611,748</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5,813,013</w:t>
            </w:r>
          </w:p>
        </w:tc>
        <w:tc>
          <w:tcPr>
            <w:tcW w:w="40" w:type="dxa"/>
            <w:vAlign w:val="bottom"/>
            <w:shd w:val="clear" w:color="auto" w:fill="CCEEFF"/>
          </w:tcPr>
          <w:p>
            <w:pPr>
              <w:spacing w:after="0"/>
              <w:rPr>
                <w:sz w:val="21"/>
                <w:szCs w:val="21"/>
                <w:color w:val="auto"/>
              </w:rPr>
            </w:pPr>
          </w:p>
        </w:tc>
      </w:tr>
      <w:tr>
        <w:trPr>
          <w:trHeight w:val="210"/>
        </w:trPr>
        <w:tc>
          <w:tcPr>
            <w:tcW w:w="3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past due</w:t>
            </w:r>
          </w:p>
        </w:tc>
        <w:tc>
          <w:tcPr>
            <w:tcW w:w="11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17,578,239</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20,431,941</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36"/>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25,045,762</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26,510,594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3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insurance assignments</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42,624,001</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46,942,536</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6"/>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(1,555,261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(1,609,951</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Net insurance assignments</w:t>
            </w:r>
          </w:p>
        </w:tc>
        <w:tc>
          <w:tcPr>
            <w:tcW w:w="1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41,068,740</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45,332,585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2 regarding the adoption of ASU 2016-13.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center"/>
        <w:ind w:left="2300" w:right="72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 forward of the allowance for credit losses for insurance assignments as of the dates indicated: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70039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Charge-offs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039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provision for credit losses (1)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Charge-offs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003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17830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(1)Included in other expenses on the condensed consolidated statements of earnings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546"/>
        <w:spacing w:after="0"/>
        <w:rPr>
          <w:sz w:val="20"/>
          <w:szCs w:val="20"/>
          <w:color w:val="auto"/>
        </w:rPr>
      </w:pPr>
      <w:r>
        <w:rPr>
          <w:rFonts w:ascii="Arial" w:cs="Arial" w:eastAsia="Arial" w:hAnsi="Arial"/>
          <w:sz w:val="18"/>
          <w:szCs w:val="18"/>
          <w:color w:val="auto"/>
        </w:rPr>
        <w:t>Allowance</w:t>
      </w:r>
    </w:p>
    <w:p>
      <w:pPr>
        <w:spacing w:after="0" w:line="36" w:lineRule="exact"/>
        <w:rPr>
          <w:sz w:val="20"/>
          <w:szCs w:val="20"/>
          <w:color w:val="auto"/>
        </w:rPr>
      </w:pPr>
    </w:p>
    <w:p>
      <w:pPr>
        <w:ind w:left="1166" w:hanging="1166"/>
        <w:spacing w:after="0"/>
        <w:tabs>
          <w:tab w:leader="none" w:pos="11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1,609,951</w:t>
      </w:r>
    </w:p>
    <w:p>
      <w:pPr>
        <w:spacing w:after="0" w:line="34" w:lineRule="exact"/>
        <w:rPr>
          <w:rFonts w:ascii="Arial" w:cs="Arial" w:eastAsia="Arial" w:hAnsi="Arial"/>
          <w:sz w:val="17"/>
          <w:szCs w:val="17"/>
          <w:color w:val="auto"/>
        </w:rPr>
      </w:pPr>
    </w:p>
    <w:p>
      <w:pPr>
        <w:ind w:left="1306"/>
        <w:spacing w:after="0"/>
        <w:rPr>
          <w:rFonts w:ascii="Arial" w:cs="Arial" w:eastAsia="Arial" w:hAnsi="Arial"/>
          <w:sz w:val="17"/>
          <w:szCs w:val="17"/>
          <w:color w:val="auto"/>
        </w:rPr>
      </w:pPr>
      <w:r>
        <w:rPr>
          <w:rFonts w:ascii="Arial" w:cs="Arial" w:eastAsia="Arial" w:hAnsi="Arial"/>
          <w:sz w:val="17"/>
          <w:szCs w:val="17"/>
          <w:color w:val="auto"/>
        </w:rPr>
        <w:t>667,260</w:t>
      </w:r>
    </w:p>
    <w:p>
      <w:pPr>
        <w:spacing w:after="0" w:line="21" w:lineRule="exact"/>
        <w:rPr>
          <w:sz w:val="20"/>
          <w:szCs w:val="20"/>
          <w:color w:val="auto"/>
        </w:rPr>
      </w:pPr>
    </w:p>
    <w:p>
      <w:pPr>
        <w:jc w:val="center"/>
        <w:ind w:right="1034"/>
        <w:spacing w:after="0"/>
        <w:rPr>
          <w:sz w:val="20"/>
          <w:szCs w:val="20"/>
          <w:color w:val="auto"/>
        </w:rPr>
      </w:pPr>
      <w:r>
        <w:rPr>
          <w:rFonts w:ascii="Arial" w:cs="Arial" w:eastAsia="Arial" w:hAnsi="Arial"/>
          <w:sz w:val="16"/>
          <w:szCs w:val="16"/>
          <w:color w:val="auto"/>
        </w:rPr>
        <w:t>(721,950)</w:t>
      </w:r>
    </w:p>
    <w:p>
      <w:pPr>
        <w:spacing w:after="0" w:line="72" w:lineRule="exact"/>
        <w:rPr>
          <w:sz w:val="20"/>
          <w:szCs w:val="20"/>
          <w:color w:val="auto"/>
        </w:rPr>
      </w:pPr>
    </w:p>
    <w:p>
      <w:pPr>
        <w:ind w:left="1166" w:hanging="1166"/>
        <w:spacing w:after="0"/>
        <w:tabs>
          <w:tab w:leader="none" w:pos="1166" w:val="left"/>
        </w:tabs>
        <w:numPr>
          <w:ilvl w:val="0"/>
          <w:numId w:val="33"/>
        </w:numPr>
        <w:rPr>
          <w:rFonts w:ascii="Arial" w:cs="Arial" w:eastAsia="Arial" w:hAnsi="Arial"/>
          <w:sz w:val="17"/>
          <w:szCs w:val="17"/>
          <w:color w:val="auto"/>
        </w:rPr>
      </w:pPr>
      <w:r>
        <w:rPr>
          <w:rFonts w:ascii="Arial" w:cs="Arial" w:eastAsia="Arial" w:hAnsi="Arial"/>
          <w:sz w:val="17"/>
          <w:szCs w:val="17"/>
          <w:color w:val="auto"/>
        </w:rPr>
        <w:t>1,555,261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200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57" w:lineRule="exact"/>
        <w:rPr>
          <w:sz w:val="20"/>
          <w:szCs w:val="20"/>
          <w:color w:val="auto"/>
        </w:rPr>
      </w:pPr>
    </w:p>
    <w:p>
      <w:pPr>
        <w:ind w:left="1166" w:hanging="1166"/>
        <w:spacing w:after="0"/>
        <w:tabs>
          <w:tab w:leader="none" w:pos="11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1,686,218</w:t>
      </w:r>
    </w:p>
    <w:p>
      <w:pPr>
        <w:spacing w:after="0" w:line="34" w:lineRule="exact"/>
        <w:rPr>
          <w:rFonts w:ascii="Arial" w:cs="Arial" w:eastAsia="Arial" w:hAnsi="Arial"/>
          <w:sz w:val="17"/>
          <w:szCs w:val="17"/>
          <w:color w:val="auto"/>
        </w:rPr>
      </w:pPr>
    </w:p>
    <w:p>
      <w:pPr>
        <w:ind w:left="1306"/>
        <w:spacing w:after="0"/>
        <w:rPr>
          <w:rFonts w:ascii="Arial" w:cs="Arial" w:eastAsia="Arial" w:hAnsi="Arial"/>
          <w:sz w:val="17"/>
          <w:szCs w:val="17"/>
          <w:color w:val="auto"/>
        </w:rPr>
      </w:pPr>
      <w:r>
        <w:rPr>
          <w:rFonts w:ascii="Arial" w:cs="Arial" w:eastAsia="Arial" w:hAnsi="Arial"/>
          <w:sz w:val="17"/>
          <w:szCs w:val="17"/>
          <w:color w:val="auto"/>
        </w:rPr>
        <w:t>889,480</w:t>
      </w:r>
    </w:p>
    <w:p>
      <w:pPr>
        <w:spacing w:after="0" w:line="21" w:lineRule="exact"/>
        <w:rPr>
          <w:sz w:val="20"/>
          <w:szCs w:val="20"/>
          <w:color w:val="auto"/>
        </w:rPr>
      </w:pPr>
    </w:p>
    <w:p>
      <w:pPr>
        <w:jc w:val="center"/>
        <w:ind w:right="1034"/>
        <w:spacing w:after="0"/>
        <w:rPr>
          <w:sz w:val="20"/>
          <w:szCs w:val="20"/>
          <w:color w:val="auto"/>
        </w:rPr>
      </w:pPr>
      <w:r>
        <w:rPr>
          <w:rFonts w:ascii="Arial" w:cs="Arial" w:eastAsia="Arial" w:hAnsi="Arial"/>
          <w:sz w:val="16"/>
          <w:szCs w:val="16"/>
          <w:color w:val="auto"/>
        </w:rPr>
        <w:t>(965,747)</w:t>
      </w:r>
    </w:p>
    <w:p>
      <w:pPr>
        <w:spacing w:after="0" w:line="72" w:lineRule="exact"/>
        <w:rPr>
          <w:sz w:val="20"/>
          <w:szCs w:val="20"/>
          <w:color w:val="auto"/>
        </w:rPr>
      </w:pPr>
    </w:p>
    <w:p>
      <w:pPr>
        <w:ind w:left="1166" w:hanging="1166"/>
        <w:spacing w:after="0"/>
        <w:tabs>
          <w:tab w:leader="none" w:pos="1166" w:val="left"/>
        </w:tabs>
        <w:numPr>
          <w:ilvl w:val="0"/>
          <w:numId w:val="35"/>
        </w:numPr>
        <w:rPr>
          <w:rFonts w:ascii="Arial" w:cs="Arial" w:eastAsia="Arial" w:hAnsi="Arial"/>
          <w:sz w:val="17"/>
          <w:szCs w:val="17"/>
          <w:color w:val="auto"/>
        </w:rPr>
      </w:pPr>
      <w:r>
        <w:rPr>
          <w:rFonts w:ascii="Arial" w:cs="Arial" w:eastAsia="Arial" w:hAnsi="Arial"/>
          <w:sz w:val="17"/>
          <w:szCs w:val="17"/>
          <w:color w:val="auto"/>
        </w:rPr>
        <w:t>1,609,951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200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287" w:lineRule="exact"/>
        <w:rPr>
          <w:sz w:val="20"/>
          <w:szCs w:val="20"/>
          <w:color w:val="auto"/>
        </w:rPr>
      </w:pPr>
    </w:p>
    <w:p>
      <w:pPr>
        <w:sectPr>
          <w:pgSz w:w="11900" w:h="16838" w:orient="portrait"/>
          <w:cols w:equalWidth="0" w:num="2">
            <w:col w:w="6294" w:space="720"/>
            <w:col w:w="4226"/>
          </w:cols>
          <w:pgMar w:left="320" w:top="692" w:right="3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realized gains and losses from sales, calls, and maturities, and unrealized gains and losses on equity securities from investments and other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01"/>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right"/>
              <w:ind w:right="361"/>
              <w:spacing w:after="0"/>
              <w:rPr>
                <w:sz w:val="20"/>
                <w:szCs w:val="20"/>
                <w:color w:val="auto"/>
              </w:rPr>
            </w:pPr>
            <w:r>
              <w:rPr>
                <w:rFonts w:ascii="Arial" w:cs="Arial" w:eastAsia="Arial" w:hAnsi="Arial"/>
                <w:sz w:val="18"/>
                <w:szCs w:val="18"/>
                <w:color w:val="auto"/>
                <w:w w:val="93"/>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61"/>
              <w:spacing w:after="0"/>
              <w:rPr>
                <w:sz w:val="20"/>
                <w:szCs w:val="20"/>
                <w:color w:val="auto"/>
              </w:rPr>
            </w:pPr>
            <w:r>
              <w:rPr>
                <w:rFonts w:ascii="Arial" w:cs="Arial" w:eastAsia="Arial" w:hAnsi="Arial"/>
                <w:sz w:val="18"/>
                <w:szCs w:val="18"/>
                <w:color w:val="auto"/>
              </w:rPr>
              <w:t>37,565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30,121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54,619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205,755</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(10,383)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(26,203)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(102,182)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(36,961)</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credit loss (provision) release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61"/>
              <w:spacing w:after="0"/>
              <w:rPr>
                <w:sz w:val="20"/>
                <w:szCs w:val="20"/>
                <w:color w:val="auto"/>
              </w:rPr>
            </w:pPr>
            <w:r>
              <w:rPr>
                <w:rFonts w:ascii="Arial" w:cs="Arial" w:eastAsia="Arial" w:hAnsi="Arial"/>
                <w:sz w:val="18"/>
                <w:szCs w:val="18"/>
                <w:color w:val="auto"/>
              </w:rPr>
              <w:t>1,740</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(222,264)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securities sold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324,009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(131,472)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277,057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(60,154)</w:t>
            </w: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2"/>
              </w:rPr>
              <w:t>Unrealized losses on securities held at the end of the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01"/>
              <w:spacing w:after="0"/>
              <w:rPr>
                <w:sz w:val="20"/>
                <w:szCs w:val="20"/>
                <w:color w:val="auto"/>
              </w:rPr>
            </w:pPr>
            <w:r>
              <w:rPr>
                <w:rFonts w:ascii="Arial" w:cs="Arial" w:eastAsia="Arial" w:hAnsi="Arial"/>
                <w:sz w:val="18"/>
                <w:szCs w:val="18"/>
                <w:color w:val="auto"/>
              </w:rPr>
              <w:t>(1,321,511)</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(1,383,627)</w:t>
            </w:r>
          </w:p>
        </w:tc>
        <w:tc>
          <w:tcPr>
            <w:tcW w:w="2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(423,448)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(4,097,049)</w:t>
            </w: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Real estate held for investment and sale: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36,166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197,194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1,260,548</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(727,370)</w:t>
            </w:r>
          </w:p>
        </w:tc>
        <w:tc>
          <w:tcPr>
            <w:tcW w:w="22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(825,593)</w:t>
            </w: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5"/>
              </w:rPr>
              <w:t>Other assets, including call and put option derivatives: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59,599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214,348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632,082</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(932,414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(2,178,952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realized gains and losses includes gains and losses by the restricted assets and cemetery perpetual care trust investments of the cemeteries and mortuaries of $452,115 and $640,593 in net losses for the three month periods ended September 30, 2023, and 2022, respectively, and of $200,605 and $1,636,469 in net losses for the nine month periods ended September 30, 2023, and 2022,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0" w:name="page31"/>
    <w:bookmarkEnd w:id="3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net investment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80"/>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right"/>
              <w:ind w:right="440"/>
              <w:spacing w:after="0"/>
              <w:rPr>
                <w:sz w:val="20"/>
                <w:szCs w:val="20"/>
                <w:color w:val="auto"/>
              </w:rPr>
            </w:pPr>
            <w:r>
              <w:rPr>
                <w:rFonts w:ascii="Arial" w:cs="Arial" w:eastAsia="Arial" w:hAnsi="Arial"/>
                <w:sz w:val="18"/>
                <w:szCs w:val="18"/>
                <w:color w:val="auto"/>
                <w:w w:val="93"/>
              </w:rPr>
              <w:t>Nine Months Ended September 30,</w:t>
            </w:r>
          </w:p>
        </w:tc>
      </w:tr>
      <w:tr>
        <w:trPr>
          <w:trHeight w:val="236"/>
        </w:trPr>
        <w:tc>
          <w:tcPr>
            <w:tcW w:w="36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4,242,185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3,188,521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12,398,685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8,636,387</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Equity securities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167,348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139,412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448,564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382,246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9,842,845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10,477,672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27,797,908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27,682,315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Real estate held for investment and sale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3,291,047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3,918,310</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11,553,643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10,970,535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191,843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213,520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599,498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727,103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assignments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4,340,644</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4,218,184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13,570,659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13,708,894</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213,560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181,597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555,720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350,603</w:t>
            </w: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1,083,241</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514,869</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2,651,148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698,601</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23,372,713</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22,852,085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69,575,825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63,156,684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Investment expenses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(4,124,250)</w:t>
            </w: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(4,249,015)</w:t>
            </w: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(12,380,505)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(13,388,020)</w:t>
            </w:r>
          </w:p>
        </w:tc>
      </w:tr>
      <w:tr>
        <w:trPr>
          <w:trHeight w:val="23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19,248,463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18,603,070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57,195,320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49,768,664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investment income includes income earned by the restricted assets of the cemeteries and mortuaries of $372,277 and $675,259 for the three month periods ended September 30, 2023 and 2022, respectively, and of $2,224,629 and $1,882,502 for the nine month periods ended September 30, 2023 and 2022,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Accrued Investment Income</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Accrued investment income consists of the following:</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As of September 30,</w:t>
            </w:r>
          </w:p>
        </w:tc>
        <w:tc>
          <w:tcPr>
            <w:tcW w:w="14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As of December 31,</w:t>
            </w:r>
          </w:p>
        </w:tc>
        <w:tc>
          <w:tcPr>
            <w:tcW w:w="2260" w:type="dxa"/>
            <w:vAlign w:val="bottom"/>
          </w:tcPr>
          <w:p>
            <w:pPr>
              <w:spacing w:after="0"/>
              <w:rPr>
                <w:sz w:val="24"/>
                <w:szCs w:val="24"/>
                <w:color w:val="auto"/>
              </w:rPr>
            </w:pPr>
          </w:p>
        </w:tc>
      </w:tr>
      <w:tr>
        <w:trPr>
          <w:trHeight w:val="237"/>
        </w:trPr>
        <w:tc>
          <w:tcPr>
            <w:tcW w:w="4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4,343,327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3,563,767</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12,729</w:t>
            </w:r>
          </w:p>
        </w:tc>
        <w:tc>
          <w:tcPr>
            <w:tcW w:w="14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14,496</w:t>
            </w:r>
          </w:p>
        </w:tc>
        <w:tc>
          <w:tcPr>
            <w:tcW w:w="22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4,732,717</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3,220,709</w:t>
            </w:r>
          </w:p>
        </w:tc>
        <w:tc>
          <w:tcPr>
            <w:tcW w:w="226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14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3,158,708</w:t>
            </w:r>
          </w:p>
        </w:tc>
        <w:tc>
          <w:tcPr>
            <w:tcW w:w="14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3,455,305</w:t>
            </w:r>
          </w:p>
        </w:tc>
        <w:tc>
          <w:tcPr>
            <w:tcW w:w="22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4,463</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37,951</w:t>
            </w:r>
          </w:p>
        </w:tc>
        <w:tc>
          <w:tcPr>
            <w:tcW w:w="2260" w:type="dxa"/>
            <w:vAlign w:val="bottom"/>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14,751</w:t>
            </w:r>
          </w:p>
        </w:tc>
        <w:tc>
          <w:tcPr>
            <w:tcW w:w="1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7,598</w:t>
            </w:r>
          </w:p>
        </w:tc>
        <w:tc>
          <w:tcPr>
            <w:tcW w:w="2260" w:type="dxa"/>
            <w:vAlign w:val="bottom"/>
          </w:tcPr>
          <w:p>
            <w:pPr>
              <w:spacing w:after="0"/>
              <w:rPr>
                <w:sz w:val="20"/>
                <w:szCs w:val="20"/>
                <w:color w:val="auto"/>
              </w:rPr>
            </w:pP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investment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12,266,695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1" w:name="page32"/>
    <w:bookmarkEnd w:id="3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As of September 30,</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As of December 31,</w:t>
            </w:r>
          </w:p>
        </w:tc>
      </w:tr>
      <w:tr>
        <w:trPr>
          <w:trHeight w:val="237"/>
        </w:trPr>
        <w:tc>
          <w:tcPr>
            <w:tcW w:w="3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r>
      <w:tr>
        <w:trPr>
          <w:trHeight w:val="216"/>
        </w:trPr>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152,546,566</w:t>
            </w:r>
          </w:p>
        </w:tc>
        <w:tc>
          <w:tcPr>
            <w:tcW w:w="360" w:type="dxa"/>
            <w:vAlign w:val="bottom"/>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141,179,620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153,420,558</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141,337,811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(873,992)</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80"/>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5"/>
          </w:tcPr>
          <w:p>
            <w:pPr>
              <w:jc w:val="right"/>
              <w:ind w:right="440"/>
              <w:spacing w:after="0"/>
              <w:rPr>
                <w:sz w:val="20"/>
                <w:szCs w:val="20"/>
                <w:color w:val="auto"/>
              </w:rPr>
            </w:pPr>
            <w:r>
              <w:rPr>
                <w:rFonts w:ascii="Arial" w:cs="Arial" w:eastAsia="Arial" w:hAnsi="Arial"/>
                <w:sz w:val="18"/>
                <w:szCs w:val="18"/>
                <w:color w:val="auto"/>
                <w:w w:val="93"/>
              </w:rPr>
              <w:t>Nine Months Ended September 30,</w:t>
            </w:r>
          </w:p>
        </w:tc>
      </w:tr>
      <w:tr>
        <w:trPr>
          <w:trHeight w:val="236"/>
        </w:trPr>
        <w:tc>
          <w:tcPr>
            <w:tcW w:w="42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6,033,227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4,729,445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16,408,443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19,766,856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2,637,971</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2,570,511</w:t>
            </w: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7,265,516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7,525,826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17,625,394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28,940,898</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54,884,965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103,336,118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(1,504,286)</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(3,271,282)</w:t>
            </w: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(977,716)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(2,843,155)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(108,676)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(4,131,363)</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(715,799)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(7,973,171)</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Provision (release) for loan loss reserve</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252,389</w:t>
            </w: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(230,321)</w:t>
            </w:r>
          </w:p>
        </w:tc>
        <w:tc>
          <w:tcPr>
            <w:tcW w:w="2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138,369</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(829,243)</w:t>
            </w: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24,936,019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28,607,888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77,003,778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118,983,231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As of 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As of December 31,</w:t>
            </w:r>
          </w:p>
        </w:tc>
      </w:tr>
      <w:tr>
        <w:trPr>
          <w:trHeight w:val="237"/>
        </w:trPr>
        <w:tc>
          <w:tcPr>
            <w:tcW w:w="4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Provision on current loan originations (1)</w:t>
            </w:r>
          </w:p>
        </w:tc>
        <w:tc>
          <w:tcPr>
            <w:tcW w:w="14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770,220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1,078,812</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(1,804,134)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(1,800,284)</w:t>
            </w: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691,753</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1,725,667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mortgage fee income</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reserves for estimated losses on current production volumes. For the nine month period ended September 30, 2023, $770,220 in reserves were added at a rate of 4.5 basis points per loan, the equivalent of $450 per $1,000,000 in loans originated. This is an increase over the nine month period ended September 30, 2022, when reserves of $829,243 were added at a rate of 2.9 basis points per loan originated, the equivalent of $290 per $1,000,000 in loans originated. The Company monitors market data and trends, economic conditions (including forecasts) and its own experience to maintain adequate loss reserves on current production.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based compensation expense for stock options issued of $145,973 and $230,853 has been recognized for these plans for the three month periods ended September 30, 2023, and 2022, respectively, and $430,856 and $722,775 has been recognized for these plans for the nine month periods ended September 30, 2023 and 2022, respectively, and is included in personnel expenses on the condensed consolidated statements of earnings. As of September 30, 2023, the total unrecognized compensation expense related to the options issued was $102,775, which is expected to be recognized over the remaining vesting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stock option plans during the nine month period ended September 30,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Exercise Price</w:t>
            </w: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Exercise Price</w:t>
            </w:r>
          </w:p>
        </w:tc>
      </w:tr>
      <w:tr>
        <w:trPr>
          <w:trHeight w:val="237"/>
        </w:trPr>
        <w:tc>
          <w:tcPr>
            <w:tcW w:w="344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Class A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0"/>
                <w:szCs w:val="20"/>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auto"/>
                <w:w w:val="99"/>
              </w:rPr>
              <w:t>Class C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976,605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1,157,203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9"/>
              </w:rPr>
              <w:t>Adjustment for the effect of stock dividends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57,859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(233,180)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3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2023</w:t>
            </w: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797,691</w:t>
            </w:r>
          </w:p>
        </w:tc>
        <w:tc>
          <w:tcPr>
            <w:tcW w:w="1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9"/>
              </w:rPr>
              <w:t>4.78</w:t>
            </w:r>
          </w:p>
        </w:tc>
        <w:tc>
          <w:tcPr>
            <w:tcW w:w="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1,215,062</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As of September 30, 2023: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770,066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1,141,312</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2023: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440" w:type="dxa"/>
            <w:vAlign w:val="bottom"/>
          </w:tcPr>
          <w:p>
            <w:pPr>
              <w:spacing w:after="0"/>
              <w:rPr>
                <w:sz w:val="20"/>
                <w:szCs w:val="20"/>
                <w:color w:val="auto"/>
              </w:rPr>
            </w:pPr>
            <w:r>
              <w:rPr>
                <w:rFonts w:ascii="Arial" w:cs="Arial" w:eastAsia="Arial" w:hAnsi="Arial"/>
                <w:sz w:val="18"/>
                <w:szCs w:val="18"/>
                <w:color w:val="auto"/>
              </w:rPr>
              <w:t>Available options for future grant</w:t>
            </w:r>
          </w:p>
        </w:tc>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171,386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834,750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6.15 years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contractual term of</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exercisable at September 30, 2023</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4.53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6.03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Aggregated intrinsic value of options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2023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2,438,675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3,074,037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Aggregated intrinsic value of options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exercisable at September 30, 2023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2,398,360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2,955,012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(1)The Company used a stock price of $7.84 as of September 30, 2023 to derive intrinsic value.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(2)Adjusted for the effect of annual stock dividends.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center"/>
        <w:ind w:left="1460" w:right="156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stock option plans during the nine month period ended September 30, 2022,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Weighted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r>
      <w:tr>
        <w:trPr>
          <w:trHeight w:val="216"/>
        </w:trPr>
        <w:tc>
          <w:tcPr>
            <w:tcW w:w="386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Number of</w:t>
            </w: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Average Exercise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w w:val="94"/>
              </w:rPr>
              <w:t>Average Exercise</w:t>
            </w:r>
          </w:p>
        </w:tc>
      </w:tr>
      <w:tr>
        <w:trPr>
          <w:trHeight w:val="237"/>
        </w:trPr>
        <w:tc>
          <w:tcPr>
            <w:tcW w:w="3860" w:type="dxa"/>
            <w:vAlign w:val="bottom"/>
          </w:tcPr>
          <w:p>
            <w:pPr>
              <w:spacing w:after="0"/>
              <w:rPr>
                <w:sz w:val="20"/>
                <w:szCs w:val="20"/>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Class A Shares</w:t>
            </w:r>
          </w:p>
        </w:tc>
        <w:tc>
          <w:tcPr>
            <w:tcW w:w="22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Price (2)</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Class C Shares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Price (2)</w:t>
            </w:r>
          </w:p>
        </w:tc>
      </w:tr>
      <w:tr>
        <w:trPr>
          <w:trHeight w:val="216"/>
        </w:trPr>
        <w:tc>
          <w:tcPr>
            <w:tcW w:w="38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1,024,351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821,146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Adjustment for the effect of stock dividends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47,780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41,057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(71,330)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38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1,003,210</w:t>
            </w:r>
          </w:p>
        </w:tc>
        <w:tc>
          <w:tcPr>
            <w:tcW w:w="3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top w:val="single" w:sz="8" w:color="CCEEFF"/>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862,203</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3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rPr>
          <w:sz w:val="20"/>
          <w:szCs w:val="20"/>
          <w:color w:val="auto"/>
        </w:rPr>
      </w:pPr>
      <w:r>
        <w:rPr>
          <w:rFonts w:ascii="Arial" w:cs="Arial" w:eastAsia="Arial" w:hAnsi="Arial"/>
          <w:sz w:val="18"/>
          <w:szCs w:val="18"/>
          <w:color w:val="auto"/>
        </w:rPr>
        <w:t>As of September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Available options for future grant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978,835</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804,703</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1,239,795</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17,523</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-633730</wp:posOffset>
            </wp:positionV>
            <wp:extent cx="641223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-316865</wp:posOffset>
            </wp:positionV>
            <wp:extent cx="64122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40" w:space="720"/>
            <w:col w:w="738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outstanding at September 30, 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4.32 years</w:t>
            </w:r>
          </w:p>
        </w:tc>
        <w:tc>
          <w:tcPr>
            <w:tcW w:w="340" w:type="dxa"/>
            <w:vAlign w:val="bottom"/>
          </w:tcPr>
          <w:p>
            <w:pPr>
              <w:spacing w:after="0"/>
              <w:rPr>
                <w:sz w:val="20"/>
                <w:szCs w:val="20"/>
                <w:color w:val="auto"/>
              </w:rPr>
            </w:pP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6.75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4.19 years</w:t>
            </w:r>
          </w:p>
        </w:tc>
        <w:tc>
          <w:tcPr>
            <w:tcW w:w="340" w:type="dxa"/>
            <w:vAlign w:val="bottom"/>
          </w:tcPr>
          <w:p>
            <w:pPr>
              <w:spacing w:after="0"/>
              <w:rPr>
                <w:sz w:val="20"/>
                <w:szCs w:val="20"/>
                <w:color w:val="auto"/>
              </w:rPr>
            </w:pP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6.63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outstanding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97"/>
        </w:trPr>
        <w:tc>
          <w:tcPr>
            <w:tcW w:w="3720" w:type="dxa"/>
            <w:vAlign w:val="bottom"/>
          </w:tcPr>
          <w:p>
            <w:pPr>
              <w:spacing w:after="0"/>
              <w:rPr>
                <w:sz w:val="20"/>
                <w:szCs w:val="20"/>
                <w:color w:val="auto"/>
              </w:rPr>
            </w:pPr>
            <w:r>
              <w:rPr>
                <w:rFonts w:ascii="Arial" w:cs="Arial" w:eastAsia="Arial" w:hAnsi="Arial"/>
                <w:sz w:val="18"/>
                <w:szCs w:val="18"/>
                <w:color w:val="auto"/>
              </w:rPr>
              <w:t>at September 30, 2022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1,775,100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939,395</w:t>
            </w:r>
          </w:p>
        </w:tc>
        <w:tc>
          <w:tcPr>
            <w:tcW w:w="1660" w:type="dxa"/>
            <w:vAlign w:val="bottom"/>
          </w:tcPr>
          <w:p>
            <w:pPr>
              <w:spacing w:after="0"/>
              <w:rPr>
                <w:sz w:val="24"/>
                <w:szCs w:val="24"/>
                <w:color w:val="auto"/>
              </w:rPr>
            </w:pPr>
          </w:p>
        </w:tc>
      </w:tr>
      <w:tr>
        <w:trPr>
          <w:trHeight w:val="197"/>
        </w:trPr>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exercisable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at September 30, 2022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1,819,950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1,055,445</w:t>
            </w:r>
          </w:p>
        </w:tc>
        <w:tc>
          <w:tcPr>
            <w:tcW w:w="166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(1)The Company used a stock price of $6.35 as of September 30, 2022 to derive intrinsic value.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(2)Adjusted for the effect of annual stock dividends.</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total intrinsic value (which is the amount by which the fair value of the underlying stock exceeds the exercise price of an option on the exercise date) of stock options exercised during the nine month periods ended September 30, 2023 and 2022 was $454,923 and $521,527,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5" w:name="page36"/>
    <w:bookmarkEnd w:id="3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 based compensation expense for RSUs issued of nil has been recognized under these plans for each of the three month periods ended September 30, 2023 and 2022, and of $742 and nil has been recognized under these plans for the nine month periods ended September 30, 2023 and 2022, respectively, and is included in personnel expenses on the condensed consolidated statements of earnings. As of September 30, 2023, the total unrecognized compensation expense related to the RSUs issued was nil. The fair value of each RSU granted is determined based on the Company’s stock price on the date of grant. Prior to December 2022, the Company did not grant any RSUs.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RSUs during the nine month period ended September 30,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Weighted Average</w:t>
            </w:r>
          </w:p>
        </w:tc>
      </w:tr>
      <w:tr>
        <w:trPr>
          <w:trHeight w:val="237"/>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Class A Shares</w:t>
            </w:r>
          </w:p>
        </w:tc>
        <w:tc>
          <w:tcPr>
            <w:tcW w:w="17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Grant Date Fair Value</w:t>
            </w: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2023</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7"/>
        </w:trPr>
        <w:tc>
          <w:tcPr>
            <w:tcW w:w="42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Non-vested at September 30, 2023</w:t>
            </w:r>
          </w:p>
        </w:tc>
        <w:tc>
          <w:tcPr>
            <w:tcW w:w="1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top w:val="single" w:sz="8" w:color="CCEEFF"/>
              <w:bottom w:val="single" w:sz="8" w:color="CCEEFF"/>
            </w:tcBorders>
            <w:gridSpan w:val="2"/>
          </w:tcPr>
          <w:p>
            <w:pPr>
              <w:spacing w:after="0"/>
              <w:rPr>
                <w:sz w:val="22"/>
                <w:szCs w:val="22"/>
                <w:color w:val="auto"/>
              </w:rPr>
            </w:pP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CCEEFF"/>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6.48</w:t>
            </w:r>
          </w:p>
        </w:tc>
      </w:tr>
      <w:tr>
        <w:trPr>
          <w:trHeight w:val="196"/>
        </w:trPr>
        <w:tc>
          <w:tcPr>
            <w:tcW w:w="4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3"/>
        </w:trPr>
        <w:tc>
          <w:tcPr>
            <w:tcW w:w="4260" w:type="dxa"/>
            <w:vAlign w:val="bottom"/>
          </w:tcPr>
          <w:p>
            <w:pPr>
              <w:spacing w:after="0"/>
              <w:rPr>
                <w:sz w:val="20"/>
                <w:szCs w:val="20"/>
                <w:color w:val="auto"/>
              </w:rPr>
            </w:pPr>
            <w:r>
              <w:rPr>
                <w:rFonts w:ascii="Arial" w:cs="Arial" w:eastAsia="Arial" w:hAnsi="Arial"/>
                <w:sz w:val="18"/>
                <w:szCs w:val="18"/>
                <w:color w:val="auto"/>
              </w:rPr>
              <w:t>Available RSUs for future grant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18,380</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4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Aggregated intrinsic value of RSUs outstanding at</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September 30, 2023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(1)The Company used a stock price of $7.84 as of September 30, 2023 to derive intrinsic value.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2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color w:val="auto"/>
              </w:rPr>
              <w:t>Nine Months Ended</w:t>
            </w:r>
          </w:p>
        </w:tc>
      </w:tr>
      <w:tr>
        <w:trPr>
          <w:trHeight w:val="237"/>
        </w:trPr>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86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4,041,293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(2,353,185)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11,634,171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4,449,982</w:t>
            </w:r>
          </w:p>
        </w:tc>
        <w:tc>
          <w:tcPr>
            <w:tcW w:w="100" w:type="dxa"/>
            <w:vAlign w:val="bottom"/>
          </w:tcPr>
          <w:p>
            <w:pPr>
              <w:spacing w:after="0"/>
              <w:rPr>
                <w:sz w:val="24"/>
                <w:szCs w:val="24"/>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Basic weighted-average shares outstanding</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22,063,495</w:t>
            </w:r>
          </w:p>
        </w:tc>
        <w:tc>
          <w:tcPr>
            <w:tcW w:w="4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21,976,292</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22,066,243</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22,213,846</w:t>
            </w:r>
          </w:p>
        </w:tc>
        <w:tc>
          <w:tcPr>
            <w:tcW w:w="100" w:type="dxa"/>
            <w:vAlign w:val="bottom"/>
          </w:tcPr>
          <w:p>
            <w:pPr>
              <w:spacing w:after="0"/>
              <w:rPr>
                <w:sz w:val="20"/>
                <w:szCs w:val="20"/>
                <w:color w:val="auto"/>
              </w:rPr>
            </w:pPr>
          </w:p>
        </w:tc>
      </w:tr>
      <w:tr>
        <w:trPr>
          <w:trHeight w:val="21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Employee stock options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768,231</w:t>
            </w:r>
          </w:p>
        </w:tc>
        <w:tc>
          <w:tcPr>
            <w:tcW w:w="4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719,704</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634,099</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822,367</w:t>
            </w:r>
          </w:p>
        </w:tc>
        <w:tc>
          <w:tcPr>
            <w:tcW w:w="100" w:type="dxa"/>
            <w:vAlign w:val="bottom"/>
          </w:tcPr>
          <w:p>
            <w:pPr>
              <w:spacing w:after="0"/>
              <w:rPr>
                <w:sz w:val="20"/>
                <w:szCs w:val="20"/>
                <w:color w:val="auto"/>
              </w:rPr>
            </w:pPr>
          </w:p>
        </w:tc>
      </w:tr>
      <w:tr>
        <w:trPr>
          <w:trHeight w:val="243"/>
        </w:trPr>
        <w:tc>
          <w:tcPr>
            <w:tcW w:w="38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83"/>
        </w:trPr>
        <w:tc>
          <w:tcPr>
            <w:tcW w:w="3860" w:type="dxa"/>
            <w:vAlign w:val="bottom"/>
          </w:tcPr>
          <w:p>
            <w:pPr>
              <w:ind w:left="180"/>
              <w:spacing w:after="0"/>
              <w:rPr>
                <w:sz w:val="20"/>
                <w:szCs w:val="20"/>
                <w:color w:val="auto"/>
              </w:rPr>
            </w:pPr>
            <w:r>
              <w:rPr>
                <w:rFonts w:ascii="Arial" w:cs="Arial" w:eastAsia="Arial" w:hAnsi="Arial"/>
                <w:sz w:val="18"/>
                <w:szCs w:val="18"/>
                <w:color w:val="auto"/>
              </w:rPr>
              <w:t>Diluted weighted-average shares outstanding</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22,831,726</w:t>
            </w:r>
          </w:p>
        </w:tc>
        <w:tc>
          <w:tcPr>
            <w:tcW w:w="46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22,695,996</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22,700,342</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23,036,213</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8"/>
                <w:szCs w:val="18"/>
                <w:color w:val="auto"/>
              </w:rPr>
              <w:t>Basic net earnings (loss) per share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4"/>
                <w:szCs w:val="24"/>
                <w:color w:val="auto"/>
              </w:rPr>
            </w:pPr>
          </w:p>
        </w:tc>
      </w:tr>
      <w:tr>
        <w:trPr>
          <w:trHeight w:val="196"/>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Diluted net earnings (loss) per share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 periods ended September 30, 2023, and 2022, there were 55,125 and 339,150 anti-dilutive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Class A</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Class C</w:t>
            </w:r>
          </w:p>
        </w:tc>
        <w:tc>
          <w:tcPr>
            <w:tcW w:w="3380" w:type="dxa"/>
            <w:vAlign w:val="bottom"/>
          </w:tcPr>
          <w:p>
            <w:pPr>
              <w:spacing w:after="0"/>
              <w:rPr>
                <w:sz w:val="24"/>
                <w:szCs w:val="24"/>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shares at December 31, 2021</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17,642,722</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2,866,565</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Stock dividends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889,554</w:t>
            </w:r>
          </w:p>
        </w:tc>
        <w:tc>
          <w:tcPr>
            <w:tcW w:w="1380" w:type="dxa"/>
            <w:vAlign w:val="bottom"/>
          </w:tcPr>
          <w:p>
            <w:pPr>
              <w:jc w:val="right"/>
              <w:spacing w:after="0"/>
              <w:rPr>
                <w:sz w:val="20"/>
                <w:szCs w:val="20"/>
                <w:color w:val="auto"/>
              </w:rPr>
            </w:pPr>
            <w:r>
              <w:rPr>
                <w:rFonts w:ascii="Arial" w:cs="Arial" w:eastAsia="Arial" w:hAnsi="Arial"/>
                <w:sz w:val="18"/>
                <w:szCs w:val="18"/>
                <w:color w:val="auto"/>
              </w:rPr>
              <w:t>139,462</w:t>
            </w:r>
          </w:p>
        </w:tc>
        <w:tc>
          <w:tcPr>
            <w:tcW w:w="3380" w:type="dxa"/>
            <w:vAlign w:val="bottom"/>
          </w:tcPr>
          <w:p>
            <w:pPr>
              <w:spacing w:after="0"/>
              <w:rPr>
                <w:sz w:val="18"/>
                <w:szCs w:val="18"/>
                <w:color w:val="auto"/>
              </w:rPr>
            </w:pPr>
          </w:p>
        </w:tc>
      </w:tr>
      <w:tr>
        <w:trPr>
          <w:trHeight w:val="23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116,168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(116,168)</w:t>
            </w:r>
          </w:p>
        </w:tc>
        <w:tc>
          <w:tcPr>
            <w:tcW w:w="3380" w:type="dxa"/>
            <w:vAlign w:val="bottom"/>
          </w:tcPr>
          <w:p>
            <w:pPr>
              <w:spacing w:after="0"/>
              <w:rPr>
                <w:sz w:val="20"/>
                <w:szCs w:val="20"/>
                <w:color w:val="auto"/>
              </w:rPr>
            </w:pPr>
          </w:p>
        </w:tc>
      </w:tr>
      <w:tr>
        <w:trPr>
          <w:trHeight w:val="243"/>
        </w:trPr>
        <w:tc>
          <w:tcPr>
            <w:tcW w:w="49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shares at September 30, 2022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18,717,540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2,889,859</w:t>
            </w:r>
          </w:p>
        </w:tc>
        <w:tc>
          <w:tcPr>
            <w:tcW w:w="338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shares at December 31, 2022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18,758,031</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2,889,859</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239,191</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810</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dividends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949,980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141,594</w:t>
            </w:r>
          </w:p>
        </w:tc>
        <w:tc>
          <w:tcPr>
            <w:tcW w:w="3380" w:type="dxa"/>
            <w:vAlign w:val="bottom"/>
          </w:tcPr>
          <w:p>
            <w:pPr>
              <w:spacing w:after="0"/>
              <w:rPr>
                <w:sz w:val="18"/>
                <w:szCs w:val="18"/>
                <w:color w:val="auto"/>
              </w:rPr>
            </w:pPr>
          </w:p>
        </w:tc>
      </w:tr>
      <w:tr>
        <w:trPr>
          <w:trHeight w:val="23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59,599</w:t>
            </w:r>
          </w:p>
        </w:tc>
        <w:tc>
          <w:tcPr>
            <w:tcW w:w="1380" w:type="dxa"/>
            <w:vAlign w:val="bottom"/>
          </w:tcPr>
          <w:p>
            <w:pPr>
              <w:jc w:val="right"/>
              <w:spacing w:after="0"/>
              <w:rPr>
                <w:sz w:val="20"/>
                <w:szCs w:val="20"/>
                <w:color w:val="auto"/>
              </w:rPr>
            </w:pPr>
            <w:r>
              <w:rPr>
                <w:rFonts w:ascii="Arial" w:cs="Arial" w:eastAsia="Arial" w:hAnsi="Arial"/>
                <w:sz w:val="18"/>
                <w:szCs w:val="18"/>
                <w:color w:val="auto"/>
              </w:rPr>
              <w:t>(59,599)</w:t>
            </w:r>
          </w:p>
        </w:tc>
        <w:tc>
          <w:tcPr>
            <w:tcW w:w="3380" w:type="dxa"/>
            <w:vAlign w:val="bottom"/>
          </w:tcPr>
          <w:p>
            <w:pPr>
              <w:spacing w:after="0"/>
              <w:rPr>
                <w:sz w:val="20"/>
                <w:szCs w:val="20"/>
                <w:color w:val="auto"/>
              </w:rPr>
            </w:pPr>
          </w:p>
        </w:tc>
      </w:tr>
      <w:tr>
        <w:trPr>
          <w:trHeight w:val="243"/>
        </w:trPr>
        <w:tc>
          <w:tcPr>
            <w:tcW w:w="49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Outstanding shares at September 30, 2023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20,007,611</w:t>
            </w:r>
          </w:p>
        </w:tc>
        <w:tc>
          <w:tcPr>
            <w:tcW w:w="1380" w:type="dxa"/>
            <w:vAlign w:val="bottom"/>
          </w:tcPr>
          <w:p>
            <w:pPr>
              <w:jc w:val="right"/>
              <w:spacing w:after="0"/>
              <w:rPr>
                <w:sz w:val="20"/>
                <w:szCs w:val="20"/>
                <w:color w:val="auto"/>
              </w:rPr>
            </w:pPr>
            <w:r>
              <w:rPr>
                <w:rFonts w:ascii="Arial" w:cs="Arial" w:eastAsia="Arial" w:hAnsi="Arial"/>
                <w:sz w:val="18"/>
                <w:szCs w:val="18"/>
                <w:color w:val="auto"/>
              </w:rPr>
              <w:t>2,971,854</w:t>
            </w:r>
          </w:p>
        </w:tc>
        <w:tc>
          <w:tcPr>
            <w:tcW w:w="33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2022. Intersegment revenues are recorded at cost plus an agreed upon intercompany profit, and are eliminated upon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7"/>
          </w:tcPr>
          <w:p>
            <w:pPr>
              <w:spacing w:after="0"/>
              <w:rPr>
                <w:sz w:val="20"/>
                <w:szCs w:val="20"/>
                <w:color w:val="auto"/>
              </w:rPr>
            </w:pPr>
            <w:r>
              <w:rPr>
                <w:rFonts w:ascii="Arial" w:cs="Arial" w:eastAsia="Arial" w:hAnsi="Arial"/>
                <w:sz w:val="18"/>
                <w:szCs w:val="18"/>
                <w:color w:val="auto"/>
              </w:rPr>
              <w:t>7) Business Segment Information (Continued)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2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Cemetery/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ind w:right="201"/>
              <w:spacing w:after="0"/>
              <w:rPr>
                <w:sz w:val="20"/>
                <w:szCs w:val="20"/>
                <w:color w:val="auto"/>
              </w:rPr>
            </w:pPr>
            <w:r>
              <w:rPr>
                <w:rFonts w:ascii="Arial" w:cs="Arial" w:eastAsia="Arial" w:hAnsi="Arial"/>
                <w:sz w:val="18"/>
                <w:szCs w:val="18"/>
                <w:color w:val="auto"/>
                <w:w w:val="91"/>
              </w:rPr>
              <w:t>Intercompany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Consolidated</w:t>
            </w:r>
          </w:p>
        </w:tc>
      </w:tr>
      <w:tr>
        <w:trPr>
          <w:trHeight w:val="176"/>
        </w:trPr>
        <w:tc>
          <w:tcPr>
            <w:tcW w:w="3880" w:type="dxa"/>
            <w:vAlign w:val="bottom"/>
            <w:tcBorders>
              <w:top w:val="single" w:sz="8" w:color="CCEEFF"/>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96"/>
              </w:rPr>
              <w:t>For the Three Months Ended September 30, 2023</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Revenues from external customers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47,199,169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7,416,423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25,626,135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80,241,727</w:t>
            </w: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2,330,292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(2,549,630)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Segment profit (loss) before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7,175,181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1,469,592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(3,486,083)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5,158,690</w:t>
            </w:r>
          </w:p>
        </w:tc>
      </w:tr>
      <w:tr>
        <w:trPr>
          <w:trHeight w:val="216"/>
        </w:trPr>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880" w:type="dxa"/>
            <w:vAlign w:val="bottom"/>
            <w:gridSpan w:val="7"/>
          </w:tcPr>
          <w:p>
            <w:pPr>
              <w:spacing w:after="0" w:line="176" w:lineRule="exact"/>
              <w:rPr>
                <w:sz w:val="20"/>
                <w:szCs w:val="20"/>
                <w:color w:val="auto"/>
              </w:rPr>
            </w:pPr>
            <w:r>
              <w:rPr>
                <w:rFonts w:ascii="Arial" w:cs="Arial" w:eastAsia="Arial" w:hAnsi="Arial"/>
                <w:sz w:val="18"/>
                <w:szCs w:val="18"/>
                <w:color w:val="auto"/>
                <w:w w:val="99"/>
              </w:rPr>
              <w:t>For the Nine Months Ended September 30, 2023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140,685,555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23,427,327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79,475,738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243,588,620</w:t>
            </w: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Intersegment revenues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6,357,810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254,302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393,145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(7,005,257)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20,017,102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6,082,343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(11,206,534)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14,892,911</w:t>
            </w:r>
          </w:p>
        </w:tc>
      </w:tr>
      <w:tr>
        <w:trPr>
          <w:trHeight w:val="216"/>
        </w:trPr>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1,299,027,212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92,299,022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107,800,781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(90,608,563)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1,408,518,452</w:t>
            </w:r>
          </w:p>
        </w:tc>
      </w:tr>
      <w:tr>
        <w:trPr>
          <w:trHeight w:val="237"/>
        </w:trPr>
        <w:tc>
          <w:tcPr>
            <w:tcW w:w="3880" w:type="dxa"/>
            <w:vAlign w:val="bottom"/>
            <w:gridSpan w:val="7"/>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r>
      <w:tr>
        <w:trPr>
          <w:trHeight w:val="230"/>
        </w:trPr>
        <w:tc>
          <w:tcPr>
            <w:tcW w:w="388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1,301,792,782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94,787,235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107,800,781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(90,608,563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1,413,772,235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38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6"/>
              </w:rPr>
              <w:t>For the Three Months Ended September 30, 2022</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Revenues from external customers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43,118,076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6,691,998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33,667,146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83,477,220</w:t>
            </w: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1,723,812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(1,916,530)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Segment profit (loss) before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4,233,619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901,084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(8,437,047)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(3,302,344)</w:t>
            </w:r>
          </w:p>
        </w:tc>
      </w:tr>
      <w:tr>
        <w:trPr>
          <w:trHeight w:val="216"/>
        </w:trPr>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880" w:type="dxa"/>
            <w:vAlign w:val="bottom"/>
            <w:gridSpan w:val="7"/>
          </w:tcPr>
          <w:p>
            <w:pPr>
              <w:spacing w:after="0" w:line="176" w:lineRule="exact"/>
              <w:rPr>
                <w:sz w:val="20"/>
                <w:szCs w:val="20"/>
                <w:color w:val="auto"/>
              </w:rPr>
            </w:pPr>
            <w:r>
              <w:rPr>
                <w:rFonts w:ascii="Arial" w:cs="Arial" w:eastAsia="Arial" w:hAnsi="Arial"/>
                <w:sz w:val="18"/>
                <w:szCs w:val="18"/>
                <w:color w:val="auto"/>
                <w:w w:val="99"/>
              </w:rPr>
              <w:t>For the Nine Months Ended September 30, 2022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125,786,154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21,446,210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134,237,417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281,469,781</w:t>
            </w:r>
          </w:p>
        </w:tc>
      </w:tr>
      <w:tr>
        <w:trPr>
          <w:trHeight w:val="216"/>
        </w:trPr>
        <w:tc>
          <w:tcPr>
            <w:tcW w:w="3880" w:type="dxa"/>
            <w:vAlign w:val="bottom"/>
            <w:gridSpan w:val="7"/>
          </w:tcPr>
          <w:p>
            <w:pPr>
              <w:spacing w:after="0"/>
              <w:rPr>
                <w:sz w:val="20"/>
                <w:szCs w:val="20"/>
                <w:color w:val="auto"/>
              </w:rPr>
            </w:pPr>
            <w:r>
              <w:rPr>
                <w:rFonts w:ascii="Arial" w:cs="Arial" w:eastAsia="Arial" w:hAnsi="Arial"/>
                <w:sz w:val="18"/>
                <w:szCs w:val="18"/>
                <w:color w:val="auto"/>
              </w:rPr>
              <w:t>Intersegment revenues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5,495,578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359,439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253,554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(6,108,571)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8,981,888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4,407,339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(7,518,209)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5,871,018</w:t>
            </w:r>
          </w:p>
        </w:tc>
      </w:tr>
      <w:tr>
        <w:trPr>
          <w:trHeight w:val="216"/>
        </w:trPr>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1,222,265,692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80,402,663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239,915,479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(87,763,750)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1,454,820,084</w:t>
            </w:r>
          </w:p>
        </w:tc>
      </w:tr>
      <w:tr>
        <w:trPr>
          <w:trHeight w:val="236"/>
        </w:trPr>
        <w:tc>
          <w:tcPr>
            <w:tcW w:w="3880" w:type="dxa"/>
            <w:vAlign w:val="bottom"/>
            <w:gridSpan w:val="7"/>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r>
      <w:tr>
        <w:trPr>
          <w:trHeight w:val="230"/>
        </w:trPr>
        <w:tc>
          <w:tcPr>
            <w:tcW w:w="388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1,225,031,262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82,890,876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239,915,479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(87,763,750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1,460,073,867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37</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mutual funds and equity securities and fixed maturity securities that have quoted market prices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 maturity securities that have quoted market prices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right="7340" w:firstLine="8"/>
        <w:spacing w:after="0" w:line="563" w:lineRule="auto"/>
        <w:tabs>
          <w:tab w:leader="none" w:pos="1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 (Continued) The items shown under Level 3 are valued as follows: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the fair value option for loans held for sale. The fair value is based on quoted market prices, when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When a quoted market price is not readily available, the Company uses the market price from its last sale of similar assets. Fair value is often difficult to determine in volatile markets and may contain significant unobservable inputs.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loan commitments with potential borrowers and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 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associated with the servicing contracts, where the Company assumes the obligation to service the loan in the sale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Identical Assets</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Inputs</w:t>
            </w:r>
          </w:p>
        </w:tc>
      </w:tr>
      <w:tr>
        <w:trPr>
          <w:trHeight w:val="237"/>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8"/>
        </w:trPr>
        <w:tc>
          <w:tcPr>
            <w:tcW w:w="3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356,448,259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355,216,072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1,232,187</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12,309,544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12,309,544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152,546,566</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152,546,566</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1,534,526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1,534,526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6,312,610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6,312,610</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367,392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367,392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3,855,805</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3,855,805</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4,817,703</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4,817,703</w:t>
            </w:r>
          </w:p>
        </w:tc>
        <w:tc>
          <w:tcPr>
            <w:tcW w:w="100" w:type="dxa"/>
            <w:vAlign w:val="bottom"/>
            <w:shd w:val="clear" w:color="auto" w:fill="CCEEFF"/>
          </w:tcPr>
          <w:p>
            <w:pPr>
              <w:spacing w:after="0"/>
              <w:rPr>
                <w:sz w:val="21"/>
                <w:szCs w:val="21"/>
                <w:color w:val="auto"/>
              </w:rPr>
            </w:pPr>
          </w:p>
        </w:tc>
      </w:tr>
      <w:tr>
        <w:trPr>
          <w:trHeight w:val="175"/>
        </w:trPr>
        <w:tc>
          <w:tcPr>
            <w:tcW w:w="3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assets accounted for at fair value on a</w:t>
            </w:r>
          </w:p>
        </w:tc>
        <w:tc>
          <w:tcPr>
            <w:tcW w:w="5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97"/>
        </w:trPr>
        <w:tc>
          <w:tcPr>
            <w:tcW w:w="3780" w:type="dxa"/>
            <w:vAlign w:val="bottom"/>
          </w:tcPr>
          <w:p>
            <w:pPr>
              <w:spacing w:after="0"/>
              <w:rPr>
                <w:sz w:val="20"/>
                <w:szCs w:val="20"/>
                <w:color w:val="auto"/>
              </w:rPr>
            </w:pPr>
            <w:r>
              <w:rPr>
                <w:rFonts w:ascii="Arial" w:cs="Arial" w:eastAsia="Arial" w:hAnsi="Arial"/>
                <w:sz w:val="18"/>
                <w:szCs w:val="18"/>
                <w:color w:val="auto"/>
              </w:rPr>
              <w:t>recurring basis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538,192,405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22,477,959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357,117,990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158,596,456</w:t>
            </w:r>
          </w:p>
        </w:tc>
        <w:tc>
          <w:tcPr>
            <w:tcW w:w="100" w:type="dxa"/>
            <w:vAlign w:val="bottom"/>
          </w:tcPr>
          <w:p>
            <w:pPr>
              <w:spacing w:after="0"/>
              <w:rPr>
                <w:sz w:val="24"/>
                <w:szCs w:val="24"/>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(3,088,542)</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(3,088,542)</w:t>
            </w:r>
          </w:p>
        </w:tc>
      </w:tr>
      <w:tr>
        <w:trPr>
          <w:trHeight w:val="175"/>
        </w:trPr>
        <w:tc>
          <w:tcPr>
            <w:tcW w:w="3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liabilities accounted for at fair value</w:t>
            </w:r>
          </w:p>
        </w:tc>
        <w:tc>
          <w:tcPr>
            <w:tcW w:w="5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(3,088,542)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(3,088,542)</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(1)Fixed maturity securities available for sale</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61"/>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1"/>
              <w:spacing w:after="0"/>
              <w:rPr>
                <w:sz w:val="20"/>
                <w:szCs w:val="20"/>
                <w:color w:val="auto"/>
              </w:rPr>
            </w:pPr>
            <w:r>
              <w:rPr>
                <w:rFonts w:ascii="Arial" w:cs="Arial" w:eastAsia="Arial" w:hAnsi="Arial"/>
                <w:sz w:val="18"/>
                <w:szCs w:val="18"/>
                <w:color w:val="auto"/>
                <w:w w:val="93"/>
              </w:rPr>
              <w:t>Active Markets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Significant</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1"/>
              <w:spacing w:after="0"/>
              <w:rPr>
                <w:sz w:val="20"/>
                <w:szCs w:val="20"/>
                <w:color w:val="auto"/>
              </w:rPr>
            </w:pPr>
            <w:r>
              <w:rPr>
                <w:rFonts w:ascii="Arial" w:cs="Arial" w:eastAsia="Arial" w:hAnsi="Arial"/>
                <w:sz w:val="18"/>
                <w:szCs w:val="18"/>
                <w:color w:val="auto"/>
                <w:w w:val="96"/>
              </w:rPr>
              <w:t>for Identical</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Significant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Unobservable</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721"/>
              <w:spacing w:after="0"/>
              <w:rPr>
                <w:sz w:val="20"/>
                <w:szCs w:val="20"/>
                <w:color w:val="auto"/>
              </w:rPr>
            </w:pPr>
            <w:r>
              <w:rPr>
                <w:rFonts w:ascii="Arial" w:cs="Arial" w:eastAsia="Arial" w:hAnsi="Arial"/>
                <w:sz w:val="18"/>
                <w:szCs w:val="18"/>
                <w:color w:val="auto"/>
              </w:rPr>
              <w:t>Assets</w:t>
            </w:r>
          </w:p>
        </w:tc>
        <w:tc>
          <w:tcPr>
            <w:tcW w:w="1660" w:type="dxa"/>
            <w:vAlign w:val="bottom"/>
            <w:gridSpan w:val="3"/>
          </w:tcPr>
          <w:p>
            <w:pPr>
              <w:spacing w:after="0"/>
              <w:rPr>
                <w:sz w:val="20"/>
                <w:szCs w:val="20"/>
                <w:color w:val="auto"/>
              </w:rPr>
            </w:pPr>
            <w:r>
              <w:rPr>
                <w:rFonts w:ascii="Arial" w:cs="Arial" w:eastAsia="Arial" w:hAnsi="Arial"/>
                <w:sz w:val="18"/>
                <w:szCs w:val="18"/>
                <w:color w:val="auto"/>
              </w:rPr>
              <w:t>Observable Inputs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Inputs</w:t>
            </w:r>
          </w:p>
        </w:tc>
      </w:tr>
      <w:tr>
        <w:trPr>
          <w:trHeight w:val="237"/>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21"/>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1"/>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345,858,492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344,422,973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1,435,519</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11,682,526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11,682,526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141,179,620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141,179,620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1,217,308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Restricted assets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5,348,244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5,348,244</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254,731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3,605,162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3,605,162</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4,089,856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4,089,856</w:t>
            </w:r>
          </w:p>
        </w:tc>
        <w:tc>
          <w:tcPr>
            <w:tcW w:w="80" w:type="dxa"/>
            <w:vAlign w:val="bottom"/>
            <w:shd w:val="clear" w:color="auto" w:fill="CCEEFF"/>
          </w:tcPr>
          <w:p>
            <w:pPr>
              <w:spacing w:after="0"/>
              <w:rPr>
                <w:sz w:val="21"/>
                <w:szCs w:val="21"/>
                <w:color w:val="auto"/>
              </w:rPr>
            </w:pPr>
          </w:p>
        </w:tc>
      </w:tr>
      <w:tr>
        <w:trPr>
          <w:trHeight w:val="256"/>
        </w:trPr>
        <w:tc>
          <w:tcPr>
            <w:tcW w:w="47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w w:val="99"/>
              </w:rPr>
              <w:t>Total assets accounted for at fair value on a recurring basis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513,235,939</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20,635,932</w:t>
            </w:r>
          </w:p>
        </w:tc>
        <w:tc>
          <w:tcPr>
            <w:tcW w:w="3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345,895,012</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146,704,995</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(29,715)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(29,715)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Derivatives - put options (4)</w:t>
            </w: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(13,888)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1"/>
              <w:spacing w:after="0"/>
              <w:rPr>
                <w:sz w:val="20"/>
                <w:szCs w:val="20"/>
                <w:color w:val="auto"/>
              </w:rPr>
            </w:pPr>
            <w:r>
              <w:rPr>
                <w:rFonts w:ascii="Arial" w:cs="Arial" w:eastAsia="Arial" w:hAnsi="Arial"/>
                <w:sz w:val="18"/>
                <w:szCs w:val="18"/>
                <w:color w:val="auto"/>
              </w:rPr>
              <w:t>(13,888)</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(1,382,979)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(1,382,979)</w:t>
            </w: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Total liabilities accounted for at fair value on a recurring basis</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(1,426,582</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(1,382,979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September 30, 2023,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20"/>
                <w:szCs w:val="20"/>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8"/>
                <w:szCs w:val="18"/>
                <w:color w:val="auto"/>
              </w:rPr>
              <w:t>Range of Inputs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5"/>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 Value at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Valuation</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Minimum</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Maximum</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r>
      <w:tr>
        <w:trPr>
          <w:trHeight w:val="237"/>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September 30, 2023</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Technique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Input(s)</w:t>
            </w:r>
          </w:p>
        </w:tc>
        <w:tc>
          <w:tcPr>
            <w:tcW w:w="14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r>
      <w:tr>
        <w:trPr>
          <w:trHeight w:val="202"/>
        </w:trPr>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Investor contract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as 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percentage of unpaid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152,546,566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1,729,161</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Initial-Value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 bps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 bps</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7"/>
              </w:rPr>
              <w:t>securities available for</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6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1,232,187</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quotes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2022,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20"/>
                <w:szCs w:val="20"/>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8"/>
                <w:szCs w:val="18"/>
                <w:color w:val="auto"/>
              </w:rPr>
              <w:t>Range of Inputs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5"/>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 Value at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Minimum</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Maximum</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r>
      <w:tr>
        <w:trPr>
          <w:trHeight w:val="237"/>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December 31, 2022</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Input(s)</w:t>
            </w:r>
          </w:p>
        </w:tc>
        <w:tc>
          <w:tcPr>
            <w:tcW w:w="14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r>
      <w:tr>
        <w:trPr>
          <w:trHeight w:val="202"/>
        </w:trPr>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Investor contract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as 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percentage of unpaid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141,179,620</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2,706,877</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Initial-Value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 bps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 bps</w:t>
            </w:r>
          </w:p>
        </w:tc>
      </w:t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7"/>
              </w:rPr>
              <w:t>securities available for</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6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1,435,519</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Broker quotes</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104.97</w:t>
            </w:r>
          </w:p>
        </w:tc>
      </w:tr>
      <w:tr>
        <w:trPr>
          <w:trHeight w:val="439"/>
        </w:trPr>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4" w:name="page45"/>
    <w:bookmarkEnd w:id="4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nine month period ended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Fixed Maturity</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Securities Available</w:t>
            </w:r>
          </w:p>
        </w:tc>
      </w:tr>
      <w:tr>
        <w:trPr>
          <w:trHeight w:val="237"/>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Commitments</w:t>
            </w:r>
          </w:p>
        </w:tc>
        <w:tc>
          <w:tcPr>
            <w:tcW w:w="18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20"/>
                <w:szCs w:val="20"/>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for Sale</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2,706,877</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141,179,620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1,435,519</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1,708,831,185</w:t>
            </w:r>
          </w:p>
        </w:tc>
        <w:tc>
          <w:tcPr>
            <w:tcW w:w="1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(1,726,023,095)</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(129,521)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(3,017,626)</w:t>
            </w:r>
          </w:p>
        </w:tc>
        <w:tc>
          <w:tcPr>
            <w:tcW w:w="1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2"/>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(977,716(1)</w:t>
            </w:r>
          </w:p>
        </w:tc>
        <w:tc>
          <w:tcPr>
            <w:tcW w:w="22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31,576,482(1)</w:t>
            </w:r>
          </w:p>
        </w:tc>
        <w:tc>
          <w:tcPr>
            <w:tcW w:w="12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(109)(2)</w:t>
            </w: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(73,702)</w:t>
            </w:r>
          </w:p>
        </w:tc>
      </w:tr>
      <w:tr>
        <w:trPr>
          <w:trHeight w:val="237"/>
        </w:trPr>
        <w:tc>
          <w:tcPr>
            <w:tcW w:w="5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r>
      <w:tr>
        <w:trPr>
          <w:trHeight w:val="22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1,729,161</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152,546,566</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1,232,187</w:t>
            </w:r>
          </w:p>
        </w:tc>
        <w:tc>
          <w:tcPr>
            <w:tcW w:w="320" w:type="dxa"/>
            <w:vAlign w:val="bottom"/>
            <w:tcBorders>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nine month period ended September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Fixed Maturity</w:t>
            </w: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Securities</w:t>
            </w:r>
          </w:p>
        </w:tc>
      </w:tr>
      <w:tr>
        <w:trPr>
          <w:trHeight w:val="237"/>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Commitments</w:t>
            </w:r>
          </w:p>
        </w:tc>
        <w:tc>
          <w:tcPr>
            <w:tcW w:w="18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Available for Sale</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7,015,515</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302,776,827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2,023,348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14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2,837,349,328</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(2,987,906,269)</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(368,980)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4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(49,428,757)</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(2,843,155(1)</w:t>
            </w: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59,190,794(1)</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1,957(2)</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(31,127)</w:t>
            </w:r>
          </w:p>
        </w:tc>
      </w:tr>
      <w:tr>
        <w:trPr>
          <w:trHeight w:val="237"/>
        </w:trPr>
        <w:tc>
          <w:tcPr>
            <w:tcW w:w="5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4,172,360</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161,981,923</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1,625,198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 ended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Fixed Maturity</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Securities Available</w:t>
            </w:r>
          </w:p>
        </w:tc>
      </w:tr>
      <w:tr>
        <w:trPr>
          <w:trHeight w:val="237"/>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Commitments</w:t>
            </w:r>
          </w:p>
        </w:tc>
        <w:tc>
          <w:tcPr>
            <w:tcW w:w="18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20"/>
                <w:szCs w:val="20"/>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for Sale</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3,233,447</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161,310,060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1,431,874</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569,095,944</w:t>
            </w:r>
          </w:p>
        </w:tc>
        <w:tc>
          <w:tcPr>
            <w:tcW w:w="1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(585,545,472)</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(129,521)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(1,867,552)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2"/>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(1,504,286(1)</w:t>
            </w:r>
          </w:p>
        </w:tc>
        <w:tc>
          <w:tcPr>
            <w:tcW w:w="28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9,553,586(1)</w:t>
            </w:r>
          </w:p>
        </w:tc>
        <w:tc>
          <w:tcPr>
            <w:tcW w:w="12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(109)(2)</w:t>
            </w: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(70,057)</w:t>
            </w:r>
          </w:p>
        </w:tc>
      </w:tr>
      <w:tr>
        <w:trPr>
          <w:trHeight w:val="237"/>
        </w:trPr>
        <w:tc>
          <w:tcPr>
            <w:tcW w:w="5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r>
      <w:tr>
        <w:trPr>
          <w:trHeight w:val="22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1,729,161</w:t>
            </w:r>
          </w:p>
        </w:tc>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152,546,566</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1,232,187</w:t>
            </w:r>
          </w:p>
        </w:tc>
        <w:tc>
          <w:tcPr>
            <w:tcW w:w="320" w:type="dxa"/>
            <w:vAlign w:val="bottom"/>
            <w:tcBorders>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 ended September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Fixed Maturity</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Net Loan</w:t>
            </w:r>
          </w:p>
        </w:tc>
        <w:tc>
          <w:tcPr>
            <w:tcW w:w="14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Loans Held for</w:t>
            </w: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Securities</w:t>
            </w:r>
          </w:p>
        </w:tc>
      </w:tr>
      <w:tr>
        <w:trPr>
          <w:trHeight w:val="237"/>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Commitments</w:t>
            </w: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Sale</w:t>
            </w: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Available for Sale</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7,443,642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209,860,409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1,962,789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16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787,389,868</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(800,430,402)</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(344,630)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6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(49,428,757)</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(3,271,282(1)</w:t>
            </w: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14,590,805(1)</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7,039</w:t>
            </w:r>
          </w:p>
        </w:tc>
      </w:tr>
      <w:tr>
        <w:trPr>
          <w:trHeight w:val="237"/>
        </w:trPr>
        <w:tc>
          <w:tcPr>
            <w:tcW w:w="5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4,172,360</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161,981,923</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1,625,198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have any financial assets and financial liabilities measured at fair value on a nonrecurring basis as of September 30, 2023.</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nonrecurring basis by their classification in the condensed consolidated balance sheet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Quoted Prices in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Active Markets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for Identical</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Unobservable</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Observable Inputs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Inputs</w:t>
            </w:r>
          </w:p>
        </w:tc>
      </w:tr>
      <w:tr>
        <w:trPr>
          <w:trHeight w:val="237"/>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accounted for at fair value on a nonrecurring basis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471,786</w:t>
            </w:r>
          </w:p>
        </w:tc>
        <w:tc>
          <w:tcPr>
            <w:tcW w:w="146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471,786</w:t>
            </w: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assets accounted for at fair value on a nonrecurring basis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7" w:name="page48"/>
    <w:bookmarkEnd w:id="4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September 30, 2023 and December 31, 2022.</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Total Estimated</w:t>
            </w:r>
          </w:p>
        </w:tc>
      </w:tr>
      <w:tr>
        <w:trPr>
          <w:trHeight w:val="237"/>
        </w:trPr>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Carrying Value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Fair Value</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93,753,399</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91,471,266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91,471,266</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100,738,702</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100,740,713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100,740,713</w:t>
            </w:r>
          </w:p>
        </w:tc>
      </w:tr>
      <w:tr>
        <w:trPr>
          <w:trHeight w:val="249"/>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54,814,997</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53,928,941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53,928,941</w:t>
            </w: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Mortgage loans held for investment, net</w:t>
            </w: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249,307,098</w:t>
            </w:r>
          </w:p>
        </w:tc>
        <w:tc>
          <w:tcPr>
            <w:tcW w:w="2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w w:val="87"/>
              </w:rPr>
              <w:t>246,140,920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246,140,920</w:t>
            </w:r>
          </w:p>
        </w:tc>
        <w:tc>
          <w:tcPr>
            <w:tcW w:w="100" w:type="dxa"/>
            <w:vAlign w:val="bottom"/>
            <w:tcBorders>
              <w:top w:val="single" w:sz="8" w:color="CCEEFF"/>
            </w:tcBorders>
          </w:tcPr>
          <w:p>
            <w:pPr>
              <w:spacing w:after="0"/>
              <w:rPr>
                <w:sz w:val="17"/>
                <w:szCs w:val="17"/>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13,154,845</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13,154,845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13,154,845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41,068,740</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41,068,740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41,068,740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1,113,970</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1,113,970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9"/>
              </w:rPr>
              <w:t>Cemetery perpetual care trust investments (2)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1,962,587</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1,962,587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1,962,587</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3,494,723</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5,012,375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5,012,375</w:t>
            </w:r>
          </w:p>
        </w:tc>
      </w:tr>
      <w:tr>
        <w:trPr>
          <w:trHeight w:val="216"/>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(108,431,028)</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(108,431,028)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(108,431,028)</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(39,988,385)</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(41,141,921)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(41,141,921)</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(106,278,388)</w:t>
            </w:r>
          </w:p>
        </w:tc>
        <w:tc>
          <w:tcPr>
            <w:tcW w:w="10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(123,165,600)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(123,165,600)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other investments and policy loans on the condensed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future policy benefits and unpaid claims on the condensed consolidated balance sheets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Total Estimated</w:t>
            </w:r>
          </w:p>
        </w:tc>
      </w:tr>
      <w:tr>
        <w:trPr>
          <w:trHeight w:val="237"/>
        </w:trPr>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Carrying Value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Fair Value</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90,290,776</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88,575,293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88,575,293</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172,139,077</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172,139,077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172,139,077</w:t>
            </w:r>
          </w:p>
        </w:tc>
      </w:tr>
      <w:tr>
        <w:trPr>
          <w:trHeight w:val="249"/>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45,694,074</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44,079,537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44,079,537</w:t>
            </w: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Mortgage loans held for investment, net</w:t>
            </w: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308,123,927</w:t>
            </w:r>
          </w:p>
        </w:tc>
        <w:tc>
          <w:tcPr>
            <w:tcW w:w="2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w w:val="87"/>
              </w:rPr>
              <w:t>304,793,907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304,793,907</w:t>
            </w:r>
          </w:p>
        </w:tc>
        <w:tc>
          <w:tcPr>
            <w:tcW w:w="100" w:type="dxa"/>
            <w:vAlign w:val="bottom"/>
            <w:tcBorders>
              <w:top w:val="single" w:sz="8" w:color="CCEEFF"/>
            </w:tcBorders>
          </w:tcPr>
          <w:p>
            <w:pPr>
              <w:spacing w:after="0"/>
              <w:rPr>
                <w:sz w:val="17"/>
                <w:szCs w:val="17"/>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13,095,473</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13,095,473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13,095,473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45,332,585</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45,332,585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45,332,585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1,731,469</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1,731,469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9"/>
              </w:rPr>
              <w:t>Cemetery perpetual care trust investments (2)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1,506,517</w:t>
            </w: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1,506,517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1,506,517</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3,039,765</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3,927,877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3,927,877</w:t>
            </w:r>
          </w:p>
        </w:tc>
      </w:tr>
      <w:tr>
        <w:trPr>
          <w:trHeight w:val="216"/>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(161,712,804)</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(161,712,804)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(161,712,804)</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(41,146,171)</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(42,181,089)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(42,181,089)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(106,637,094)</w:t>
            </w:r>
          </w:p>
        </w:tc>
        <w:tc>
          <w:tcPr>
            <w:tcW w:w="10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(126,078,031)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(126,078,031)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other investments and policy loans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future policy benefits and unpaid claims on the consolidated balance sheets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Residential Construction – These loans are primarily short in maturity. Accordingly, the estimated fair value is determined to be the carrying value.</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because they are fully collateralized by the cash surrender value of the underlying insurance policies.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right="8460" w:firstLine="8"/>
        <w:spacing w:after="0" w:line="563" w:lineRule="auto"/>
        <w:tabs>
          <w:tab w:leader="none" w:pos="1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Derivative Instruments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Forward Sale Commitments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 Derivatives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discontinued its use of selling “out of the money” call options on its equity securities and the use of selling put options as a source of revenue in the first quarter of 2023.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2023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4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17"/>
                <w:szCs w:val="17"/>
                <w:color w:val="auto"/>
              </w:rPr>
            </w:pPr>
          </w:p>
        </w:tc>
        <w:tc>
          <w:tcPr>
            <w:tcW w:w="10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Asset Fair</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Liability Fair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Asset Fair</w:t>
            </w:r>
          </w:p>
        </w:tc>
        <w:tc>
          <w:tcPr>
            <w:tcW w:w="11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Liability Fair</w:t>
            </w:r>
          </w:p>
        </w:tc>
        <w:tc>
          <w:tcPr>
            <w:tcW w:w="100" w:type="dxa"/>
            <w:vAlign w:val="bottom"/>
          </w:tcPr>
          <w:p>
            <w:pPr>
              <w:spacing w:after="0"/>
              <w:rPr>
                <w:sz w:val="17"/>
                <w:szCs w:val="17"/>
                <w:color w:val="auto"/>
              </w:rPr>
            </w:pPr>
          </w:p>
        </w:tc>
      </w:tr>
      <w:tr>
        <w:trPr>
          <w:trHeight w:val="237"/>
        </w:trPr>
        <w:tc>
          <w:tcPr>
            <w:tcW w:w="204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Location</w:t>
            </w:r>
          </w:p>
        </w:tc>
        <w:tc>
          <w:tcPr>
            <w:tcW w:w="1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r>
      <w:tr>
        <w:trPr>
          <w:trHeight w:val="188"/>
        </w:trPr>
        <w:tc>
          <w:tcPr>
            <w:tcW w:w="20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Derivatives not</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designated as hedging</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40" w:type="dxa"/>
            <w:vAlign w:val="bottom"/>
          </w:tcPr>
          <w:p>
            <w:pPr>
              <w:spacing w:after="0"/>
              <w:rPr>
                <w:sz w:val="17"/>
                <w:szCs w:val="17"/>
                <w:color w:val="auto"/>
              </w:rPr>
            </w:pPr>
          </w:p>
        </w:tc>
        <w:tc>
          <w:tcPr>
            <w:tcW w:w="1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6"/>
              </w:rPr>
              <w:t>Other assets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Loan commitments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268,292,962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4,817,703</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3,088,542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453,371,808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4,089,859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1,382,979</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Call options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Other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29,715</w:t>
            </w: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Put options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Other liabilities</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654,500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13,888</w:t>
            </w:r>
          </w:p>
        </w:tc>
      </w:tr>
      <w:tr>
        <w:trPr>
          <w:trHeight w:val="230"/>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268,292,962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4,817,703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3,088,542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454,894,908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4,089,859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6"/>
          </w:tcPr>
          <w:p>
            <w:pPr>
              <w:jc w:val="center"/>
              <w:ind w:right="461"/>
              <w:spacing w:after="0"/>
              <w:rPr>
                <w:sz w:val="20"/>
                <w:szCs w:val="20"/>
                <w:color w:val="auto"/>
              </w:rPr>
            </w:pPr>
            <w:r>
              <w:rPr>
                <w:rFonts w:ascii="Arial" w:cs="Arial" w:eastAsia="Arial" w:hAnsi="Arial"/>
                <w:sz w:val="18"/>
                <w:szCs w:val="18"/>
                <w:color w:val="auto"/>
                <w:w w:val="92"/>
              </w:rPr>
              <w:t>Net Amount Gain (Loss)</w:t>
            </w:r>
          </w:p>
        </w:tc>
        <w:tc>
          <w:tcPr>
            <w:tcW w:w="220" w:type="dxa"/>
            <w:vAlign w:val="bottom"/>
          </w:tcPr>
          <w:p>
            <w:pPr>
              <w:spacing w:after="0"/>
              <w:rPr>
                <w:sz w:val="19"/>
                <w:szCs w:val="19"/>
                <w:color w:val="auto"/>
              </w:rPr>
            </w:pPr>
          </w:p>
        </w:tc>
        <w:tc>
          <w:tcPr>
            <w:tcW w:w="3100" w:type="dxa"/>
            <w:vAlign w:val="bottom"/>
            <w:gridSpan w:val="6"/>
          </w:tcPr>
          <w:p>
            <w:pPr>
              <w:jc w:val="center"/>
              <w:ind w:right="261"/>
              <w:spacing w:after="0"/>
              <w:rPr>
                <w:sz w:val="20"/>
                <w:szCs w:val="20"/>
                <w:color w:val="auto"/>
              </w:rPr>
            </w:pPr>
            <w:r>
              <w:rPr>
                <w:rFonts w:ascii="Arial" w:cs="Arial" w:eastAsia="Arial" w:hAnsi="Arial"/>
                <w:sz w:val="18"/>
                <w:szCs w:val="18"/>
                <w:color w:val="auto"/>
                <w:w w:val="93"/>
              </w:rPr>
              <w:t>Net Amount Gain (Loss)</w:t>
            </w:r>
          </w:p>
        </w:tc>
      </w:tr>
      <w:tr>
        <w:trPr>
          <w:trHeight w:val="237"/>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6"/>
          </w:tcPr>
          <w:p>
            <w:pPr>
              <w:jc w:val="center"/>
              <w:ind w:right="481"/>
              <w:spacing w:after="0"/>
              <w:rPr>
                <w:sz w:val="20"/>
                <w:szCs w:val="20"/>
                <w:color w:val="auto"/>
              </w:rPr>
            </w:pPr>
            <w:r>
              <w:rPr>
                <w:rFonts w:ascii="Arial" w:cs="Arial" w:eastAsia="Arial" w:hAnsi="Arial"/>
                <w:sz w:val="18"/>
                <w:szCs w:val="18"/>
                <w:color w:val="auto"/>
                <w:w w:val="89"/>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center"/>
              <w:ind w:right="241"/>
              <w:spacing w:after="0"/>
              <w:rPr>
                <w:sz w:val="20"/>
                <w:szCs w:val="20"/>
                <w:color w:val="auto"/>
              </w:rPr>
            </w:pPr>
            <w:r>
              <w:rPr>
                <w:rFonts w:ascii="Arial" w:cs="Arial" w:eastAsia="Arial" w:hAnsi="Arial"/>
                <w:sz w:val="18"/>
                <w:szCs w:val="18"/>
                <w:color w:val="auto"/>
                <w:w w:val="90"/>
              </w:rPr>
              <w:t>Nine Months Ended September 30,</w:t>
            </w:r>
          </w:p>
        </w:tc>
      </w:tr>
      <w:tr>
        <w:trPr>
          <w:trHeight w:val="237"/>
        </w:trPr>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Derivative</w:t>
            </w:r>
          </w:p>
        </w:tc>
        <w:tc>
          <w:tcPr>
            <w:tcW w:w="24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Classification</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4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(1,504,286</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(3,271,282</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(977,716</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(2,843,155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9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Gains on investments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2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50,045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49,963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176,274</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1" w:name="page52"/>
    <w:bookmarkEnd w:id="5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follows the procedure of reinsuring risks of more than a specified limit, which ranges from $25,000 to $100,000 on newly issued policies. The Company has also assumed various reinsurance agreements through acquisition of various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subsidiary SecurityNational Mortgage, has a line of credit with Wells Fargo Bank N.A. This agreement allows SecurityNational Mortgage to borrow up to $100,000,000 for the sole purpose of funding mortgage loans (the “Wells Fargo Bank Warehouse Line of Credit”). charges interest at the 1-Month Secured Overnight Financing Rate (“SOFR”) rate plus 2.1% and expired and was not renewed on October 31, 2023 and will not be renewed because of the lender exiting the marketplace.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allows SecurityNational Mortgage to borrow up to $100,000,000 for the sole purpose of funding mortgage loans (the “Texas Capital Bank Warehouse Line of Credit”). The agreement charges interest at the 1-Month SOFR rate plus 2.0% and matures on November 30, 2024.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through its subsidiary SecurityNational Mortgage, has a line of credit with U.S Bank. This agreement allows SecurityNational Mortgage to borrow up to $25,000,000 for the sole purpose of funding mortgage loans (the “U.S. Bank Warehouse Line of Credit” and, together with the Wells Fargo Bank Warehouse Line of Credit and the Texas Capital Bank Warehouse Line of Credit, the “Warehouse Lines of Credit”). The agreement charges interest at 2.10% plus the greater of (i) 0%, and (ii) the one-month forward-looking term rate based on SOFR and matures on December 1,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agreements for the Warehouse Lines of Credit include cross default provisions where certain events of default under other of SecurityNational Mortgage’s obligations constitute events of default under the Warehouse Lines of Credit. As of September 30, 2023, the Company was not in compliance with the net income covenant of the Warehouse Lines of Credit and has received or is in the process of receiving waivers under the Warehouse Lines of Credit from the warehouse banks. In the unlikely event the Company is required to repay the outstanding advances of approximately $10,200,000 on the warehouse line of credit that has not provided a covenant waiver, the Company has sufficient cash and borrowing capacity on the warehouse lines of credit that have provided covenant waivers to fund its origination activities. The Company has performed an internal analysis of its funding capacities of both internal and external sources and has determined that there are sufficient funds to continue its business model. The Company continues to negotiate other warehouse lines of credit with other lenders.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commitments to fund existing construction and land development loans pursuant to the various loan agreements. As of September 30, 2023, the Company’s commitments were approximately $157,247,000 for these loans, of which $104,378,000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The following table presents the MSR activity: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As of 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As of December 31,</w:t>
            </w:r>
          </w:p>
        </w:tc>
      </w:tr>
      <w:tr>
        <w:trPr>
          <w:trHeight w:val="237"/>
        </w:trPr>
        <w:tc>
          <w:tcPr>
            <w:tcW w:w="65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3,039,765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53,060,455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MSR additions resulting from loan sales (1)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907,546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10,243,922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Amortization (2)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(452,588)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(9,078,706)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Sale of MSRs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(51,185,906)</w:t>
            </w: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6500" w:type="dxa"/>
            <w:vAlign w:val="bottom"/>
          </w:tcPr>
          <w:p>
            <w:pPr>
              <w:spacing w:after="0"/>
              <w:rPr>
                <w:sz w:val="20"/>
                <w:szCs w:val="20"/>
                <w:color w:val="auto"/>
              </w:rPr>
            </w:pPr>
            <w:r>
              <w:rPr>
                <w:rFonts w:ascii="Arial" w:cs="Arial" w:eastAsia="Arial" w:hAnsi="Arial"/>
                <w:sz w:val="18"/>
                <w:szCs w:val="18"/>
                <w:color w:val="auto"/>
              </w:rPr>
              <w:t>impairment</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end of period</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3,494,723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6500" w:type="dxa"/>
            <w:vAlign w:val="bottom"/>
          </w:tcPr>
          <w:p>
            <w:pPr>
              <w:spacing w:after="0"/>
              <w:rPr>
                <w:sz w:val="20"/>
                <w:szCs w:val="20"/>
                <w:color w:val="auto"/>
              </w:rPr>
            </w:pPr>
            <w:r>
              <w:rPr>
                <w:rFonts w:ascii="Arial" w:cs="Arial" w:eastAsia="Arial" w:hAnsi="Arial"/>
                <w:sz w:val="18"/>
                <w:szCs w:val="18"/>
                <w:color w:val="auto"/>
              </w:rPr>
              <w:t>impairment</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3,494,723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3,039,765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5,012,375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3,927,877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Included in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Included in other expenses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 Mortgage Servicing Rights (Continued)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below summarizes the Company’s estimate of future amortization of its existing MSRs carried at amortized cost. This projection was developed using the Company’s assumptions in its September 30, 2023 valuation of MSRs. The assumptions used in the following table are likely to change as market conditions, portfolio composition and borrower behavior change, causing both actual and projected amortization levels to change over time.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Estimated</w:t>
            </w:r>
          </w:p>
        </w:tc>
      </w:tr>
      <w:tr>
        <w:trPr>
          <w:trHeight w:val="216"/>
        </w:trPr>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MSR</w:t>
            </w:r>
          </w:p>
        </w:tc>
      </w:tr>
      <w:tr>
        <w:trPr>
          <w:trHeight w:val="237"/>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Amortization</w:t>
            </w:r>
          </w:p>
        </w:tc>
      </w:tr>
      <w:tr>
        <w:trPr>
          <w:trHeight w:val="216"/>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2024</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317,526</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293,311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2026</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265,639</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240,113</w:t>
            </w:r>
          </w:p>
        </w:tc>
      </w:tr>
      <w:tr>
        <w:trPr>
          <w:trHeight w:val="236"/>
        </w:trPr>
        <w:tc>
          <w:tcPr>
            <w:tcW w:w="1540" w:type="dxa"/>
            <w:vAlign w:val="bottom"/>
          </w:tcPr>
          <w:p>
            <w:pPr>
              <w:spacing w:after="0"/>
              <w:rPr>
                <w:sz w:val="20"/>
                <w:szCs w:val="20"/>
                <w:color w:val="auto"/>
              </w:rPr>
            </w:pPr>
            <w:r>
              <w:rPr>
                <w:rFonts w:ascii="Arial" w:cs="Arial" w:eastAsia="Arial" w:hAnsi="Arial"/>
                <w:sz w:val="18"/>
                <w:szCs w:val="18"/>
                <w:color w:val="auto"/>
              </w:rPr>
              <w:t>Thereafter</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2,026,447</w:t>
            </w:r>
          </w:p>
        </w:tc>
      </w:tr>
      <w:tr>
        <w:trPr>
          <w:trHeight w:val="230"/>
        </w:trPr>
        <w:tc>
          <w:tcPr>
            <w:tcW w:w="1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3,494,723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September 30,</w:t>
            </w:r>
          </w:p>
        </w:tc>
      </w:tr>
      <w:tr>
        <w:trPr>
          <w:trHeight w:val="236"/>
        </w:trPr>
        <w:tc>
          <w:tcPr>
            <w:tcW w:w="38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13,845,626</w:t>
            </w:r>
          </w:p>
        </w:tc>
        <w:tc>
          <w:tcPr>
            <w:tcW w:w="80" w:type="dxa"/>
            <w:vAlign w:val="bottom"/>
            <w:shd w:val="clear" w:color="auto" w:fill="CCEEFF"/>
          </w:tcPr>
          <w:p>
            <w:pPr>
              <w:spacing w:after="0"/>
              <w:rPr>
                <w:sz w:val="18"/>
                <w:szCs w:val="18"/>
                <w:color w:val="auto"/>
              </w:rPr>
            </w:pPr>
          </w:p>
        </w:tc>
      </w:tr>
      <w:tr>
        <w:trPr>
          <w:trHeight w:val="236"/>
        </w:trPr>
        <w:tc>
          <w:tcPr>
            <w:tcW w:w="3800" w:type="dxa"/>
            <w:vAlign w:val="bottom"/>
          </w:tcPr>
          <w:p>
            <w:pPr>
              <w:spacing w:after="0"/>
              <w:rPr>
                <w:sz w:val="20"/>
                <w:szCs w:val="20"/>
                <w:color w:val="auto"/>
              </w:rPr>
            </w:pPr>
            <w:r>
              <w:rPr>
                <w:rFonts w:ascii="Arial" w:cs="Arial" w:eastAsia="Arial" w:hAnsi="Arial"/>
                <w:sz w:val="18"/>
                <w:szCs w:val="18"/>
                <w:color w:val="auto"/>
              </w:rPr>
              <w:t>Late fees</w:t>
            </w: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21,037</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107,219</w:t>
            </w:r>
          </w:p>
        </w:tc>
        <w:tc>
          <w:tcPr>
            <w:tcW w:w="2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84,358</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288,854</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4,751,616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977,026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14,134,480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As of September</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As of December</w:t>
            </w:r>
          </w:p>
        </w:tc>
      </w:tr>
      <w:tr>
        <w:trPr>
          <w:trHeight w:val="237"/>
        </w:trPr>
        <w:tc>
          <w:tcPr>
            <w:tcW w:w="36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31, 2022</w:t>
            </w:r>
          </w:p>
        </w:tc>
        <w:tc>
          <w:tcPr>
            <w:tcW w:w="4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411,911,166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360,023,384</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Prepayment</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Average</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Discount</w:t>
            </w:r>
          </w:p>
        </w:tc>
      </w:tr>
      <w:tr>
        <w:trPr>
          <w:trHeight w:val="237"/>
        </w:trPr>
        <w:tc>
          <w:tcPr>
            <w:tcW w:w="366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Speeds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Life (Years)</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Rate</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December 31, 2022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8.49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 Substantially all the consideration was received by the Company with the remainder subject to certain holdbacks during transfer of the MSRs. The Company completed the physical transfer of files prior to its deadline. The holdbacks have been received in 2023.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overall effective tax rate for the three month periods ended September 30, 2023 and 2022 was 21.7% and 28.7%, respectively, which resulted in a provision for income taxes of $1,117,397 and $(949,159), respectively, and for the nine month periods ended September 30, 2023 and 2022 was 21.9% and 24.2%, respectively, which resulted in a provision for income taxes of $3,258,740 and $1,421,036, respectively The Company’s effective tax rate is higher than the U.S. federal statutory rate of 21% due to, among other factors, state taxes as offset by certain state income tax benefits, along with certain permanent tax adjustments, such as meals and entertainment and stock-based compensation. The decrease in the effective tax rate when compared to the prior year was primarily due to a smaller increase in the valuation allowance.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65"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reports revenues from contracts with customers pursuant to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w:t>
      </w:r>
      <w:r>
        <w:rPr>
          <w:rFonts w:ascii="Arial" w:cs="Arial" w:eastAsia="Arial" w:hAnsi="Arial"/>
          <w:sz w:val="17"/>
          <w:szCs w:val="17"/>
          <w:i w:val="1"/>
          <w:iCs w:val="1"/>
          <w:color w:val="auto"/>
        </w:rPr>
        <w:t xml:space="preserve"> </w:t>
      </w:r>
      <w:r>
        <w:rPr>
          <w:rFonts w:ascii="Arial" w:cs="Arial" w:eastAsia="Arial" w:hAnsi="Arial"/>
          <w:sz w:val="17"/>
          <w:szCs w:val="17"/>
          <w:color w:val="auto"/>
        </w:rPr>
        <w:t>arises, the merchandise is received, or the service is performed. The trust is then relieved, and the revenue and commissions are recognized.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received.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Contract Balances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7"/>
                <w:szCs w:val="17"/>
                <w:color w:val="auto"/>
              </w:rPr>
            </w:pPr>
          </w:p>
        </w:tc>
      </w:tr>
      <w:tr>
        <w:trPr>
          <w:trHeight w:val="237"/>
        </w:trPr>
        <w:tc>
          <w:tcPr>
            <w:tcW w:w="486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w w:val="97"/>
              </w:rPr>
              <w:t>Receivables (1)</w:t>
            </w:r>
          </w:p>
        </w:tc>
        <w:tc>
          <w:tcPr>
            <w:tcW w:w="180" w:type="dxa"/>
            <w:vAlign w:val="bottom"/>
          </w:tcPr>
          <w:p>
            <w:pPr>
              <w:spacing w:after="0"/>
              <w:rPr>
                <w:sz w:val="20"/>
                <w:szCs w:val="20"/>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Contract Asset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Liability</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5,392,779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16,226,836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Closing (September 30, 2023)</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6,088,152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17,573,212</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9"/>
              </w:rPr>
              <w:t>Contract Balances</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89"/>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6"/>
                <w:szCs w:val="16"/>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Contract Asset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Liability</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5,298,636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Closing (December 31, 2022)</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5,392,779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16,226,836</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Receivables, net on the condensed consolidated balance sheets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revenue recognized and included in the opening contract liability balance for the three month periods ended September 30, 2023 and 2022 was $1,279,750 and $1,034,035, respectively, and for the nine month periods ended September 30, 2023 and 2022 was $3,516,215 and $3,624,463,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ind w:left="4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820" w:type="dxa"/>
            <w:vAlign w:val="bottom"/>
            <w:gridSpan w:val="6"/>
          </w:tcPr>
          <w:p>
            <w:pPr>
              <w:ind w:left="460"/>
              <w:spacing w:after="0"/>
              <w:rPr>
                <w:sz w:val="20"/>
                <w:szCs w:val="20"/>
                <w:color w:val="auto"/>
              </w:rPr>
            </w:pPr>
            <w:r>
              <w:rPr>
                <w:rFonts w:ascii="Arial" w:cs="Arial" w:eastAsia="Arial" w:hAnsi="Arial"/>
                <w:sz w:val="18"/>
                <w:szCs w:val="18"/>
                <w:color w:val="auto"/>
              </w:rPr>
              <w:t>Nine Months Ended</w:t>
            </w:r>
          </w:p>
        </w:tc>
      </w:tr>
      <w:tr>
        <w:trPr>
          <w:trHeight w:val="237"/>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2022</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196"/>
        </w:trPr>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Major goods/service lines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At-need</w:t>
            </w:r>
          </w:p>
        </w:tc>
        <w:tc>
          <w:tcPr>
            <w:tcW w:w="288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CCEEFF"/>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4,832,352</w:t>
            </w:r>
          </w:p>
        </w:tc>
        <w:tc>
          <w:tcPr>
            <w:tcW w:w="60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4,839,289</w:t>
            </w:r>
          </w:p>
        </w:tc>
        <w:tc>
          <w:tcPr>
            <w:tcW w:w="280" w:type="dxa"/>
            <w:vAlign w:val="bottom"/>
            <w:tcBorders>
              <w:top w:val="single" w:sz="8" w:color="CCEEFF"/>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14,985,838</w:t>
            </w:r>
          </w:p>
        </w:tc>
        <w:tc>
          <w:tcPr>
            <w:tcW w:w="580" w:type="dxa"/>
            <w:vAlign w:val="bottom"/>
            <w:tcBorders>
              <w:top w:val="single" w:sz="8" w:color="CCEEFF"/>
            </w:tcBorders>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16,304,276</w:t>
            </w: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Pre-need</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2,401,679</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1,631,074</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5,888,336</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4,622,311</w:t>
            </w:r>
          </w:p>
        </w:tc>
      </w:tr>
      <w:tr>
        <w:trPr>
          <w:trHeight w:val="257"/>
        </w:trPr>
        <w:tc>
          <w:tcPr>
            <w:tcW w:w="186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CCEEFF"/>
            </w:tcBorders>
          </w:tcPr>
          <w:p>
            <w:pPr>
              <w:spacing w:after="0"/>
              <w:rPr>
                <w:sz w:val="22"/>
                <w:szCs w:val="22"/>
                <w:color w:val="auto"/>
              </w:rPr>
            </w:pPr>
          </w:p>
        </w:tc>
        <w:tc>
          <w:tcPr>
            <w:tcW w:w="24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7,234,031</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6,470,363</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20,874,174</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20,926,587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74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4,762,777</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4,040,381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13,321,412</w:t>
            </w:r>
          </w:p>
        </w:tc>
        <w:tc>
          <w:tcPr>
            <w:tcW w:w="58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12,815,582</w:t>
            </w:r>
          </w:p>
        </w:tc>
      </w:tr>
      <w:tr>
        <w:trPr>
          <w:trHeight w:val="236"/>
        </w:trPr>
        <w:tc>
          <w:tcPr>
            <w:tcW w:w="4740" w:type="dxa"/>
            <w:vAlign w:val="bottom"/>
            <w:gridSpan w:val="3"/>
          </w:tcPr>
          <w:p>
            <w:pPr>
              <w:spacing w:after="0"/>
              <w:rPr>
                <w:sz w:val="20"/>
                <w:szCs w:val="20"/>
                <w:color w:val="auto"/>
              </w:rPr>
            </w:pPr>
            <w:r>
              <w:rPr>
                <w:rFonts w:ascii="Arial" w:cs="Arial" w:eastAsia="Arial" w:hAnsi="Arial"/>
                <w:sz w:val="18"/>
                <w:szCs w:val="18"/>
                <w:color w:val="auto"/>
              </w:rPr>
              <w:t>Services transferred at a point in time</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2,471,254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2,429,982</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7,552,762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8,111,005</w:t>
            </w:r>
          </w:p>
        </w:tc>
      </w:tr>
      <w:tr>
        <w:trPr>
          <w:trHeight w:val="230"/>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7,234,031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6,470,363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20,874,174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20,926,587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7" w:name="page58"/>
    <w:bookmarkEnd w:id="57"/>
    <w:p>
      <w:pPr>
        <w:jc w:val="center"/>
        <w:ind w:left="340" w:right="268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ectPr>
          <w:pgSz w:w="11900" w:h="16838" w:orient="portrait"/>
          <w:cols w:equalWidth="0" w:num="1">
            <w:col w:w="11220"/>
          </w:cols>
          <w:pgMar w:left="320" w:top="6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Net mortuary and cemetery sales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Losses on investments and other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120" w:type="dxa"/>
            <w:vAlign w:val="bottom"/>
            <w:gridSpan w:val="6"/>
          </w:tcPr>
          <w:p>
            <w:pPr>
              <w:jc w:val="center"/>
              <w:ind w:right="660"/>
              <w:spacing w:after="0"/>
              <w:rPr>
                <w:sz w:val="20"/>
                <w:szCs w:val="20"/>
                <w:color w:val="auto"/>
              </w:rPr>
            </w:pPr>
            <w:r>
              <w:rPr>
                <w:rFonts w:ascii="Arial" w:cs="Arial" w:eastAsia="Arial" w:hAnsi="Arial"/>
                <w:sz w:val="18"/>
                <w:szCs w:val="18"/>
                <w:color w:val="auto"/>
                <w:w w:val="89"/>
              </w:rPr>
              <w:t>Three Months Ended</w:t>
            </w:r>
          </w:p>
        </w:tc>
        <w:tc>
          <w:tcPr>
            <w:tcW w:w="280" w:type="dxa"/>
            <w:vAlign w:val="bottom"/>
          </w:tcPr>
          <w:p>
            <w:pPr>
              <w:spacing w:after="0"/>
              <w:rPr>
                <w:sz w:val="18"/>
                <w:szCs w:val="18"/>
                <w:color w:val="auto"/>
              </w:rPr>
            </w:pPr>
          </w:p>
        </w:tc>
        <w:tc>
          <w:tcPr>
            <w:tcW w:w="2780" w:type="dxa"/>
            <w:vAlign w:val="bottom"/>
            <w:gridSpan w:val="8"/>
          </w:tcPr>
          <w:p>
            <w:pPr>
              <w:jc w:val="center"/>
              <w:ind w:right="40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8"/>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8"/>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2022</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7,234,031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25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6,470,363</w:t>
            </w:r>
          </w:p>
        </w:tc>
        <w:tc>
          <w:tcPr>
            <w:tcW w:w="3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20,874,174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20,926,587</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(452,120)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(640,593)</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(200,610)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(1,615,253)</w:t>
            </w:r>
          </w:p>
        </w:tc>
      </w:tr>
      <w:tr>
        <w:trPr>
          <w:trHeight w:val="229"/>
        </w:trPr>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516,094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681,239</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2,460,859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1,916,970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118,418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180,989</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292,904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217,906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7,416,423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6,691,998</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23,427,327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21,446,210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-753745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-471170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-179705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020" w:space="720"/>
            <w:col w:w="6480"/>
          </w:cols>
          <w:pgMar w:left="320" w:top="692"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Arial" w:cs="Arial" w:eastAsia="Arial" w:hAnsi="Arial"/>
                <w:sz w:val="18"/>
                <w:szCs w:val="18"/>
                <w:color w:val="auto"/>
              </w:rPr>
              <w:t>14) Receivables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Arial" w:cs="Arial" w:eastAsia="Arial" w:hAnsi="Arial"/>
                <w:sz w:val="18"/>
                <w:szCs w:val="18"/>
                <w:color w:val="auto"/>
              </w:rPr>
              <w:t>Receivables consist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color w:val="auto"/>
              </w:rPr>
              <w:t>As of September 30,</w:t>
            </w:r>
          </w:p>
        </w:tc>
        <w:tc>
          <w:tcPr>
            <w:tcW w:w="1600" w:type="dxa"/>
            <w:vAlign w:val="bottom"/>
            <w:gridSpan w:val="4"/>
          </w:tcPr>
          <w:p>
            <w:pPr>
              <w:jc w:val="right"/>
              <w:ind w:right="120"/>
              <w:spacing w:after="0"/>
              <w:rPr>
                <w:sz w:val="20"/>
                <w:szCs w:val="20"/>
                <w:color w:val="auto"/>
              </w:rPr>
            </w:pPr>
            <w:r>
              <w:rPr>
                <w:rFonts w:ascii="Arial" w:cs="Arial" w:eastAsia="Arial" w:hAnsi="Arial"/>
                <w:sz w:val="18"/>
                <w:szCs w:val="18"/>
                <w:color w:val="auto"/>
                <w:w w:val="91"/>
              </w:rPr>
              <w:t>As of December 31,</w:t>
            </w:r>
          </w:p>
        </w:tc>
      </w:tr>
      <w:tr>
        <w:trPr>
          <w:trHeight w:val="237"/>
        </w:trPr>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Contracts with customers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6,088,152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5,392,779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Receivables from sales agents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2,527,586</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2,209,185</w:t>
            </w:r>
          </w:p>
        </w:tc>
        <w:tc>
          <w:tcPr>
            <w:tcW w:w="60" w:type="dxa"/>
            <w:vAlign w:val="bottom"/>
          </w:tcPr>
          <w:p>
            <w:pPr>
              <w:spacing w:after="0"/>
              <w:rPr>
                <w:sz w:val="18"/>
                <w:szCs w:val="18"/>
                <w:color w:val="auto"/>
              </w:rPr>
            </w:pPr>
          </w:p>
        </w:tc>
      </w:tr>
      <w:tr>
        <w:trPr>
          <w:trHeight w:val="249"/>
        </w:trPr>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8,404,014</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23,200,919</w:t>
            </w:r>
          </w:p>
        </w:tc>
        <w:tc>
          <w:tcPr>
            <w:tcW w:w="60" w:type="dxa"/>
            <w:vAlign w:val="bottom"/>
            <w:shd w:val="clear" w:color="auto" w:fill="CCEEFF"/>
          </w:tcPr>
          <w:p>
            <w:pPr>
              <w:spacing w:after="0"/>
              <w:rPr>
                <w:sz w:val="21"/>
                <w:szCs w:val="21"/>
                <w:color w:val="auto"/>
              </w:rPr>
            </w:pPr>
          </w:p>
        </w:tc>
      </w:tr>
      <w:tr>
        <w:trPr>
          <w:trHeight w:val="203"/>
        </w:trPr>
        <w:tc>
          <w:tcPr>
            <w:tcW w:w="560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Total receivables</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17,019,752</w:t>
            </w: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30,802,883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(1,520,801)</w:t>
            </w:r>
          </w:p>
        </w:tc>
        <w:tc>
          <w:tcPr>
            <w:tcW w:w="3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(2,229,791)</w:t>
            </w:r>
          </w:p>
        </w:tc>
      </w:tr>
      <w:tr>
        <w:trPr>
          <w:trHeight w:val="216"/>
        </w:trPr>
        <w:tc>
          <w:tcPr>
            <w:tcW w:w="56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receivables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15,498,951</w:t>
            </w: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28,573,092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an allowance for credit losses for its receivables in accordance with GAAP. See Note 2 regarding the adoption of ASU 2016-13.</w:t>
      </w:r>
    </w:p>
    <w:p>
      <w:pPr>
        <w:sectPr>
          <w:pgSz w:w="11900" w:h="16838" w:orient="portrait"/>
          <w:cols w:equalWidth="0" w:num="1">
            <w:col w:w="11220"/>
          </w:cols>
          <w:pgMar w:left="320" w:top="692" w:right="3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570039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January 1, 2023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Charge-offs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039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provision for credit losses (1)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Charge-offs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0039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3" w:lineRule="exact"/>
        <w:rPr>
          <w:sz w:val="20"/>
          <w:szCs w:val="20"/>
          <w:color w:val="auto"/>
        </w:rPr>
      </w:pPr>
    </w:p>
    <w:p>
      <w:pPr>
        <w:ind w:left="5540" w:right="499" w:hanging="5532"/>
        <w:spacing w:after="0" w:line="460" w:lineRule="auto"/>
        <w:tabs>
          <w:tab w:leader="none" w:pos="338"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Included in other expenses on the condensed consolidated statements of earnings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1"/>
        <w:spacing w:after="0"/>
        <w:rPr>
          <w:sz w:val="20"/>
          <w:szCs w:val="20"/>
          <w:color w:val="auto"/>
        </w:rPr>
      </w:pPr>
      <w:r>
        <w:rPr>
          <w:rFonts w:ascii="Arial" w:cs="Arial" w:eastAsia="Arial" w:hAnsi="Arial"/>
          <w:sz w:val="18"/>
          <w:szCs w:val="18"/>
          <w:color w:val="auto"/>
        </w:rPr>
        <w:t>Allowance</w:t>
      </w:r>
    </w:p>
    <w:p>
      <w:pPr>
        <w:spacing w:after="0" w:line="36" w:lineRule="exact"/>
        <w:rPr>
          <w:sz w:val="20"/>
          <w:szCs w:val="20"/>
          <w:color w:val="auto"/>
        </w:rPr>
      </w:pPr>
    </w:p>
    <w:p>
      <w:pPr>
        <w:ind w:left="801" w:hanging="801"/>
        <w:spacing w:after="0"/>
        <w:tabs>
          <w:tab w:leader="none" w:pos="801" w:val="left"/>
        </w:tabs>
        <w:numPr>
          <w:ilvl w:val="0"/>
          <w:numId w:val="67"/>
        </w:numPr>
        <w:rPr>
          <w:rFonts w:ascii="Arial" w:cs="Arial" w:eastAsia="Arial" w:hAnsi="Arial"/>
          <w:sz w:val="17"/>
          <w:szCs w:val="17"/>
          <w:color w:val="auto"/>
        </w:rPr>
      </w:pPr>
      <w:r>
        <w:rPr>
          <w:rFonts w:ascii="Arial" w:cs="Arial" w:eastAsia="Arial" w:hAnsi="Arial"/>
          <w:sz w:val="17"/>
          <w:szCs w:val="17"/>
          <w:color w:val="auto"/>
        </w:rPr>
        <w:t>2,229,791</w:t>
      </w:r>
    </w:p>
    <w:p>
      <w:pPr>
        <w:spacing w:after="0" w:line="34" w:lineRule="exact"/>
        <w:rPr>
          <w:rFonts w:ascii="Arial" w:cs="Arial" w:eastAsia="Arial" w:hAnsi="Arial"/>
          <w:sz w:val="17"/>
          <w:szCs w:val="17"/>
          <w:color w:val="auto"/>
        </w:rPr>
      </w:pPr>
    </w:p>
    <w:p>
      <w:pPr>
        <w:ind w:left="881"/>
        <w:spacing w:after="0"/>
        <w:rPr>
          <w:rFonts w:ascii="Arial" w:cs="Arial" w:eastAsia="Arial" w:hAnsi="Arial"/>
          <w:sz w:val="17"/>
          <w:szCs w:val="17"/>
          <w:color w:val="auto"/>
        </w:rPr>
      </w:pPr>
      <w:r>
        <w:rPr>
          <w:rFonts w:ascii="Arial" w:cs="Arial" w:eastAsia="Arial" w:hAnsi="Arial"/>
          <w:sz w:val="16"/>
          <w:szCs w:val="16"/>
          <w:color w:val="auto"/>
        </w:rPr>
        <w:t>(597,430)</w:t>
      </w:r>
    </w:p>
    <w:p>
      <w:pPr>
        <w:spacing w:after="0" w:line="32" w:lineRule="exact"/>
        <w:rPr>
          <w:rFonts w:ascii="Arial" w:cs="Arial" w:eastAsia="Arial" w:hAnsi="Arial"/>
          <w:sz w:val="17"/>
          <w:szCs w:val="17"/>
          <w:color w:val="auto"/>
        </w:rPr>
      </w:pPr>
    </w:p>
    <w:p>
      <w:pPr>
        <w:ind w:left="901"/>
        <w:spacing w:after="0"/>
        <w:rPr>
          <w:rFonts w:ascii="Arial" w:cs="Arial" w:eastAsia="Arial" w:hAnsi="Arial"/>
          <w:sz w:val="17"/>
          <w:szCs w:val="17"/>
          <w:color w:val="auto"/>
        </w:rPr>
      </w:pPr>
      <w:r>
        <w:rPr>
          <w:rFonts w:ascii="Arial" w:cs="Arial" w:eastAsia="Arial" w:hAnsi="Arial"/>
          <w:sz w:val="15"/>
          <w:szCs w:val="15"/>
          <w:color w:val="auto"/>
        </w:rPr>
        <w:t>(111,560)</w:t>
      </w:r>
    </w:p>
    <w:p>
      <w:pPr>
        <w:spacing w:after="0" w:line="83" w:lineRule="exact"/>
        <w:rPr>
          <w:sz w:val="20"/>
          <w:szCs w:val="20"/>
          <w:color w:val="auto"/>
        </w:rPr>
      </w:pPr>
    </w:p>
    <w:p>
      <w:pPr>
        <w:ind w:left="801" w:hanging="801"/>
        <w:spacing w:after="0"/>
        <w:tabs>
          <w:tab w:leader="none" w:pos="801" w:val="left"/>
        </w:tabs>
        <w:numPr>
          <w:ilvl w:val="0"/>
          <w:numId w:val="68"/>
        </w:numPr>
        <w:rPr>
          <w:rFonts w:ascii="Arial" w:cs="Arial" w:eastAsia="Arial" w:hAnsi="Arial"/>
          <w:sz w:val="17"/>
          <w:szCs w:val="17"/>
          <w:color w:val="auto"/>
        </w:rPr>
      </w:pPr>
      <w:r>
        <w:rPr>
          <w:rFonts w:ascii="Arial" w:cs="Arial" w:eastAsia="Arial" w:hAnsi="Arial"/>
          <w:sz w:val="17"/>
          <w:szCs w:val="17"/>
          <w:color w:val="auto"/>
        </w:rPr>
        <w:t>1,520,801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9683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57" w:lineRule="exact"/>
        <w:rPr>
          <w:sz w:val="20"/>
          <w:szCs w:val="20"/>
          <w:color w:val="auto"/>
        </w:rPr>
      </w:pPr>
    </w:p>
    <w:p>
      <w:pPr>
        <w:ind w:left="801" w:hanging="801"/>
        <w:spacing w:after="0"/>
        <w:tabs>
          <w:tab w:leader="none" w:pos="801" w:val="left"/>
        </w:tabs>
        <w:numPr>
          <w:ilvl w:val="0"/>
          <w:numId w:val="69"/>
        </w:numPr>
        <w:rPr>
          <w:rFonts w:ascii="Arial" w:cs="Arial" w:eastAsia="Arial" w:hAnsi="Arial"/>
          <w:sz w:val="17"/>
          <w:szCs w:val="17"/>
          <w:color w:val="auto"/>
        </w:rPr>
      </w:pPr>
      <w:r>
        <w:rPr>
          <w:rFonts w:ascii="Arial" w:cs="Arial" w:eastAsia="Arial" w:hAnsi="Arial"/>
          <w:sz w:val="17"/>
          <w:szCs w:val="17"/>
          <w:color w:val="auto"/>
        </w:rPr>
        <w:t>1,800,725</w:t>
      </w:r>
    </w:p>
    <w:p>
      <w:pPr>
        <w:spacing w:after="0" w:line="34" w:lineRule="exact"/>
        <w:rPr>
          <w:rFonts w:ascii="Arial" w:cs="Arial" w:eastAsia="Arial" w:hAnsi="Arial"/>
          <w:sz w:val="17"/>
          <w:szCs w:val="17"/>
          <w:color w:val="auto"/>
        </w:rPr>
      </w:pPr>
    </w:p>
    <w:p>
      <w:pPr>
        <w:ind w:left="941"/>
        <w:spacing w:after="0"/>
        <w:rPr>
          <w:rFonts w:ascii="Arial" w:cs="Arial" w:eastAsia="Arial" w:hAnsi="Arial"/>
          <w:sz w:val="17"/>
          <w:szCs w:val="17"/>
          <w:color w:val="auto"/>
        </w:rPr>
      </w:pPr>
      <w:r>
        <w:rPr>
          <w:rFonts w:ascii="Arial" w:cs="Arial" w:eastAsia="Arial" w:hAnsi="Arial"/>
          <w:sz w:val="17"/>
          <w:szCs w:val="17"/>
          <w:color w:val="auto"/>
        </w:rPr>
        <w:t>799,888</w:t>
      </w:r>
    </w:p>
    <w:p>
      <w:pPr>
        <w:spacing w:after="0" w:line="21" w:lineRule="exact"/>
        <w:rPr>
          <w:sz w:val="20"/>
          <w:szCs w:val="20"/>
          <w:color w:val="auto"/>
        </w:rPr>
      </w:pPr>
    </w:p>
    <w:p>
      <w:pPr>
        <w:jc w:val="center"/>
        <w:ind w:right="1379"/>
        <w:spacing w:after="0"/>
        <w:rPr>
          <w:sz w:val="20"/>
          <w:szCs w:val="20"/>
          <w:color w:val="auto"/>
        </w:rPr>
      </w:pPr>
      <w:r>
        <w:rPr>
          <w:rFonts w:ascii="Arial" w:cs="Arial" w:eastAsia="Arial" w:hAnsi="Arial"/>
          <w:sz w:val="16"/>
          <w:szCs w:val="16"/>
          <w:color w:val="auto"/>
        </w:rPr>
        <w:t>(370,822)</w:t>
      </w:r>
    </w:p>
    <w:p>
      <w:pPr>
        <w:spacing w:after="0" w:line="72" w:lineRule="exact"/>
        <w:rPr>
          <w:sz w:val="20"/>
          <w:szCs w:val="20"/>
          <w:color w:val="auto"/>
        </w:rPr>
      </w:pPr>
    </w:p>
    <w:p>
      <w:pPr>
        <w:ind w:left="801" w:hanging="801"/>
        <w:spacing w:after="0"/>
        <w:tabs>
          <w:tab w:leader="none" w:pos="801" w:val="left"/>
        </w:tabs>
        <w:numPr>
          <w:ilvl w:val="0"/>
          <w:numId w:val="70"/>
        </w:numPr>
        <w:rPr>
          <w:rFonts w:ascii="Arial" w:cs="Arial" w:eastAsia="Arial" w:hAnsi="Arial"/>
          <w:sz w:val="17"/>
          <w:szCs w:val="17"/>
          <w:color w:val="auto"/>
        </w:rPr>
      </w:pPr>
      <w:r>
        <w:rPr>
          <w:rFonts w:ascii="Arial" w:cs="Arial" w:eastAsia="Arial" w:hAnsi="Arial"/>
          <w:sz w:val="17"/>
          <w:szCs w:val="17"/>
          <w:color w:val="auto"/>
        </w:rPr>
        <w:t>2,229,791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9683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ectPr>
          <w:pgSz w:w="11900" w:h="16838" w:orient="portrait"/>
          <w:cols w:equalWidth="0" w:num="2">
            <w:col w:w="6659" w:space="720"/>
            <w:col w:w="3841"/>
          </w:cols>
          <w:pgMar w:left="320" w:top="692" w:right="359" w:bottom="1440" w:gutter="0" w:footer="0" w:header="0"/>
          <w:type w:val="continuous"/>
        </w:sectPr>
      </w:pPr>
    </w:p>
    <w:bookmarkStart w:id="58" w:name="page59"/>
    <w:bookmarkEnd w:id="5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cemetery perpetual care investments and obligation as of September 30,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Allowance for</w:t>
            </w: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Amortized Cost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Credit 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6"/>
        </w:trPr>
        <w:tc>
          <w:tcPr>
            <w:tcW w:w="3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2023: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U.S. Treasury securities and obligations of U.S.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3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208,568</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206,939</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18"/>
                <w:szCs w:val="18"/>
                <w:color w:val="auto"/>
              </w:rPr>
            </w:pPr>
          </w:p>
        </w:tc>
        <w:tc>
          <w:tcPr>
            <w:tcW w:w="1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120,340</w:t>
            </w:r>
          </w:p>
        </w:tc>
        <w:tc>
          <w:tcPr>
            <w:tcW w:w="0" w:type="dxa"/>
            <w:vAlign w:val="bottom"/>
          </w:tcPr>
          <w:p>
            <w:pPr>
              <w:spacing w:after="0"/>
              <w:rPr>
                <w:sz w:val="1"/>
                <w:szCs w:val="1"/>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40,113</w:t>
            </w:r>
          </w:p>
        </w:tc>
        <w:tc>
          <w:tcPr>
            <w:tcW w:w="0" w:type="dxa"/>
            <w:vAlign w:val="bottom"/>
          </w:tcPr>
          <w:p>
            <w:pPr>
              <w:spacing w:after="0"/>
              <w:rPr>
                <w:sz w:val="1"/>
                <w:szCs w:val="1"/>
                <w:color w:val="auto"/>
              </w:rPr>
            </w:pPr>
          </w:p>
        </w:tc>
      </w:tr>
      <w:tr>
        <w:trPr>
          <w:trHeight w:val="257"/>
        </w:trPr>
        <w:tc>
          <w:tcPr>
            <w:tcW w:w="398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w w:val="96"/>
              </w:rPr>
              <w:t>Total fixed maturity securities available for sale</w:t>
            </w:r>
          </w:p>
        </w:tc>
        <w:tc>
          <w:tcPr>
            <w:tcW w:w="10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379,163</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367,392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8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3,507,720</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624,037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(275,952)</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3,855,805</w:t>
            </w:r>
          </w:p>
        </w:tc>
        <w:tc>
          <w:tcPr>
            <w:tcW w:w="0" w:type="dxa"/>
            <w:vAlign w:val="bottom"/>
          </w:tcPr>
          <w:p>
            <w:pPr>
              <w:spacing w:after="0"/>
              <w:rPr>
                <w:sz w:val="1"/>
                <w:szCs w:val="1"/>
                <w:color w:val="auto"/>
              </w:rPr>
            </w:pPr>
          </w:p>
        </w:tc>
      </w:tr>
      <w:tr>
        <w:trPr>
          <w:trHeight w:val="230"/>
        </w:trPr>
        <w:tc>
          <w:tcPr>
            <w:tcW w:w="3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3,507,720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Mortgage loans held for investment at amortized cost: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1,966,520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1,962,587</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spacing w:after="0"/>
              <w:rPr>
                <w:sz w:val="20"/>
                <w:szCs w:val="20"/>
                <w:color w:val="auto"/>
              </w:rPr>
            </w:pPr>
            <w:r>
              <w:rPr>
                <w:rFonts w:ascii="Arial" w:cs="Arial" w:eastAsia="Arial" w:hAnsi="Arial"/>
                <w:sz w:val="18"/>
                <w:szCs w:val="18"/>
                <w:color w:val="auto"/>
              </w:rPr>
              <w:t>Real estate held for investment: Residential</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30,632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1,424,574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spacing w:after="0"/>
              <w:rPr>
                <w:sz w:val="20"/>
                <w:szCs w:val="20"/>
                <w:color w:val="auto"/>
              </w:rPr>
            </w:pPr>
            <w:r>
              <w:rPr>
                <w:rFonts w:ascii="Arial" w:cs="Arial" w:eastAsia="Arial" w:hAnsi="Arial"/>
                <w:sz w:val="18"/>
                <w:szCs w:val="18"/>
                <w:color w:val="auto"/>
              </w:rPr>
              <w:t>Total cemetery perpetual care trust investments</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7,640,990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spacing w:after="0"/>
              <w:rPr>
                <w:sz w:val="20"/>
                <w:szCs w:val="20"/>
                <w:color w:val="auto"/>
              </w:rPr>
            </w:pPr>
            <w:r>
              <w:rPr>
                <w:rFonts w:ascii="Arial" w:cs="Arial" w:eastAsia="Arial" w:hAnsi="Arial"/>
                <w:sz w:val="18"/>
                <w:szCs w:val="18"/>
                <w:color w:val="auto"/>
              </w:rPr>
              <w:t>Cemetery perpetual care obligation</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(5,265,166)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spacing w:after="0"/>
              <w:rPr>
                <w:sz w:val="20"/>
                <w:szCs w:val="20"/>
                <w:color w:val="auto"/>
              </w:rPr>
            </w:pPr>
            <w:r>
              <w:rPr>
                <w:rFonts w:ascii="Arial" w:cs="Arial" w:eastAsia="Arial" w:hAnsi="Arial"/>
                <w:sz w:val="18"/>
                <w:szCs w:val="18"/>
                <w:color w:val="auto"/>
              </w:rPr>
              <w:t>Trust investments in excess of trust obligations</w:t>
            </w:r>
          </w:p>
        </w:tc>
        <w:tc>
          <w:tcPr>
            <w:tcW w:w="3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2,375,824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57</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9" w:name="page60"/>
    <w:bookmarkEnd w:id="5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cemetery perpetual care investments and obligation as of December 31,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14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3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89,004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89,008</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174,201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3,195,942</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584,383</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(175,163)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3,605,162</w:t>
            </w:r>
          </w:p>
        </w:tc>
        <w:tc>
          <w:tcPr>
            <w:tcW w:w="0" w:type="dxa"/>
            <w:vAlign w:val="bottom"/>
          </w:tcPr>
          <w:p>
            <w:pPr>
              <w:spacing w:after="0"/>
              <w:rPr>
                <w:sz w:val="1"/>
                <w:szCs w:val="1"/>
                <w:color w:val="auto"/>
              </w:rPr>
            </w:pPr>
          </w:p>
        </w:tc>
      </w:tr>
      <w:tr>
        <w:trPr>
          <w:trHeight w:val="257"/>
        </w:trPr>
        <w:tc>
          <w:tcPr>
            <w:tcW w:w="474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3,195,942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584,383</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3,605,162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gridSpan w:val="3"/>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1,506,517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gridSpan w:val="3"/>
          </w:tcPr>
          <w:p>
            <w:pPr>
              <w:spacing w:after="0"/>
              <w:rPr>
                <w:sz w:val="20"/>
                <w:szCs w:val="20"/>
                <w:color w:val="auto"/>
              </w:rPr>
            </w:pPr>
            <w:r>
              <w:rPr>
                <w:rFonts w:ascii="Arial" w:cs="Arial" w:eastAsia="Arial" w:hAnsi="Arial"/>
                <w:sz w:val="18"/>
                <w:szCs w:val="18"/>
                <w:color w:val="auto"/>
              </w:rPr>
              <w:t>Real estate held for investment: 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(16,178)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1,925,978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gridSpan w:val="3"/>
          </w:tcPr>
          <w:p>
            <w:pPr>
              <w:spacing w:after="0"/>
              <w:rPr>
                <w:sz w:val="20"/>
                <w:szCs w:val="20"/>
                <w:color w:val="auto"/>
              </w:rPr>
            </w:pPr>
            <w:r>
              <w:rPr>
                <w:rFonts w:ascii="Arial" w:cs="Arial" w:eastAsia="Arial" w:hAnsi="Arial"/>
                <w:sz w:val="18"/>
                <w:szCs w:val="18"/>
                <w:color w:val="auto"/>
              </w:rPr>
              <w:t>Total cemetery perpetual care trust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7,276,210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gridSpan w:val="3"/>
          </w:tcPr>
          <w:p>
            <w:pPr>
              <w:spacing w:after="0"/>
              <w:rPr>
                <w:sz w:val="20"/>
                <w:szCs w:val="20"/>
                <w:color w:val="auto"/>
              </w:rPr>
            </w:pPr>
            <w:r>
              <w:rPr>
                <w:rFonts w:ascii="Arial" w:cs="Arial" w:eastAsia="Arial" w:hAnsi="Arial"/>
                <w:sz w:val="18"/>
                <w:szCs w:val="18"/>
                <w:color w:val="auto"/>
              </w:rPr>
              <w:t>Cemetery perpetual care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(5,099,542)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tcPr>
          <w:p>
            <w:pPr>
              <w:spacing w:after="0"/>
              <w:rPr>
                <w:sz w:val="20"/>
                <w:szCs w:val="20"/>
                <w:color w:val="auto"/>
              </w:rPr>
            </w:pPr>
            <w:r>
              <w:rPr>
                <w:rFonts w:ascii="Arial" w:cs="Arial" w:eastAsia="Arial" w:hAnsi="Arial"/>
                <w:sz w:val="18"/>
                <w:szCs w:val="18"/>
                <w:color w:val="auto"/>
              </w:rPr>
              <w:t>Trust investments in excess of trust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2,176,668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unrealized losses on fixed maturity securities available for sale that were carried at estimated fair value as of September 30, 2023 and December 31, 2022. The unrealized losses were primarily related to interest rate fluctuations. The tables set forth unrealized losses by duration with the fair value of the related fixed maturity securities: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30, 2023</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U.S. Treasury securities and obligations of U.S. Government agencies</w:t>
      </w:r>
    </w:p>
    <w:p>
      <w:pPr>
        <w:spacing w:after="0" w:line="1" w:lineRule="exact"/>
        <w:rPr>
          <w:sz w:val="20"/>
          <w:szCs w:val="20"/>
          <w:color w:val="auto"/>
        </w:rPr>
      </w:pPr>
    </w:p>
    <w:p>
      <w:pPr>
        <w:ind w:right="1000"/>
        <w:spacing w:after="0" w:line="290" w:lineRule="auto"/>
        <w:rPr>
          <w:sz w:val="20"/>
          <w:szCs w:val="20"/>
          <w:color w:val="auto"/>
        </w:rPr>
      </w:pPr>
      <w:r>
        <w:rPr>
          <w:rFonts w:ascii="Arial" w:cs="Arial" w:eastAsia="Arial" w:hAnsi="Arial"/>
          <w:sz w:val="16"/>
          <w:szCs w:val="16"/>
          <w:color w:val="auto"/>
        </w:rPr>
        <w:t>Obligations of states and political subdivisions Corporate securities including public utilities</w:t>
      </w:r>
    </w:p>
    <w:p>
      <w:pPr>
        <w:spacing w:after="0"/>
        <w:rPr>
          <w:sz w:val="20"/>
          <w:szCs w:val="20"/>
          <w:color w:val="auto"/>
        </w:rPr>
      </w:pPr>
      <w:r>
        <w:rPr>
          <w:rFonts w:ascii="Arial" w:cs="Arial" w:eastAsia="Arial" w:hAnsi="Arial"/>
          <w:sz w:val="18"/>
          <w:szCs w:val="18"/>
          <w:color w:val="auto"/>
        </w:rPr>
        <w:t>Total unrealized losses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2022</w:t>
      </w:r>
    </w:p>
    <w:p>
      <w:pPr>
        <w:spacing w:after="0" w:line="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U.S. Treasury securities and obligations of U.S. Government agencies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Losses for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Less than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More than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Twelve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Twelve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Months</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Loss</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r>
      <w:tr>
        <w:trPr>
          <w:trHeight w:val="63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139,633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139,633</w:t>
            </w:r>
          </w:p>
        </w:tc>
      </w:tr>
      <w:tr>
        <w:trPr>
          <w:trHeight w:val="229"/>
        </w:trPr>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9,169</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120,340</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9,169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120,340</w:t>
            </w:r>
          </w:p>
        </w:tc>
      </w:tr>
      <w:tr>
        <w:trPr>
          <w:trHeight w:val="237"/>
        </w:trPr>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40,113</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40,113</w:t>
            </w:r>
          </w:p>
        </w:tc>
      </w:tr>
      <w:tr>
        <w:trPr>
          <w:trHeight w:val="22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160,453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300,086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4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59,392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-1438275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-1017905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-726440</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-409575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240"/>
            <w:col w:w="662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94,612</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6,633</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71,112</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165,724</w:t>
            </w:r>
          </w:p>
        </w:tc>
      </w:tr>
      <w:tr>
        <w:trPr>
          <w:trHeight w:val="216"/>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unrealized losses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154,004</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225,116</w:t>
            </w:r>
          </w:p>
        </w:tc>
        <w:tc>
          <w:tcPr>
            <w:tcW w:w="100" w:type="dxa"/>
            <w:vAlign w:val="bottom"/>
            <w:tcBorders>
              <w:top w:val="single" w:sz="8" w:color="CCEEFF"/>
            </w:tcBorders>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60" w:name="page61"/>
    <w:bookmarkEnd w:id="6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Relevant holdings were comprised of four securities with fair values aggregating 96.0% of the aggregate amortized cost as of September 30, 2023. Relevant holdings were comprised of five securities with fair values aggregating 96.4% of aggregate amortized cost as of December 31, 2022. No credit losses have been recognized for the three and nine month periods ended September 30, 2023 and 2022, since the increase in unrealized losses is primarily a result of the recent increases in interest and inflation rates. See Note 3 for additional information regarding the Company’s evaluation of the allowance for credit losses for fixed maturity securities available for sale.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amortized cost and estimated fair value of fixed maturity securities available for sale as of September 30,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Due in 1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in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Due in more than 10 years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Assets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9"/>
                <w:szCs w:val="19"/>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Estimated Fair</w:t>
            </w:r>
          </w:p>
        </w:tc>
      </w:tr>
      <w:tr>
        <w:trPr>
          <w:trHeight w:val="237"/>
        </w:trPr>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Cost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r>
      <w:tr>
        <w:trPr>
          <w:trHeight w:val="20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29,573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30,000</w:t>
            </w:r>
          </w:p>
        </w:tc>
        <w:tc>
          <w:tcPr>
            <w:tcW w:w="2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254,242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245,011</w:t>
            </w:r>
          </w:p>
        </w:tc>
      </w:tr>
      <w:tr>
        <w:trPr>
          <w:trHeight w:val="230"/>
        </w:trPr>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41,086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40,113</w:t>
            </w:r>
          </w:p>
        </w:tc>
      </w:tr>
      <w:tr>
        <w:trPr>
          <w:trHeight w:val="237"/>
        </w:trPr>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54,262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52,268</w:t>
            </w: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379,163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367,392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-753745</wp:posOffset>
            </wp:positionV>
            <wp:extent cx="427736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-471170</wp:posOffset>
            </wp:positionV>
            <wp:extent cx="42773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-179070</wp:posOffset>
            </wp:positionV>
            <wp:extent cx="427736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3480" w:space="720"/>
            <w:col w:w="7040"/>
          </w:cols>
          <w:pgMar w:left="320" w:top="692" w:right="3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1" w:name="page62"/>
    <w:bookmarkEnd w:id="6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right="4100" w:firstLine="8"/>
        <w:spacing w:after="0" w:line="500" w:lineRule="auto"/>
        <w:tabs>
          <w:tab w:leader="none" w:pos="2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 Restricted assets as of September 30, 2023,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Gross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90"/>
              </w:rPr>
              <w:t>Unrealized</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Allowance for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7"/>
        </w:trPr>
        <w:tc>
          <w:tcPr>
            <w:tcW w:w="1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Losses</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Credit Losses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r>
      <w:tr>
        <w:trPr>
          <w:trHeight w:val="175"/>
        </w:trPr>
        <w:tc>
          <w:tcPr>
            <w:tcW w:w="4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2023:</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389,641</w:t>
            </w:r>
          </w:p>
        </w:tc>
        <w:tc>
          <w:tcPr>
            <w:tcW w:w="1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(4,002)</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386,563</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771,564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(19,526)</w:t>
            </w:r>
          </w:p>
        </w:tc>
        <w:tc>
          <w:tcPr>
            <w:tcW w:w="104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752,239</w:t>
            </w:r>
          </w:p>
        </w:tc>
      </w:tr>
      <w:tr>
        <w:trPr>
          <w:trHeight w:val="249"/>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405,171</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(9,447)</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395,724</w:t>
            </w:r>
          </w:p>
        </w:tc>
      </w:tr>
      <w:tr>
        <w:trPr>
          <w:trHeight w:val="257"/>
        </w:trPr>
        <w:tc>
          <w:tcPr>
            <w:tcW w:w="418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1,566,376</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(32,975</w:t>
            </w:r>
          </w:p>
        </w:tc>
        <w:tc>
          <w:tcPr>
            <w:tcW w:w="340" w:type="dxa"/>
            <w:vAlign w:val="bottom"/>
            <w:tcBorders>
              <w:top w:val="single" w:sz="8" w:color="CCEEFF"/>
              <w:bottom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1,534,526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5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6,011,816</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739,197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(438,403)</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6,312,610</w:t>
            </w:r>
          </w:p>
        </w:tc>
      </w:tr>
      <w:tr>
        <w:trPr>
          <w:trHeight w:val="229"/>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6,011,816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(438,403</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1,116,202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(2,232)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41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1,113,970</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9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5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 (1)</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10,946,379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Total restricted assets</w:t>
            </w: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19,907,485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right="3940" w:firstLine="8"/>
        <w:spacing w:after="0" w:line="500" w:lineRule="auto"/>
        <w:tabs>
          <w:tab w:leader="none" w:pos="3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Including cash and cash equivalents of $8,224,592 for the life insurance and mortgage segments. Restricted assets as of December 31, 2022,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14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r>
      <w:tr>
        <w:trPr>
          <w:trHeight w:val="237"/>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Amortized Cost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3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1,033,047</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1,018,553</w:t>
            </w:r>
          </w:p>
        </w:tc>
      </w:tr>
      <w:tr>
        <w:trPr>
          <w:trHeight w:val="237"/>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201,771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198,755</w:t>
            </w:r>
          </w:p>
        </w:tc>
      </w:tr>
      <w:tr>
        <w:trPr>
          <w:trHeight w:val="230"/>
        </w:trPr>
        <w:tc>
          <w:tcPr>
            <w:tcW w:w="4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4,955,360</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703,049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(310,165)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5,348,244</w:t>
            </w:r>
          </w:p>
        </w:tc>
      </w:tr>
      <w:tr>
        <w:trPr>
          <w:trHeight w:val="256"/>
        </w:trPr>
        <w:tc>
          <w:tcPr>
            <w:tcW w:w="4740" w:type="dxa"/>
            <w:vAlign w:val="bottom"/>
            <w:tcBorders>
              <w:top w:val="single" w:sz="8" w:color="CCEEFF"/>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4,955,360</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703,049</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(310,165</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5,348,244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1,731,469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10,638,034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restricted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18,935,055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5540" w:right="3940" w:hanging="5532"/>
        <w:spacing w:after="0" w:line="527" w:lineRule="auto"/>
        <w:tabs>
          <w:tab w:leader="none" w:pos="3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Including cash and cash equivalents of $8,527,620 for the life insurance and mortgage segments.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010" w:gutter="0" w:footer="0" w:header="0"/>
        </w:sectPr>
      </w:pPr>
    </w:p>
    <w:bookmarkStart w:id="62" w:name="page63"/>
    <w:bookmarkEnd w:id="6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right="4100" w:firstLine="8"/>
        <w:spacing w:after="0" w:line="500" w:lineRule="auto"/>
        <w:tabs>
          <w:tab w:leader="none" w:pos="28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 </w:t>
      </w:r>
      <w:r>
        <w:rPr>
          <w:rFonts w:ascii="Arial" w:cs="Arial" w:eastAsia="Arial" w:hAnsi="Arial"/>
          <w:sz w:val="18"/>
          <w:szCs w:val="18"/>
          <w:u w:val="single" w:color="auto"/>
          <w:color w:val="auto"/>
        </w:rPr>
        <w:t>Fixed Maturity Securities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unrealized losses on fixed maturity securities available for sale that were carried at estimated fair value as of September 30, 2023 and December 31, 2022. The unrealized losses were primarily related to interest rate fluctuations. The tables set forth unrealized losses by duration with the fair value of the related fixed maturity securities.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30, 2023</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U.S. Treasury securities and obligations of U.S. Government agencies</w:t>
      </w:r>
    </w:p>
    <w:p>
      <w:pPr>
        <w:spacing w:after="0" w:line="1" w:lineRule="exact"/>
        <w:rPr>
          <w:sz w:val="20"/>
          <w:szCs w:val="20"/>
          <w:color w:val="auto"/>
        </w:rPr>
      </w:pPr>
    </w:p>
    <w:p>
      <w:pPr>
        <w:ind w:right="1000"/>
        <w:spacing w:after="0" w:line="290" w:lineRule="auto"/>
        <w:rPr>
          <w:sz w:val="20"/>
          <w:szCs w:val="20"/>
          <w:color w:val="auto"/>
        </w:rPr>
      </w:pPr>
      <w:r>
        <w:rPr>
          <w:rFonts w:ascii="Arial" w:cs="Arial" w:eastAsia="Arial" w:hAnsi="Arial"/>
          <w:sz w:val="16"/>
          <w:szCs w:val="16"/>
          <w:color w:val="auto"/>
        </w:rPr>
        <w:t>Obligations of states and political subdivisions Corporate securities including public utilities</w:t>
      </w:r>
    </w:p>
    <w:p>
      <w:pPr>
        <w:spacing w:after="0"/>
        <w:rPr>
          <w:sz w:val="20"/>
          <w:szCs w:val="20"/>
          <w:color w:val="auto"/>
        </w:rPr>
      </w:pPr>
      <w:r>
        <w:rPr>
          <w:rFonts w:ascii="Arial" w:cs="Arial" w:eastAsia="Arial" w:hAnsi="Arial"/>
          <w:sz w:val="18"/>
          <w:szCs w:val="18"/>
          <w:color w:val="auto"/>
        </w:rPr>
        <w:t>Total unrealized losses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states and political subdivisions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Losses for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Less than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More than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Twelve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Twelve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Months</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Loss</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r>
      <w:tr>
        <w:trPr>
          <w:trHeight w:val="63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243,232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243,232</w:t>
            </w:r>
          </w:p>
        </w:tc>
      </w:tr>
      <w:tr>
        <w:trPr>
          <w:trHeight w:val="230"/>
        </w:trPr>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71,811</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16,337</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580,227</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19,526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652,038</w:t>
            </w:r>
          </w:p>
        </w:tc>
      </w:tr>
      <w:tr>
        <w:trPr>
          <w:trHeight w:val="237"/>
        </w:trPr>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101,649</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8,431</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294,075</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9,447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395,724</w:t>
            </w:r>
          </w:p>
        </w:tc>
      </w:tr>
      <w:tr>
        <w:trPr>
          <w:trHeight w:val="23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416,692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874,302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1,290,994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2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11,891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760,255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58,072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15,360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818,327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-1301115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-881380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-589915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-272415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240"/>
            <w:col w:w="662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 including public utilities</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198,755</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198,755</w:t>
            </w:r>
          </w:p>
        </w:tc>
        <w:tc>
          <w:tcPr>
            <w:tcW w:w="80" w:type="dxa"/>
            <w:vAlign w:val="bottom"/>
            <w:shd w:val="clear" w:color="auto" w:fill="CCEEFF"/>
          </w:tcPr>
          <w:p>
            <w:pPr>
              <w:spacing w:after="0"/>
              <w:rPr>
                <w:sz w:val="20"/>
                <w:szCs w:val="20"/>
                <w:color w:val="auto"/>
              </w:rPr>
            </w:pPr>
          </w:p>
        </w:tc>
      </w:tr>
      <w:tr>
        <w:trPr>
          <w:trHeight w:val="21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unrealized losses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14,907</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959,010</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18,376</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$ 1,017,082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Relevant holdings were comprised of 16 securities with fair values aggregating 97.5% of the aggregate amortized cost as of September 30, 2023. Relevant holdings were comprised of 17 securities with fair values aggregating 98.2% of the aggregate amortized cost as of December 31, 2022. No credit losses have been recognized for the three and nine month periods ended September 30, 2023 and 2022, since the increase in unrealized losses is primarily a result of the recent increase in interest and inflation rates. See Note 3 for additional information regarding the Company’s evaluation of the allowance for credit losses for fixed maturity securities available for sale.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amortized cost and estimated fair value of fixed maturity securities available for sale as of September 30,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Due in 1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in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in 5-10 years</w:t>
      </w:r>
    </w:p>
    <w:p>
      <w:pPr>
        <w:spacing w:after="0" w:line="9" w:lineRule="exact"/>
        <w:rPr>
          <w:sz w:val="20"/>
          <w:szCs w:val="20"/>
          <w:color w:val="auto"/>
        </w:rPr>
      </w:pPr>
    </w:p>
    <w:p>
      <w:pPr>
        <w:ind w:left="180" w:right="800" w:hanging="179"/>
        <w:spacing w:after="0" w:line="292" w:lineRule="auto"/>
        <w:rPr>
          <w:sz w:val="20"/>
          <w:szCs w:val="20"/>
          <w:color w:val="auto"/>
        </w:rPr>
      </w:pPr>
      <w:r>
        <w:rPr>
          <w:rFonts w:ascii="Arial" w:cs="Arial" w:eastAsia="Arial" w:hAnsi="Arial"/>
          <w:sz w:val="18"/>
          <w:szCs w:val="18"/>
          <w:color w:val="auto"/>
        </w:rPr>
        <w:t>Due in more than 10 years Total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Estimated</w:t>
            </w:r>
          </w:p>
        </w:tc>
      </w:tr>
      <w:tr>
        <w:trPr>
          <w:trHeight w:val="230"/>
        </w:trPr>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Fair</w:t>
            </w:r>
          </w:p>
        </w:tc>
      </w:tr>
      <w:tr>
        <w:trPr>
          <w:trHeight w:val="237"/>
        </w:trPr>
        <w:tc>
          <w:tcPr>
            <w:tcW w:w="1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Value</w:t>
            </w:r>
          </w:p>
        </w:tc>
      </w:tr>
      <w:tr>
        <w:trPr>
          <w:trHeight w:val="202"/>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702,873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692,458</w:t>
            </w:r>
          </w:p>
        </w:tc>
      </w:tr>
      <w:tr>
        <w:trPr>
          <w:trHeight w:val="230"/>
        </w:trPr>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110,090</w:t>
            </w:r>
          </w:p>
        </w:tc>
      </w:tr>
      <w:tr>
        <w:trPr>
          <w:trHeight w:val="237"/>
        </w:trPr>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752,202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731,978</w:t>
            </w:r>
          </w:p>
        </w:tc>
      </w:tr>
      <w:tr>
        <w:trPr>
          <w:trHeight w:val="23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1,566,376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1,534,526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-753745</wp:posOffset>
            </wp:positionV>
            <wp:extent cx="356616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6616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-471170</wp:posOffset>
            </wp:positionV>
            <wp:extent cx="35661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-179705</wp:posOffset>
            </wp:positionV>
            <wp:extent cx="356616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6616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800"/>
          </w:cols>
          <w:pgMar w:left="320" w:top="69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See Notes 3 and 8 for additional information regarding restricted assets and cemetery perpetual care trust investments.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3" w:name="page64"/>
    <w:bookmarkEnd w:id="6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2023 (Unaudited)</w:t>
      </w:r>
    </w:p>
    <w:p>
      <w:pPr>
        <w:spacing w:after="0" w:line="184" w:lineRule="exact"/>
        <w:rPr>
          <w:sz w:val="20"/>
          <w:szCs w:val="20"/>
          <w:color w:val="auto"/>
        </w:rPr>
      </w:pP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6"/>
          </w:tcPr>
          <w:p>
            <w:pPr>
              <w:jc w:val="right"/>
              <w:ind w:right="481"/>
              <w:spacing w:after="0"/>
              <w:rPr>
                <w:sz w:val="20"/>
                <w:szCs w:val="20"/>
                <w:color w:val="auto"/>
              </w:rPr>
            </w:pPr>
            <w:r>
              <w:rPr>
                <w:rFonts w:ascii="Arial" w:cs="Arial" w:eastAsia="Arial" w:hAnsi="Arial"/>
                <w:sz w:val="18"/>
                <w:szCs w:val="18"/>
                <w:color w:val="auto"/>
                <w:w w:val="91"/>
              </w:rPr>
              <w:t>Three Months Ended September 30,</w:t>
            </w:r>
          </w:p>
        </w:tc>
        <w:tc>
          <w:tcPr>
            <w:tcW w:w="160" w:type="dxa"/>
            <w:vAlign w:val="bottom"/>
          </w:tcPr>
          <w:p>
            <w:pPr>
              <w:spacing w:after="0"/>
              <w:rPr>
                <w:sz w:val="20"/>
                <w:szCs w:val="20"/>
                <w:color w:val="auto"/>
              </w:rPr>
            </w:pPr>
          </w:p>
        </w:tc>
        <w:tc>
          <w:tcPr>
            <w:tcW w:w="2940" w:type="dxa"/>
            <w:vAlign w:val="bottom"/>
            <w:gridSpan w:val="7"/>
          </w:tcPr>
          <w:p>
            <w:pPr>
              <w:jc w:val="right"/>
              <w:ind w:right="340"/>
              <w:spacing w:after="0"/>
              <w:rPr>
                <w:sz w:val="20"/>
                <w:szCs w:val="20"/>
                <w:color w:val="auto"/>
              </w:rPr>
            </w:pPr>
            <w:r>
              <w:rPr>
                <w:rFonts w:ascii="Arial" w:cs="Arial" w:eastAsia="Arial" w:hAnsi="Arial"/>
                <w:sz w:val="18"/>
                <w:szCs w:val="18"/>
                <w:color w:val="auto"/>
                <w:w w:val="91"/>
              </w:rPr>
              <w:t>Nine Months Ended September 30,</w:t>
            </w:r>
          </w:p>
        </w:tc>
      </w:tr>
      <w:tr>
        <w:trPr>
          <w:trHeight w:val="236"/>
        </w:trPr>
        <w:tc>
          <w:tcPr>
            <w:tcW w:w="4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losses on fixed maturity securities available for</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(6,725,752)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(13,527,157)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(6,310,923)</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(42,014,068)</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Amounts reclassified into net earnings (loss)</w:t>
            </w:r>
          </w:p>
        </w:tc>
        <w:tc>
          <w:tcPr>
            <w:tcW w:w="160" w:type="dxa"/>
            <w:vAlign w:val="bottom"/>
          </w:tcPr>
          <w:p>
            <w:pPr>
              <w:spacing w:after="0"/>
              <w:rPr>
                <w:sz w:val="20"/>
                <w:szCs w:val="20"/>
                <w:color w:val="auto"/>
              </w:rPr>
            </w:pPr>
          </w:p>
        </w:tc>
        <w:tc>
          <w:tcPr>
            <w:tcW w:w="1400" w:type="dxa"/>
            <w:vAlign w:val="bottom"/>
            <w:gridSpan w:val="2"/>
          </w:tcPr>
          <w:p>
            <w:pPr>
              <w:jc w:val="right"/>
              <w:ind w:right="61"/>
              <w:spacing w:after="0"/>
              <w:rPr>
                <w:sz w:val="20"/>
                <w:szCs w:val="20"/>
                <w:color w:val="auto"/>
              </w:rPr>
            </w:pPr>
            <w:r>
              <w:rPr>
                <w:rFonts w:ascii="Arial" w:cs="Arial" w:eastAsia="Arial" w:hAnsi="Arial"/>
                <w:sz w:val="18"/>
                <w:szCs w:val="18"/>
                <w:color w:val="auto"/>
              </w:rPr>
              <w:t>(79,850)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3,917</w:t>
            </w:r>
          </w:p>
        </w:tc>
        <w:tc>
          <w:tcPr>
            <w:tcW w:w="160" w:type="dxa"/>
            <w:vAlign w:val="bottom"/>
          </w:tcPr>
          <w:p>
            <w:pPr>
              <w:spacing w:after="0"/>
              <w:rPr>
                <w:sz w:val="20"/>
                <w:szCs w:val="20"/>
                <w:color w:val="auto"/>
              </w:rPr>
            </w:pPr>
          </w:p>
        </w:tc>
        <w:tc>
          <w:tcPr>
            <w:tcW w:w="1500" w:type="dxa"/>
            <w:vAlign w:val="bottom"/>
            <w:gridSpan w:val="2"/>
          </w:tcPr>
          <w:p>
            <w:pPr>
              <w:jc w:val="right"/>
              <w:ind w:right="181"/>
              <w:spacing w:after="0"/>
              <w:rPr>
                <w:sz w:val="20"/>
                <w:szCs w:val="20"/>
                <w:color w:val="auto"/>
              </w:rPr>
            </w:pPr>
            <w:r>
              <w:rPr>
                <w:rFonts w:ascii="Arial" w:cs="Arial" w:eastAsia="Arial" w:hAnsi="Arial"/>
                <w:sz w:val="18"/>
                <w:szCs w:val="18"/>
                <w:color w:val="auto"/>
              </w:rPr>
              <w:t>(269,827)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168,794</w:t>
            </w:r>
          </w:p>
        </w:tc>
        <w:tc>
          <w:tcPr>
            <w:tcW w:w="8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losses before taxes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(13,523,240)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(6,580,750)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(41,845,274)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1,429,176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2,839,881</w:t>
            </w:r>
          </w:p>
        </w:tc>
        <w:tc>
          <w:tcPr>
            <w:tcW w:w="160" w:type="dxa"/>
            <w:vAlign w:val="bottom"/>
          </w:tcPr>
          <w:p>
            <w:pPr>
              <w:spacing w:after="0"/>
              <w:rPr>
                <w:sz w:val="20"/>
                <w:szCs w:val="20"/>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color w:val="auto"/>
              </w:rPr>
              <w:t>1,381,958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8,787,509</w:t>
            </w:r>
          </w:p>
        </w:tc>
        <w:tc>
          <w:tcPr>
            <w:tcW w:w="80" w:type="dxa"/>
            <w:vAlign w:val="bottom"/>
          </w:tcPr>
          <w:p>
            <w:pPr>
              <w:spacing w:after="0"/>
              <w:rPr>
                <w:sz w:val="20"/>
                <w:szCs w:val="20"/>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(5,376,426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(10,683,359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(5,198,792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(33,057,765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18"/>
                <w:szCs w:val="18"/>
                <w:color w:val="auto"/>
              </w:rPr>
              <w:t>Unrealized gains (losses) on restricted assets (1)</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(12,284)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27,060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(14,340)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(88,058)</w:t>
            </w:r>
          </w:p>
        </w:tc>
        <w:tc>
          <w:tcPr>
            <w:tcW w:w="100" w:type="dxa"/>
            <w:vAlign w:val="bottom"/>
            <w:gridSpan w:val="2"/>
          </w:tcPr>
          <w:p>
            <w:pPr>
              <w:spacing w:after="0"/>
              <w:rPr>
                <w:sz w:val="17"/>
                <w:szCs w:val="17"/>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(6,741)</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3,572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21,935</w:t>
            </w:r>
          </w:p>
        </w:tc>
        <w:tc>
          <w:tcPr>
            <w:tcW w:w="8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(9,224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20,319</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(10,768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(66,123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88"/>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Unrealized gains (losses) on cemetery perpetual care trust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investments (1)</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28,931</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(3,299)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(24,294)</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Tax benefit (expense)</w:t>
            </w:r>
          </w:p>
        </w:tc>
        <w:tc>
          <w:tcPr>
            <w:tcW w:w="16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(7,204)</w:t>
            </w:r>
          </w:p>
        </w:tc>
        <w:tc>
          <w:tcPr>
            <w:tcW w:w="160" w:type="dxa"/>
            <w:vAlign w:val="bottom"/>
          </w:tcPr>
          <w:p>
            <w:pPr>
              <w:spacing w:after="0"/>
              <w:rPr>
                <w:sz w:val="20"/>
                <w:szCs w:val="20"/>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20"/>
                <w:szCs w:val="20"/>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Other comprehensive loss changes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(5,387,527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(10,641,313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(5,212,021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(33,142,128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accumulated balances of other comprehensive income (loss) as of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Arial" w:cs="Arial" w:eastAsia="Arial" w:hAnsi="Arial"/>
                <w:sz w:val="18"/>
                <w:szCs w:val="18"/>
                <w:color w:val="auto"/>
                <w:w w:val="94"/>
              </w:rPr>
              <w:t>Beginning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1"/>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Ending Balance</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520" w:type="dxa"/>
            <w:vAlign w:val="bottom"/>
            <w:gridSpan w:val="2"/>
          </w:tcPr>
          <w:p>
            <w:pPr>
              <w:jc w:val="right"/>
              <w:ind w:right="341"/>
              <w:spacing w:after="0"/>
              <w:rPr>
                <w:sz w:val="20"/>
                <w:szCs w:val="20"/>
                <w:color w:val="auto"/>
              </w:rPr>
            </w:pPr>
            <w:r>
              <w:rPr>
                <w:rFonts w:ascii="Arial" w:cs="Arial" w:eastAsia="Arial" w:hAnsi="Arial"/>
                <w:sz w:val="18"/>
                <w:szCs w:val="18"/>
                <w:color w:val="auto"/>
                <w:w w:val="90"/>
              </w:rPr>
              <w:t>Change for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September 30,</w:t>
            </w:r>
          </w:p>
        </w:tc>
      </w:tr>
      <w:tr>
        <w:trPr>
          <w:trHeight w:val="237"/>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661"/>
              <w:spacing w:after="0"/>
              <w:rPr>
                <w:sz w:val="20"/>
                <w:szCs w:val="20"/>
                <w:color w:val="auto"/>
              </w:rPr>
            </w:pPr>
            <w:r>
              <w:rPr>
                <w:rFonts w:ascii="Arial" w:cs="Arial" w:eastAsia="Arial" w:hAnsi="Arial"/>
                <w:sz w:val="18"/>
                <w:szCs w:val="18"/>
                <w:color w:val="auto"/>
              </w:rPr>
              <w:t>period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 on fixed maturity securities available for sale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(13,050,767)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(5,198,792)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(18,249,559)</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Unrealized losses on restricted assets (1)</w:t>
            </w:r>
          </w:p>
        </w:tc>
        <w:tc>
          <w:tcPr>
            <w:tcW w:w="12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18"/>
                <w:szCs w:val="18"/>
                <w:color w:val="auto"/>
              </w:rPr>
            </w:pPr>
          </w:p>
        </w:tc>
        <w:tc>
          <w:tcPr>
            <w:tcW w:w="1520" w:type="dxa"/>
            <w:vAlign w:val="bottom"/>
            <w:gridSpan w:val="2"/>
          </w:tcPr>
          <w:p>
            <w:pPr>
              <w:jc w:val="right"/>
              <w:ind w:right="161"/>
              <w:spacing w:after="0"/>
              <w:rPr>
                <w:sz w:val="20"/>
                <w:szCs w:val="20"/>
                <w:color w:val="auto"/>
              </w:rPr>
            </w:pPr>
            <w:r>
              <w:rPr>
                <w:rFonts w:ascii="Arial" w:cs="Arial" w:eastAsia="Arial" w:hAnsi="Arial"/>
                <w:sz w:val="18"/>
                <w:szCs w:val="18"/>
                <w:color w:val="auto"/>
              </w:rPr>
              <w:t>(10,768)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(23,916)</w:t>
            </w: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cemetery perpetual care trust investments (1)</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(8,823)</w:t>
            </w:r>
          </w:p>
        </w:tc>
      </w:tr>
      <w:tr>
        <w:trPr>
          <w:trHeight w:val="217"/>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(13,070,277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(5,212,021</w:t>
            </w:r>
          </w:p>
        </w:tc>
        <w:tc>
          <w:tcPr>
            <w:tcW w:w="300" w:type="dxa"/>
            <w:vAlign w:val="bottom"/>
            <w:tcBorders>
              <w:top w:val="single" w:sz="8" w:color="CCEEFF"/>
            </w:tcBorders>
          </w:tcPr>
          <w:p>
            <w:pPr>
              <w:jc w:val="right"/>
              <w:ind w:right="1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(18,282,298</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accumulated balances of other comprehensive income (loss) as of December 31, 2022:</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Unrealized gains (losses) on fixed maturity securities available for sale Unrealized gains (losses) on restricted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641223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41223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8"/>
          <w:szCs w:val="18"/>
          <w:color w:val="auto"/>
        </w:rPr>
        <w:t>Unrealized gains (losses) on cemetery perpetual care trust investments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  Fixed maturity securities available for sale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Beginning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41"/>
              <w:spacing w:after="0"/>
              <w:rPr>
                <w:sz w:val="20"/>
                <w:szCs w:val="20"/>
                <w:color w:val="auto"/>
              </w:rPr>
            </w:pPr>
            <w:r>
              <w:rPr>
                <w:rFonts w:ascii="Arial" w:cs="Arial" w:eastAsia="Arial" w:hAnsi="Arial"/>
                <w:sz w:val="18"/>
                <w:szCs w:val="18"/>
                <w:color w:val="auto"/>
                <w:w w:val="90"/>
              </w:rPr>
              <w:t>Ending Balance</w:t>
            </w:r>
          </w:p>
        </w:tc>
      </w:tr>
      <w:tr>
        <w:trPr>
          <w:trHeight w:val="216"/>
        </w:trPr>
        <w:tc>
          <w:tcPr>
            <w:tcW w:w="1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520" w:type="dxa"/>
            <w:vAlign w:val="bottom"/>
            <w:gridSpan w:val="2"/>
          </w:tcPr>
          <w:p>
            <w:pPr>
              <w:jc w:val="right"/>
              <w:ind w:right="341"/>
              <w:spacing w:after="0"/>
              <w:rPr>
                <w:sz w:val="20"/>
                <w:szCs w:val="20"/>
                <w:color w:val="auto"/>
              </w:rPr>
            </w:pPr>
            <w:r>
              <w:rPr>
                <w:rFonts w:ascii="Arial" w:cs="Arial" w:eastAsia="Arial" w:hAnsi="Arial"/>
                <w:sz w:val="18"/>
                <w:szCs w:val="18"/>
                <w:color w:val="auto"/>
                <w:w w:val="90"/>
              </w:rPr>
              <w:t>Change 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61"/>
              <w:spacing w:after="0"/>
              <w:rPr>
                <w:sz w:val="20"/>
                <w:szCs w:val="20"/>
                <w:color w:val="auto"/>
              </w:rPr>
            </w:pPr>
            <w:r>
              <w:rPr>
                <w:rFonts w:ascii="Arial" w:cs="Arial" w:eastAsia="Arial" w:hAnsi="Arial"/>
                <w:sz w:val="18"/>
                <w:szCs w:val="18"/>
                <w:color w:val="auto"/>
                <w:w w:val="88"/>
              </w:rPr>
              <w:t>December 31,</w:t>
            </w:r>
          </w:p>
        </w:tc>
      </w:tr>
      <w:tr>
        <w:trPr>
          <w:trHeight w:val="237"/>
        </w:trPr>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661"/>
              <w:spacing w:after="0"/>
              <w:rPr>
                <w:sz w:val="20"/>
                <w:szCs w:val="20"/>
                <w:color w:val="auto"/>
              </w:rPr>
            </w:pPr>
            <w:r>
              <w:rPr>
                <w:rFonts w:ascii="Arial" w:cs="Arial" w:eastAsia="Arial" w:hAnsi="Arial"/>
                <w:sz w:val="18"/>
                <w:szCs w:val="18"/>
                <w:color w:val="auto"/>
              </w:rPr>
              <w:t>period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18,021,265</w:t>
            </w: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(31,072,032)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(13,050,767)</w:t>
            </w:r>
          </w:p>
        </w:tc>
        <w:tc>
          <w:tcPr>
            <w:tcW w:w="60" w:type="dxa"/>
            <w:vAlign w:val="bottom"/>
            <w:gridSpan w:val="2"/>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0"/>
                <w:szCs w:val="20"/>
                <w:color w:val="auto"/>
              </w:rPr>
            </w:pPr>
          </w:p>
        </w:tc>
        <w:tc>
          <w:tcPr>
            <w:tcW w:w="1520" w:type="dxa"/>
            <w:vAlign w:val="bottom"/>
            <w:gridSpan w:val="2"/>
          </w:tcPr>
          <w:p>
            <w:pPr>
              <w:jc w:val="right"/>
              <w:ind w:right="161"/>
              <w:spacing w:after="0"/>
              <w:rPr>
                <w:sz w:val="20"/>
                <w:szCs w:val="20"/>
                <w:color w:val="auto"/>
              </w:rPr>
            </w:pPr>
            <w:r>
              <w:rPr>
                <w:rFonts w:ascii="Arial" w:cs="Arial" w:eastAsia="Arial" w:hAnsi="Arial"/>
                <w:sz w:val="18"/>
                <w:szCs w:val="18"/>
                <w:color w:val="auto"/>
              </w:rPr>
              <w:t>(53,340)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(13,148)</w:t>
            </w:r>
          </w:p>
        </w:tc>
      </w:tr>
      <w:tr>
        <w:trPr>
          <w:trHeight w:val="453"/>
        </w:trPr>
        <w:tc>
          <w:tcPr>
            <w:tcW w:w="12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4"/>
                <w:szCs w:val="24"/>
                <w:color w:val="auto"/>
              </w:rPr>
            </w:pPr>
          </w:p>
        </w:tc>
        <w:tc>
          <w:tcPr>
            <w:tcW w:w="1520" w:type="dxa"/>
            <w:vAlign w:val="bottom"/>
            <w:gridSpan w:val="2"/>
          </w:tcPr>
          <w:p>
            <w:pPr>
              <w:jc w:val="right"/>
              <w:ind w:right="161"/>
              <w:spacing w:after="0"/>
              <w:rPr>
                <w:sz w:val="20"/>
                <w:szCs w:val="20"/>
                <w:color w:val="auto"/>
              </w:rPr>
            </w:pPr>
            <w:r>
              <w:rPr>
                <w:rFonts w:ascii="Arial" w:cs="Arial" w:eastAsia="Arial" w:hAnsi="Arial"/>
                <w:sz w:val="18"/>
                <w:szCs w:val="18"/>
                <w:color w:val="auto"/>
              </w:rPr>
              <w:t>(15,353)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(6,362)</w:t>
            </w:r>
          </w:p>
        </w:tc>
      </w:tr>
      <w:tr>
        <w:trPr>
          <w:trHeight w:val="23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18,070,448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(31,140,725</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(13,070,277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40" w:space="220"/>
            <w:col w:w="5780"/>
          </w:cols>
          <w:pgMar w:left="320" w:top="69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the three and nine month periods ended September 30,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8"/>
          </w:tcPr>
          <w:p>
            <w:pPr>
              <w:jc w:val="center"/>
              <w:ind w:right="350"/>
              <w:spacing w:after="0"/>
              <w:rPr>
                <w:sz w:val="20"/>
                <w:szCs w:val="20"/>
                <w:color w:val="auto"/>
              </w:rPr>
            </w:pPr>
            <w:r>
              <w:rPr>
                <w:rFonts w:ascii="Arial" w:cs="Arial" w:eastAsia="Arial" w:hAnsi="Arial"/>
                <w:sz w:val="18"/>
                <w:szCs w:val="18"/>
                <w:color w:val="auto"/>
                <w:w w:val="87"/>
              </w:rPr>
              <w:t>Three months ended September 30,</w:t>
            </w:r>
          </w:p>
        </w:tc>
        <w:tc>
          <w:tcPr>
            <w:tcW w:w="160" w:type="dxa"/>
            <w:vAlign w:val="bottom"/>
          </w:tcPr>
          <w:p>
            <w:pPr>
              <w:spacing w:after="0"/>
              <w:rPr>
                <w:sz w:val="18"/>
                <w:szCs w:val="18"/>
                <w:color w:val="auto"/>
              </w:rPr>
            </w:pPr>
          </w:p>
        </w:tc>
        <w:tc>
          <w:tcPr>
            <w:tcW w:w="2960" w:type="dxa"/>
            <w:vAlign w:val="bottom"/>
            <w:gridSpan w:val="7"/>
          </w:tcPr>
          <w:p>
            <w:pPr>
              <w:jc w:val="center"/>
              <w:ind w:right="27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jc w:val="center"/>
              <w:ind w:right="330"/>
              <w:spacing w:after="0"/>
              <w:rPr>
                <w:sz w:val="20"/>
                <w:szCs w:val="20"/>
                <w:color w:val="auto"/>
              </w:rPr>
            </w:pPr>
            <w:r>
              <w:rPr>
                <w:rFonts w:ascii="Arial" w:cs="Arial" w:eastAsia="Arial" w:hAnsi="Arial"/>
                <w:sz w:val="18"/>
                <w:szCs w:val="18"/>
                <w:color w:val="auto"/>
                <w:w w:val="91"/>
              </w:rPr>
              <w:t>(in thousands of dollars)</w:t>
            </w:r>
          </w:p>
        </w:tc>
        <w:tc>
          <w:tcPr>
            <w:tcW w:w="160" w:type="dxa"/>
            <w:vAlign w:val="bottom"/>
          </w:tcPr>
          <w:p>
            <w:pPr>
              <w:spacing w:after="0"/>
              <w:rPr>
                <w:sz w:val="20"/>
                <w:szCs w:val="20"/>
                <w:color w:val="auto"/>
              </w:rPr>
            </w:pPr>
          </w:p>
        </w:tc>
        <w:tc>
          <w:tcPr>
            <w:tcW w:w="2960" w:type="dxa"/>
            <w:vAlign w:val="bottom"/>
            <w:gridSpan w:val="7"/>
          </w:tcPr>
          <w:p>
            <w:pPr>
              <w:jc w:val="center"/>
              <w:ind w:right="29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color w:val="auto"/>
                <w:w w:val="87"/>
              </w:rPr>
              <w:t>(Decrease)</w:t>
            </w: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Insurance premiums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28,906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26,237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85,687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78,491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fee 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17,562</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53,609</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47,269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investments and 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680" w:type="dxa"/>
            <w:vAlign w:val="bottom"/>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Intersegment revenue</w:t>
            </w:r>
          </w:p>
        </w:tc>
        <w:tc>
          <w:tcPr>
            <w:tcW w:w="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6"/>
        </w:trPr>
        <w:tc>
          <w:tcPr>
            <w:tcW w:w="36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1,724</w:t>
            </w:r>
          </w:p>
        </w:tc>
        <w:tc>
          <w:tcPr>
            <w:tcW w:w="1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6,358</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5,496</w:t>
            </w:r>
          </w:p>
        </w:tc>
        <w:tc>
          <w:tcPr>
            <w:tcW w:w="1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before income taxes</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4,234</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300" w:type="dxa"/>
            <w:vAlign w:val="bottom"/>
            <w:tcBorders>
              <w:bottom w:val="single" w:sz="8" w:color="CCEEFF"/>
            </w:tcBorders>
            <w:shd w:val="clear" w:color="auto" w:fill="CCEEFF"/>
          </w:tcPr>
          <w:p>
            <w:pPr>
              <w:jc w:val="right"/>
              <w:ind w:right="70"/>
              <w:spacing w:after="0" w:line="190"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20,017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8,982</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Intersegment revenues are primarily interest income from the warehouse lines of credit for loans held for sale provided to SecurityNational Mortgage Company (“SecurityNational Mortgage”). Profitability for the nine month period ended September 30, 2023 increased due to (a) a $7,081,000 increase in insurance premiums and other considerations, (b) a $6,340,000 increase in net investment income, (c) a $2,049,000 decrease in selling, general and administrative expenses, (d) a $1,696,000 increase in gains on investments and other assets, (e) a $862,000 increase in intersegment revenue, and (f) a $76,000 increase in mortgage fee income, which were partially offset by (i) a $5,270,000 increase in future policy benefits, (ii) a $827,000 increase in death, surrenders and other policy benefits, (iii) a $408,000 increase in interest expense, (iv) a $294,000 decrease in other revenues, (v) a $158,000 increase in intersegment interest expense and other expenses, and (vi) a $112,000 increase in amortization of deferred policy acquisition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and nine month periods ended September 30,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8"/>
          </w:tcPr>
          <w:p>
            <w:pPr>
              <w:jc w:val="center"/>
              <w:ind w:right="350"/>
              <w:spacing w:after="0"/>
              <w:rPr>
                <w:sz w:val="20"/>
                <w:szCs w:val="20"/>
                <w:color w:val="auto"/>
              </w:rPr>
            </w:pPr>
            <w:r>
              <w:rPr>
                <w:rFonts w:ascii="Arial" w:cs="Arial" w:eastAsia="Arial" w:hAnsi="Arial"/>
                <w:sz w:val="18"/>
                <w:szCs w:val="18"/>
                <w:color w:val="auto"/>
                <w:w w:val="87"/>
              </w:rPr>
              <w:t>Three months ended September 30,</w:t>
            </w:r>
          </w:p>
        </w:tc>
        <w:tc>
          <w:tcPr>
            <w:tcW w:w="160" w:type="dxa"/>
            <w:vAlign w:val="bottom"/>
          </w:tcPr>
          <w:p>
            <w:pPr>
              <w:spacing w:after="0"/>
              <w:rPr>
                <w:sz w:val="18"/>
                <w:szCs w:val="18"/>
                <w:color w:val="auto"/>
              </w:rPr>
            </w:pPr>
          </w:p>
        </w:tc>
        <w:tc>
          <w:tcPr>
            <w:tcW w:w="2960" w:type="dxa"/>
            <w:vAlign w:val="bottom"/>
            <w:gridSpan w:val="8"/>
          </w:tcPr>
          <w:p>
            <w:pPr>
              <w:jc w:val="center"/>
              <w:ind w:right="36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jc w:val="center"/>
              <w:ind w:right="330"/>
              <w:spacing w:after="0"/>
              <w:rPr>
                <w:sz w:val="20"/>
                <w:szCs w:val="20"/>
                <w:color w:val="auto"/>
              </w:rPr>
            </w:pPr>
            <w:r>
              <w:rPr>
                <w:rFonts w:ascii="Arial" w:cs="Arial" w:eastAsia="Arial" w:hAnsi="Arial"/>
                <w:sz w:val="18"/>
                <w:szCs w:val="18"/>
                <w:color w:val="auto"/>
                <w:w w:val="91"/>
              </w:rPr>
              <w:t>(in thousands of dollars)</w:t>
            </w:r>
          </w:p>
        </w:tc>
        <w:tc>
          <w:tcPr>
            <w:tcW w:w="160" w:type="dxa"/>
            <w:vAlign w:val="bottom"/>
          </w:tcPr>
          <w:p>
            <w:pPr>
              <w:spacing w:after="0"/>
              <w:rPr>
                <w:sz w:val="20"/>
                <w:szCs w:val="20"/>
                <w:color w:val="auto"/>
              </w:rPr>
            </w:pPr>
          </w:p>
        </w:tc>
        <w:tc>
          <w:tcPr>
            <w:tcW w:w="296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color w:val="auto"/>
                <w:w w:val="87"/>
              </w:rPr>
              <w:t>(Decrease)</w:t>
            </w: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Mortuary revenues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2,910</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3,027</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9,310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9,899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Cemetery revenues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3,443</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11,027</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1,917</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investments and 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3680" w:type="dxa"/>
            <w:vAlign w:val="bottom"/>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1,470</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901</w:t>
            </w:r>
          </w:p>
        </w:tc>
        <w:tc>
          <w:tcPr>
            <w:tcW w:w="1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3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6,082</w:t>
            </w:r>
          </w:p>
        </w:tc>
        <w:tc>
          <w:tcPr>
            <w:tcW w:w="20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4,407</w:t>
            </w:r>
          </w:p>
        </w:tc>
        <w:tc>
          <w:tcPr>
            <w:tcW w:w="1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Profitability in the nine month period ended September 30, 2023 increased due to (a) a $1,415,000 increase in gains on investments and other assets, (b) a $1,266,000 increase in cemetery pre-need sales, (c) a $544,000 increase in net investment income, (d) a $75,000 increase in other revenues, (e) a $33,000 decrease in intersegment interest expense and other expenses, (f) a $14,000 decrease in cost of goods and services sold, and (g) an $8,000 decrease in amortization of deferred policy acquisition costs, which were partially offset by (i) a $729,000 decrease in cemetery at-need sales, (ii) a $589,000 decrease in mortuary at-need sales, (iii) a $256,000 increase in selling, general and administrative expenses, and (iv) a $105,000 decrease in intersegment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5% of its loan origination volume. These mortgage loans are serviced by either SecurityNational Mortgage or an approved third-party sub-servicer. On October 31, 2022, the Company sold certain of its MSRs. The MSRs related to mortgage loans previously originated by the Company in aggregate unpaid principal amount of approximately $7.02 billion. As a result of the sale, the book value of the Company’s MSRs decreased by $51,185,906.</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ind w:right="20"/>
        <w:spacing w:after="0" w:line="277" w:lineRule="auto"/>
        <w:rPr>
          <w:sz w:val="20"/>
          <w:szCs w:val="20"/>
          <w:color w:val="auto"/>
        </w:rPr>
      </w:pPr>
      <w:r>
        <w:rPr>
          <w:rFonts w:ascii="Arial" w:cs="Arial" w:eastAsia="Arial" w:hAnsi="Arial"/>
          <w:sz w:val="18"/>
          <w:szCs w:val="18"/>
          <w:color w:val="auto"/>
        </w:rPr>
        <w:t>For the nine month periods ended September 30, 2023 and 2022, SecurityNational Mortgage originated 5,680 loans ($1,708,831,000 total volume) and 8,886 loans ($2,837,349,000 total volume),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mortgage operations for the three and nine month periods ended September 30,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8"/>
          </w:tcPr>
          <w:p>
            <w:pPr>
              <w:jc w:val="center"/>
              <w:ind w:right="350"/>
              <w:spacing w:after="0"/>
              <w:rPr>
                <w:sz w:val="20"/>
                <w:szCs w:val="20"/>
                <w:color w:val="auto"/>
              </w:rPr>
            </w:pPr>
            <w:r>
              <w:rPr>
                <w:rFonts w:ascii="Arial" w:cs="Arial" w:eastAsia="Arial" w:hAnsi="Arial"/>
                <w:sz w:val="18"/>
                <w:szCs w:val="18"/>
                <w:color w:val="auto"/>
                <w:w w:val="87"/>
              </w:rPr>
              <w:t>Three months ended September 30,</w:t>
            </w:r>
          </w:p>
        </w:tc>
        <w:tc>
          <w:tcPr>
            <w:tcW w:w="160" w:type="dxa"/>
            <w:vAlign w:val="bottom"/>
          </w:tcPr>
          <w:p>
            <w:pPr>
              <w:spacing w:after="0"/>
              <w:rPr>
                <w:sz w:val="18"/>
                <w:szCs w:val="18"/>
                <w:color w:val="auto"/>
              </w:rPr>
            </w:pPr>
          </w:p>
        </w:tc>
        <w:tc>
          <w:tcPr>
            <w:tcW w:w="2960" w:type="dxa"/>
            <w:vAlign w:val="bottom"/>
            <w:gridSpan w:val="8"/>
          </w:tcPr>
          <w:p>
            <w:pPr>
              <w:jc w:val="center"/>
              <w:ind w:right="360"/>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jc w:val="center"/>
              <w:ind w:right="330"/>
              <w:spacing w:after="0"/>
              <w:rPr>
                <w:sz w:val="20"/>
                <w:szCs w:val="20"/>
                <w:color w:val="auto"/>
              </w:rPr>
            </w:pPr>
            <w:r>
              <w:rPr>
                <w:rFonts w:ascii="Arial" w:cs="Arial" w:eastAsia="Arial" w:hAnsi="Arial"/>
                <w:sz w:val="18"/>
                <w:szCs w:val="18"/>
                <w:color w:val="auto"/>
                <w:w w:val="91"/>
              </w:rPr>
              <w:t>(in thousands of dollars)</w:t>
            </w:r>
          </w:p>
        </w:tc>
        <w:tc>
          <w:tcPr>
            <w:tcW w:w="160" w:type="dxa"/>
            <w:vAlign w:val="bottom"/>
          </w:tcPr>
          <w:p>
            <w:pPr>
              <w:spacing w:after="0"/>
              <w:rPr>
                <w:sz w:val="20"/>
                <w:szCs w:val="20"/>
                <w:color w:val="auto"/>
              </w:rPr>
            </w:pPr>
          </w:p>
        </w:tc>
        <w:tc>
          <w:tcPr>
            <w:tcW w:w="296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color w:val="auto"/>
                <w:w w:val="87"/>
              </w:rPr>
              <w:t>(Decrease)</w:t>
            </w: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Secondary gains from investors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17,615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28,825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54,809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103,220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loan originations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7,069</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23,812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26,463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Change in fair value of loans held for sale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(4,131)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(7,973)</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loan commitments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(3,271)</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(2,843)</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360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583</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391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4,815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1,226</w:t>
            </w:r>
          </w:p>
        </w:tc>
        <w:tc>
          <w:tcPr>
            <w:tcW w:w="160" w:type="dxa"/>
            <w:vAlign w:val="bottom"/>
          </w:tcPr>
          <w:p>
            <w:pPr>
              <w:spacing w:after="0"/>
              <w:rPr>
                <w:sz w:val="20"/>
                <w:szCs w:val="20"/>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14,396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Earnings (loss) before income taxes</w:t>
            </w:r>
          </w:p>
        </w:tc>
        <w:tc>
          <w:tcPr>
            <w:tcW w:w="5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81"/>
              </w:rPr>
              <w:t>)%</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(3,486</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(8,437</w:t>
            </w:r>
          </w:p>
        </w:tc>
        <w:tc>
          <w:tcPr>
            <w:tcW w:w="1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3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(11,207</w:t>
            </w:r>
          </w:p>
        </w:tc>
        <w:tc>
          <w:tcPr>
            <w:tcW w:w="20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(7,518</w:t>
            </w:r>
          </w:p>
        </w:tc>
        <w:tc>
          <w:tcPr>
            <w:tcW w:w="1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other revenues is service fee income. Profitability for the nine month period ended September 30, 2023 decreased due to (a) a $48,411,000 decrease in secondary gains from investors, (b) a $13,170,000 decrease in other revenues, (c) a $2,651,000 decrease in income from loan originations, (d) a $772,000 increase in intersegment interest expense and other expenses, (e) a $226,000 increase in rent and rent related expenses, and (f) a $194,000 decrease in gains on investments and other assets, which were partially offset by (i) a $22,475,000 decrease in commissions, (ii) a $14,426,000 decrease in personnel expenses, (iii) a $10,985,000 decrease in other expenses, (iv) a $7,257,000 increase in the fair value of loans held for sale, (v) a $2,152,000 decrease in interest expense, (vi) a $1,865,000 increase in the fair value of loan commitments, (vii) a $1,009,000 decrease in costs related to funding mortgage loans, (viii) an $867,000 decrease in advertising expenses, (ix) a $542,000 increase in net investment income, (x) a $140,000 increase in intersegment revenues, and (xi) an $18,000 decrease in depreciation on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period ended September 30, 2023, Compared to Three month period ended September 30, 2022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$3,235,000, or 3.9%, to $80,242,000 for the three month period ended September 30, 2023, from $83,477,000 for the comparable period in 2022. Contributing to this decrease in total revenues was a $4,888,000 decrease in other revenues and a $3,672,000 decrease in mortgage fee income, which were partially offset by a $2,669,000 increase in insurance premiums and other considerations, a $1,247,000 increase in gains on investments and other assets, a $764,000 increase in net mortuary and cemetery sales, and a $645,000 increase in net investment income.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fee income decreased by $3,672,000, or 12.8%, to $24,936,000, for the three month period ended September 30, 2023, from $28,608,000 for the comparable period in 2022. This decrease was primarily due to a $11,316,000 decrease in secondary gains from mortgage loans sold to third-party investors into the secondary market due to the decline in origination activity because of increasing interest rates, which was partially offset by a $4,023,000 increase in the fair value of loans held for sale, a $1,854,000 increase in loan fees and interest income net of an increase in the provision for loan loss reserve and a $1,767,000 increase in the fair value of loan commitments.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$2,669,000, or 10.2%, to $28,907,000 for the three month period ended September 30, 2023, from $26,238,000 for the comparable period in 2022. This increase was primarily due to an increase of $2,737,000 in first year premiums, which was partially offset by a decrease of $68,000 in renewal premiums.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spacing w:after="0" w:line="275" w:lineRule="auto"/>
        <w:rPr>
          <w:sz w:val="20"/>
          <w:szCs w:val="20"/>
          <w:color w:val="auto"/>
        </w:rPr>
      </w:pPr>
      <w:r>
        <w:rPr>
          <w:rFonts w:ascii="Arial" w:cs="Arial" w:eastAsia="Arial" w:hAnsi="Arial"/>
          <w:sz w:val="17"/>
          <w:szCs w:val="17"/>
          <w:color w:val="auto"/>
        </w:rPr>
        <w:t>Net investment income increased by $645,000, or 3.5%, to $19,248,000 for the three month period ended September 30, 2023, from $18,603,000 for the comparable period in 2022. This increase was primarily attributable to a $1,054,000 increase in fixed maturity securities income, a $568,000 increase in interest on cash and cash equivalents, a $125,000 decrease in investment expenses, a $122,000 increase in insurance assignment income, a $32,000 increase in other investment income, and a $28,000 increase in equity securities income, which were partially offset by a $635,000 decrease in mortgage loan interest, a $627,000 decrease in real estate income, and a $22,000 decrease in policy loan interest.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increased by $764,000, or 11.8%, to $7,234,000 for the three month period ended September 30, 2023, from $6,470,000 for the comparable period in 2022. This increase was primarily due to a $771,000 increase in cemetery pre-need sales and a $110,000 increase in cemetery at-need sales, which were partially offset by a $117,000 decrease in mortuary at-need sales.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Losses on investments and other assets decreased by $1,247,000, or 57.2%, to $932,000 for the three month period ended September 30, 2023, from $2,179,000 for the comparable period in 2022. This decrease in losses on investments and other assets was primarily due to a $764,000 increase in gains on real estate, a $518,000 increase in gains on equity securities mostly attributable to increases in the fair value of these equity securities, and a $25,000 increase in gains on fixed maturity securities, which were partially offset by a $60,000 decrease in gains on other assets mostly attributable to the Company discontinuing its use of call and put option derivatives in the first quarter of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revenues decreased by $4,888,000, or 85.2%, to $849,000 for the three month period ended September 30, 2023, from $5,737,000 for the comparable period in 2022. This decrease was primarily attributable to a decrease in servicing fee revenue because of the sale of certain mortgage servicing rights in October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$75,083,000, or 93.6% of total revenues, for the three month period ended September 30, 2023, as compared to $86,780,000, or 104.0% of total revenues, for the comparable period in 2022.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$2,898,000 or 12.8%, to $25,622,000 for the three month period ended September 30, 2023, from $22,724,000 for the comparable period in 2022. This increase was primarily the result of a $2,087,000 increase in future policy benefits, a $681,000 increase in death benefits, and a $130,000 increase in surrender and other policy benefits.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decreased by $581,000, or 11.5%, to $4,481,000 for the three month period ended September 30, 2023, from $5,062,000 for the comparable period in 2022. This decrease was primarily due to increased payment consistency from premium-paying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$13,005,000, or 23.4%, to $42,652,000 for the three month period ended September 30, 2023, from $55,657,000 for the comparable period in 2022. This decrease was primarily the result of a $4,537,000 decrease in commissions, a $4,158,000 decrease in personnel expenses, a $4,053,000 decrease in other expenses, a $378,000 decrease in advertising expense, a $46,000 decrease in depreciation on property and equipment, and a $23,000 decrease in rent and rent related expenses which were partially offset by a $192,000 increase in costs related to funding mortgage loans.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$985,000, or 46.1%, to $1,152,000 for the three month period ended September 30, 2023, from $2,137,000 for the comparable period in 2022. This decrease was primarily due to a decrease of $975,000 in interest expense on mortgage warehouse lines of credit for loans held for sale and a decrease of $10,000 in interest expense on bank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Nine month period ended September 30, 2023, Compared to Nine month period ended September 30, 2022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$37,881,000, or 13.5%, to $243,589,000 for the nine month period ended September 30, 2023, from $281,470,000 for the comparable period in 2022. Contributing to this decrease in total revenues was a $41,979,000 decrease in mortgage fee income, a $13,389,000 decrease in other revenues, and a $52,000 decrease in net mortuary and cemetery sales, which were partially offset by a $7,427,000 increase in net investment income, a $7,196,000 increase in insurance premiums and other considerations, and a $2,916,000 increase in gains on investments and other assets.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Mortgage fee income decreased by $41,979,000, or 35.3%, to $77,004,000, for the nine month period ended September 30, 2023, from $118,983,000 for the comparable period in 2022. This decrease was primarily due to a $48,451,000 decrease in secondary gains from mortgage loans sold to third-party investors into the secondary market due to the decline in origination activity because of increasing interest rates and a $2,650,000 decrease in loan fees and interest income net of an increase in the provision for loan loss reserve, which were partially offset by a $7,257,000 increase in the fair value of loans held for sale and a $1,865,000 increase in the fair value of loan commitments.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$7,196,000, or 9.2%, to $85,687,000 for the nine month period ended September 30, 2023, from $78,491,000 for the comparable period in 2022. This increase was primarily due to an increase of $6,755,000 in first year premiums and an increase of $441,000 in renewal premiums.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investment income increased by $7,427,000, or 14.9%, to $57,195,000 for the nine month period ended September 30, 2023, from $49,769,000 for the comparable period in 2022. This increase was primarily attributable to a $3,762,000 increase in fixed maturity securities income, a $1,953,000 increase in interest on cash and cash equivalents, a $1,008,000 decrease in investment expenses, a $583,000 increase in real estate income, a $205,000 increase in income from other investments, a $116,000 increase in mortgage loan interest, and a $66,000 increase in equity securities income, which were partially offset by a $138,000 decrease in insurance assignment income and a $128,000 decrease in policy loan income.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decreased by $52,000, or 0.3%, to $20,874,000 for the nine month period ended September 30, 2023, from $20,926,000 for the comparable period in 2022. This decrease was primarily due to a $729,000 decrease in cemetery at-need sales and a $589,000 decrease in mortuary at-need sales, which were partially offset by a $1,266,000 increase in cemetery pre-need sales.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Losses on investments and other assets decreased by $2,916,000, or 99.8%, to $5,000 for the nine month period ended September 30, 2023, from $2,921,000 for the comparable period in 2022. This decrease in losses on investments and other assets was primarily due to a $4,011,000 decrease in losses on equity securities mostly attributable to increases in the fair value of these equity securities, which were partially offset by a $439,000 increase in losses on fixed maturity securities, a $292,000 decrease in gains on other invested assets, a $238,000 decrease in gains on real estate, and a $126,000 decrease in gains on call and put option derivatives due to the Company discontinuing is use of call and put option derivatives in the first quarter of 2023.</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revenues decreased by $13,389,000, or 82.5%, to $2,832,000 for the nine month period ended September 30, 2023, from $16,221,000 for the comparable period in 2022. This decrease was primarily attributable to a decrease in servicing fee revenue because of the sale of certain mortgage servicing rights in October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$228,696,000, or 93.9% of total revenues, for the nine month period ended September 30, 2023, as compared to $275,599,000, or 97.9% of total revenues, for the comparable period in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$6,098,000 or 8.7%, to $76,394,000 for the nine month period ended September 30, 2023, from $70,296,000 for the comparable period in 2022. This increase was primarily the result of a $5,270,000 increase in future policy benefits and a $1,092,000 increase in death benefits, which were partially offset by a $264,000 decrease in surrender and other policy benefits.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$104,000, or 0.8%, to $13,615,000 for the nine month period ended September 30, 2023, from $13,511,000 for the comparable period in 2022.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$51,346,000, or 28.2%, to $131,052,000 for the nine month period ended September 30, 2023, from $182,398,000 for the comparable period in 2022. This decrease was primarily the result of a $22,426,000 decrease in commissions, a $14,067,000 decrease in personnel expenses, a $12,136,000 decrease in other expenses, a $1,817,000 decrease in advertising expense, a $1,009,000 decrease in costs related to funding mortgage loans, and a $114,000 decrease in depreciation on property and equipment, which were partially offset by a $223,000 increase in rent and rent related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$1,744,000, or 30.3%, to $4,020,000 for the nine month period ended September 30, 2023, from $5,764,000 for the comparable period in 2022. This decrease was primarily due to a decrease of $2,152,000 in interest expense on mortgage warehouse lines of credit for loans held for sale, which was partially offset by an increase of $408,000 in interest expense on bank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September 30, 2023, the Company’s subsidiary SecurityNational Mortgage was not in compliance with the net income covenants under its Warehouse Lines of Credit and has received or is in the process of receiving waivers from the warehouse banks. In the unlikely event SecurityNational Mortgage is required to repay the outstanding advances of approximately $10,200,000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nine month periods ended September 30, 2023 and 2022, the Company’s operations provided cash of $18,384,000 and $109,318,000, respectively. The decrease in cash provided by operations was due primarily to decreased proceeds from the sale of mortgage loans held for sale.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90" w:lineRule="auto"/>
        <w:rPr>
          <w:sz w:val="20"/>
          <w:szCs w:val="20"/>
          <w:color w:val="auto"/>
        </w:rPr>
      </w:pPr>
      <w:r>
        <w:rPr>
          <w:rFonts w:ascii="Arial" w:cs="Arial" w:eastAsia="Arial" w:hAnsi="Arial"/>
          <w:sz w:val="16"/>
          <w:szCs w:val="16"/>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$341,252,000 (at estimated fair value) and $345,598,000 (at estimated fair value) as of September 30, 2023 and December 31, 2022, respectively. This represented 38.5% and 36.4% of the total investments of the Company as of September 30, 2023, and December 31, 2022, respectively. Generally, all bonds owned by the life insurance subsidiaries are rated by the National Association of Insurance Commissioners. Under this rating system, there are six categories used for rating bonds. As of September 30, 2023, 1.9% (or $6,307,000) and as of December 31, 2022, 2.2% (or $7,833,000) of the Company’s total bond investments were invested in bonds in rating categories three through six, which are considered non-investment grade.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September 30, 2023 and December 31, 2022, the life insurance subsidiaries were in compliance with the regulatory criteria.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total capitalization of stockholders’ equity, bank and other loans payable was $406,325,000 as of September 30, 2023, as compared to $454,499,000 as of December 31, 2022. This decrease was primarily due to a decrease of $53,281,000 in bank loans and other loans payable, which was partially offset by a $5,107,000 increase in stockholders’ equity. Stockholders’ equity as a percent of total capitalization was 73.3% and 64.4% as of September 30, 2023, and December 31, 2022,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2022 was 4.3% as compared to a lapse rate of 4.8% for 2021. The 2023 lapse rate to date has been approximately the same as 2022.</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combined statutory capital and surplus of the Company’s life insurance subsidiaries was $103,984,000 and $94,254,000 as of September 30, 2023, and December 31, 2022, respectively. The life insurance subsidiaries cannot pay a dividend to their parent company without the approval of state insurance regulatory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Environment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2023,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2023,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color w:val="auto"/>
        </w:rPr>
        <w: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27, 2022, the Company executed a 10b5-1 agreement with a broker to repurchase shares of the Company’s Class A Common Stock. Under the terms of the agreement, the broker is permitted to repurchase up to 1,000,000 shares of the Company’s Class A Common Stock. The agreement is subject to the daily time, price and volume conditions of Rule 10b-18. The initial term of the agreement is for one year.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 period ended September 30, 2023 under the 10b5-1 agreement.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(d) Maximum</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Number (or</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 Total Number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 Class A</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Class A Shares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(a) Total Number of</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89"/>
              </w:rPr>
              <w:t>(b) Average Price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Purchased as Part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Class A Shares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
              <w:spacing w:after="0"/>
              <w:rPr>
                <w:sz w:val="20"/>
                <w:szCs w:val="20"/>
                <w:color w:val="auto"/>
              </w:rPr>
            </w:pPr>
            <w:r>
              <w:rPr>
                <w:rFonts w:ascii="Arial" w:cs="Arial" w:eastAsia="Arial" w:hAnsi="Arial"/>
                <w:sz w:val="18"/>
                <w:szCs w:val="18"/>
                <w:color w:val="auto"/>
                <w:w w:val="89"/>
              </w:rPr>
              <w:t>Paid per Class 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Publicly Announced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the Plan or Program</w:t>
            </w:r>
          </w:p>
        </w:tc>
      </w:tr>
      <w:tr>
        <w:trPr>
          <w:trHeight w:val="237"/>
        </w:trPr>
        <w:tc>
          <w:tcPr>
            <w:tcW w:w="3220" w:type="dxa"/>
            <w:vAlign w:val="bottom"/>
            <w:gridSpan w:val="3"/>
          </w:tcPr>
          <w:p>
            <w:pPr>
              <w:ind w:left="1280"/>
              <w:spacing w:after="0"/>
              <w:rPr>
                <w:sz w:val="20"/>
                <w:szCs w:val="20"/>
                <w:color w:val="auto"/>
              </w:rPr>
            </w:pPr>
            <w:r>
              <w:rPr>
                <w:rFonts w:ascii="Arial" w:cs="Arial" w:eastAsia="Arial" w:hAnsi="Arial"/>
                <w:sz w:val="18"/>
                <w:szCs w:val="18"/>
                <w:color w:val="auto"/>
              </w:rPr>
              <w:t>Period</w:t>
            </w: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87"/>
              </w:rPr>
              <w:t>Share (1)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Plan or Program</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7/1/2023-7/31/2023</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8/1/2023-8/31/2023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318,043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9/1/2023-9/30/2023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318,043</w:t>
            </w:r>
          </w:p>
        </w:tc>
      </w:tr>
      <w:tr>
        <w:trPr>
          <w:trHeight w:val="237"/>
        </w:trPr>
        <w:tc>
          <w:tcPr>
            <w:tcW w:w="28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9"/>
        </w:trPr>
        <w:tc>
          <w:tcPr>
            <w:tcW w:w="3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fees and commissions paid on stock repurchases.</w:t>
      </w:r>
    </w:p>
    <w:p>
      <w:pPr>
        <w:spacing w:after="0" w:line="2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three-month period ended September 30, 2023, none of the Company’s directors or officers adopted or terminated a “Rule 10b5-1 trading arrangement” or “non-Rule 10b5-1 trading arrangement,” as those terms are defined in Regulation S-K, Item 408.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8680" w:type="dxa"/>
            <w:vAlign w:val="bottom"/>
            <w:gridSpan w:val="5"/>
          </w:tcPr>
          <w:p>
            <w:pPr>
              <w:spacing w:after="0"/>
              <w:rPr>
                <w:rFonts w:ascii="Arial" w:cs="Arial" w:eastAsia="Arial" w:hAnsi="Arial"/>
                <w:sz w:val="18"/>
                <w:szCs w:val="18"/>
                <w:color w:val="0000EE"/>
              </w:rPr>
            </w:pPr>
            <w:hyperlink r:id="rId143">
              <w:r>
                <w:rPr>
                  <w:rFonts w:ascii="Arial" w:cs="Arial" w:eastAsia="Arial" w:hAnsi="Arial"/>
                  <w:sz w:val="18"/>
                  <w:szCs w:val="18"/>
                  <w:color w:val="0000EE"/>
                </w:rPr>
                <w:t>Amended and Restated Articles of Incorporation (1)</w:t>
              </w:r>
            </w:hyperlink>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Amended and Restated Bylaws (2)</w:t>
              </w:r>
            </w:hyperlink>
          </w:p>
        </w:tc>
        <w:tc>
          <w:tcPr>
            <w:tcW w:w="1240" w:type="dxa"/>
            <w:vAlign w:val="bottom"/>
            <w:tcBorders>
              <w:top w:val="single" w:sz="8" w:color="0000EE"/>
            </w:tcBorders>
          </w:tcPr>
          <w:p>
            <w:pPr>
              <w:spacing w:after="0"/>
              <w:rPr>
                <w:sz w:val="17"/>
                <w:szCs w:val="17"/>
                <w:color w:val="auto"/>
              </w:rPr>
            </w:pPr>
          </w:p>
        </w:tc>
        <w:tc>
          <w:tcPr>
            <w:tcW w:w="4920" w:type="dxa"/>
            <w:vAlign w:val="bottom"/>
            <w:gridSpan w:val="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020" w:type="dxa"/>
            <w:vAlign w:val="bottom"/>
          </w:tcPr>
          <w:p>
            <w:pPr>
              <w:spacing w:after="0" w:line="196" w:lineRule="exact"/>
              <w:rPr>
                <w:sz w:val="20"/>
                <w:szCs w:val="20"/>
                <w:color w:val="auto"/>
              </w:rPr>
            </w:pPr>
            <w:r>
              <w:rPr>
                <w:rFonts w:ascii="Arial" w:cs="Arial" w:eastAsia="Arial" w:hAnsi="Arial"/>
                <w:sz w:val="18"/>
                <w:szCs w:val="18"/>
                <w:color w:val="0000EE"/>
                <w:w w:val="92"/>
              </w:rPr>
              <w:t>Certification pursuant to 18</w:t>
            </w:r>
          </w:p>
        </w:tc>
        <w:tc>
          <w:tcPr>
            <w:tcW w:w="6660" w:type="dxa"/>
            <w:vAlign w:val="bottom"/>
            <w:gridSpan w:val="4"/>
          </w:tcPr>
          <w:p>
            <w:pPr>
              <w:ind w:left="20"/>
              <w:spacing w:after="0" w:line="196" w:lineRule="exact"/>
              <w:rPr>
                <w:sz w:val="20"/>
                <w:szCs w:val="20"/>
                <w:color w:val="auto"/>
              </w:rPr>
            </w:pPr>
            <w:r>
              <w:rPr>
                <w:rFonts w:ascii="Arial" w:cs="Arial" w:eastAsia="Arial" w:hAnsi="Arial"/>
                <w:sz w:val="18"/>
                <w:szCs w:val="18"/>
                <w:color w:val="0000EE"/>
                <w:w w:val="99"/>
              </w:rPr>
              <w:t>U.S.C. Section 1350, as enacted by Section 302 of the Sarbanes-Oxley Act of 2002</w:t>
            </w:r>
          </w:p>
        </w:tc>
      </w:tr>
      <w:tr>
        <w:trPr>
          <w:trHeight w:val="20"/>
        </w:trPr>
        <w:tc>
          <w:tcPr>
            <w:tcW w:w="7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020" w:type="dxa"/>
            <w:vAlign w:val="bottom"/>
          </w:tcPr>
          <w:p>
            <w:pPr>
              <w:spacing w:after="0" w:line="196" w:lineRule="exact"/>
              <w:rPr>
                <w:sz w:val="20"/>
                <w:szCs w:val="20"/>
                <w:color w:val="auto"/>
              </w:rPr>
            </w:pPr>
            <w:r>
              <w:rPr>
                <w:rFonts w:ascii="Arial" w:cs="Arial" w:eastAsia="Arial" w:hAnsi="Arial"/>
                <w:sz w:val="18"/>
                <w:szCs w:val="18"/>
                <w:color w:val="0000EE"/>
                <w:w w:val="92"/>
              </w:rPr>
              <w:t>Certification pursuant to 18</w:t>
            </w:r>
          </w:p>
        </w:tc>
        <w:tc>
          <w:tcPr>
            <w:tcW w:w="6660" w:type="dxa"/>
            <w:vAlign w:val="bottom"/>
            <w:gridSpan w:val="4"/>
          </w:tcPr>
          <w:p>
            <w:pPr>
              <w:ind w:left="20"/>
              <w:spacing w:after="0" w:line="196" w:lineRule="exact"/>
              <w:rPr>
                <w:sz w:val="20"/>
                <w:szCs w:val="20"/>
                <w:color w:val="auto"/>
              </w:rPr>
            </w:pPr>
            <w:r>
              <w:rPr>
                <w:rFonts w:ascii="Arial" w:cs="Arial" w:eastAsia="Arial" w:hAnsi="Arial"/>
                <w:sz w:val="18"/>
                <w:szCs w:val="18"/>
                <w:color w:val="0000EE"/>
                <w:w w:val="99"/>
              </w:rPr>
              <w:t>U.S.C. Section 1350, as enacted by Section 302 of the Sarbanes-Oxley Act of 2002</w:t>
            </w:r>
          </w:p>
        </w:tc>
      </w:tr>
      <w:tr>
        <w:trPr>
          <w:trHeight w:val="20"/>
        </w:trPr>
        <w:tc>
          <w:tcPr>
            <w:tcW w:w="7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0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Certification pursuant to 18</w:t>
            </w:r>
          </w:p>
        </w:tc>
        <w:tc>
          <w:tcPr>
            <w:tcW w:w="6660" w:type="dxa"/>
            <w:vAlign w:val="bottom"/>
            <w:tcBorders>
              <w:bottom w:val="single" w:sz="8" w:color="0000EE"/>
            </w:tcBorders>
            <w:gridSpan w:val="4"/>
          </w:tcPr>
          <w:p>
            <w:pPr>
              <w:ind w:left="20"/>
              <w:spacing w:after="0" w:line="196"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0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Certification pursuant to 18</w:t>
            </w:r>
          </w:p>
        </w:tc>
        <w:tc>
          <w:tcPr>
            <w:tcW w:w="6660" w:type="dxa"/>
            <w:vAlign w:val="bottom"/>
            <w:tcBorders>
              <w:bottom w:val="single" w:sz="8" w:color="0000EE"/>
            </w:tcBorders>
            <w:gridSpan w:val="4"/>
          </w:tcPr>
          <w:p>
            <w:pPr>
              <w:ind w:left="20"/>
              <w:spacing w:after="0" w:line="196"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86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86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920" w:hanging="26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September 30, 2023,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September 30, 2023,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3"/>
    </w:lvl>
  </w:abstractNum>
  <w:abstractNum w:abstractNumId="8">
    <w:nsid w:val="542289EC"/>
    <w:multiLevelType w:val="hybridMultilevel"/>
    <w:lvl w:ilvl="0">
      <w:lvlJc w:val="left"/>
      <w:lvlText w:val="%1)"/>
      <w:numFmt w:val="decimal"/>
      <w:start w:val="3"/>
    </w:lvl>
  </w:abstractNum>
  <w:abstractNum w:abstractNumId="9">
    <w:nsid w:val="6DE91B18"/>
    <w:multiLevelType w:val="hybridMultilevel"/>
    <w:lvl w:ilvl="0">
      <w:lvlJc w:val="left"/>
      <w:lvlText w:val="%1)"/>
      <w:numFmt w:val="decimal"/>
      <w:start w:val="3"/>
    </w:lvl>
  </w:abstractNum>
  <w:abstractNum w:abstractNumId="10">
    <w:nsid w:val="38437FDB"/>
    <w:multiLevelType w:val="hybridMultilevel"/>
    <w:lvl w:ilvl="0">
      <w:lvlJc w:val="left"/>
      <w:lvlText w:val="%1)"/>
      <w:numFmt w:val="decimal"/>
      <w:start w:val="3"/>
    </w:lvl>
  </w:abstractNum>
  <w:abstractNum w:abstractNumId="11">
    <w:nsid w:val="7644A45C"/>
    <w:multiLevelType w:val="hybridMultilevel"/>
    <w:lvl w:ilvl="0">
      <w:lvlJc w:val="left"/>
      <w:lvlText w:val="%1)"/>
      <w:numFmt w:val="decimal"/>
      <w:start w:val="3"/>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3"/>
    </w:lvl>
  </w:abstractNum>
  <w:abstractNum w:abstractNumId="15">
    <w:nsid w:val="749ABB43"/>
    <w:multiLevelType w:val="hybridMultilevel"/>
    <w:lvl w:ilvl="0">
      <w:lvlJc w:val="left"/>
      <w:lvlText w:val="%1)"/>
      <w:numFmt w:val="decimal"/>
      <w:start w:val="3"/>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3"/>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3"/>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1)"/>
      <w:numFmt w:val="decimal"/>
      <w:start w:val="3"/>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3"/>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3"/>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3"/>
    </w:lvl>
  </w:abstractNum>
  <w:abstractNum w:abstractNumId="36">
    <w:nsid w:val="D34B6A8"/>
    <w:multiLevelType w:val="hybridMultilevel"/>
    <w:lvl w:ilvl="0">
      <w:lvlJc w:val="left"/>
      <w:lvlText w:val="%1)"/>
      <w:numFmt w:val="decimal"/>
      <w:start w:val="4"/>
    </w:lvl>
  </w:abstractNum>
  <w:abstractNum w:abstractNumId="37">
    <w:nsid w:val="10233C99"/>
    <w:multiLevelType w:val="hybridMultilevel"/>
    <w:lvl w:ilvl="0">
      <w:lvlJc w:val="left"/>
      <w:lvlText w:val="%1)"/>
      <w:numFmt w:val="decimal"/>
      <w:start w:val="4"/>
    </w:lvl>
  </w:abstractNum>
  <w:abstractNum w:abstractNumId="38">
    <w:nsid w:val="3F6AB60F"/>
    <w:multiLevelType w:val="hybridMultilevel"/>
    <w:lvl w:ilvl="0">
      <w:lvlJc w:val="left"/>
      <w:lvlText w:val="%1)"/>
      <w:numFmt w:val="decimal"/>
      <w:start w:val="5"/>
    </w:lvl>
  </w:abstractNum>
  <w:abstractNum w:abstractNumId="39">
    <w:nsid w:val="61574095"/>
    <w:multiLevelType w:val="hybridMultilevel"/>
    <w:lvl w:ilvl="0">
      <w:lvlJc w:val="left"/>
      <w:lvlText w:val="%1)"/>
      <w:numFmt w:val="decimal"/>
      <w:start w:val="5"/>
    </w:lvl>
  </w:abstractNum>
  <w:abstractNum w:abstractNumId="40">
    <w:nsid w:val="7E0C57B1"/>
    <w:multiLevelType w:val="hybridMultilevel"/>
    <w:lvl w:ilvl="0">
      <w:lvlJc w:val="left"/>
      <w:lvlText w:val="%1)"/>
      <w:numFmt w:val="decimal"/>
      <w:start w:val="5"/>
    </w:lvl>
  </w:abstractNum>
  <w:abstractNum w:abstractNumId="41">
    <w:nsid w:val="77AE35EB"/>
    <w:multiLevelType w:val="hybridMultilevel"/>
    <w:lvl w:ilvl="0">
      <w:lvlJc w:val="left"/>
      <w:lvlText w:val="%1)"/>
      <w:numFmt w:val="decimal"/>
      <w:start w:val="6"/>
    </w:lvl>
  </w:abstractNum>
  <w:abstractNum w:abstractNumId="42">
    <w:nsid w:val="579BE4F1"/>
    <w:multiLevelType w:val="hybridMultilevel"/>
    <w:lvl w:ilvl="0">
      <w:lvlJc w:val="left"/>
      <w:lvlText w:val="%1)"/>
      <w:numFmt w:val="decimal"/>
      <w:start w:val="7"/>
    </w:lvl>
  </w:abstractNum>
  <w:abstractNum w:abstractNumId="43">
    <w:nsid w:val="310C50B3"/>
    <w:multiLevelType w:val="hybridMultilevel"/>
    <w:lvl w:ilvl="0">
      <w:lvlJc w:val="left"/>
      <w:lvlText w:val="%1)"/>
      <w:numFmt w:val="decimal"/>
      <w:start w:val="8"/>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decimal"/>
      <w:start w:val="8"/>
    </w:lvl>
  </w:abstractNum>
  <w:abstractNum w:abstractNumId="46">
    <w:nsid w:val="25A70BF7"/>
    <w:multiLevelType w:val="hybridMultilevel"/>
    <w:lvl w:ilvl="0">
      <w:lvlJc w:val="left"/>
      <w:lvlText w:val="%1)"/>
      <w:numFmt w:val="decimal"/>
      <w:start w:val="8"/>
    </w:lvl>
  </w:abstractNum>
  <w:abstractNum w:abstractNumId="47">
    <w:nsid w:val="1DBABF00"/>
    <w:multiLevelType w:val="hybridMultilevel"/>
    <w:lvl w:ilvl="0">
      <w:lvlJc w:val="left"/>
      <w:lvlText w:val="%1)"/>
      <w:numFmt w:val="decimal"/>
      <w:start w:val="8"/>
    </w:lvl>
  </w:abstractNum>
  <w:abstractNum w:abstractNumId="48">
    <w:nsid w:val="4AD084E9"/>
    <w:multiLevelType w:val="hybridMultilevel"/>
    <w:lvl w:ilvl="0">
      <w:lvlJc w:val="left"/>
      <w:lvlText w:val="%1)"/>
      <w:numFmt w:val="decimal"/>
      <w:start w:val="8"/>
    </w:lvl>
  </w:abstractNum>
  <w:abstractNum w:abstractNumId="49">
    <w:nsid w:val="1F48EAA1"/>
    <w:multiLevelType w:val="hybridMultilevel"/>
    <w:lvl w:ilvl="0">
      <w:lvlJc w:val="left"/>
      <w:lvlText w:val="%1)"/>
      <w:numFmt w:val="decimal"/>
      <w:start w:val="8"/>
    </w:lvl>
  </w:abstractNum>
  <w:abstractNum w:abstractNumId="50">
    <w:nsid w:val="1381823A"/>
    <w:multiLevelType w:val="hybridMultilevel"/>
    <w:lvl w:ilvl="0">
      <w:lvlJc w:val="left"/>
      <w:lvlText w:val="%1)"/>
      <w:numFmt w:val="decimal"/>
      <w:start w:val="8"/>
    </w:lvl>
  </w:abstractNum>
  <w:abstractNum w:abstractNumId="51">
    <w:nsid w:val="5DB70AE5"/>
    <w:multiLevelType w:val="hybridMultilevel"/>
    <w:lvl w:ilvl="0">
      <w:lvlJc w:val="left"/>
      <w:lvlText w:val="%1)"/>
      <w:numFmt w:val="decimal"/>
      <w:start w:val="8"/>
    </w:lvl>
  </w:abstractNum>
  <w:abstractNum w:abstractNumId="52">
    <w:nsid w:val="100F8FCA"/>
    <w:multiLevelType w:val="hybridMultilevel"/>
    <w:lvl w:ilvl="0">
      <w:lvlJc w:val="left"/>
      <w:lvlText w:val="%1)"/>
      <w:numFmt w:val="decimal"/>
      <w:start w:val="8"/>
    </w:lvl>
  </w:abstractNum>
  <w:abstractNum w:abstractNumId="53">
    <w:nsid w:val="6590700B"/>
    <w:multiLevelType w:val="hybridMultilevel"/>
    <w:lvl w:ilvl="0">
      <w:lvlJc w:val="left"/>
      <w:lvlText w:val="%1)"/>
      <w:numFmt w:val="decimal"/>
      <w:start w:val="8"/>
    </w:lvl>
  </w:abstractNum>
  <w:abstractNum w:abstractNumId="54">
    <w:nsid w:val="15014ACB"/>
    <w:multiLevelType w:val="hybridMultilevel"/>
    <w:lvl w:ilvl="0">
      <w:lvlJc w:val="left"/>
      <w:lvlText w:val="%1)"/>
      <w:numFmt w:val="decimal"/>
      <w:start w:val="8"/>
    </w:lvl>
  </w:abstractNum>
  <w:abstractNum w:abstractNumId="55">
    <w:nsid w:val="5F5E7FD0"/>
    <w:multiLevelType w:val="hybridMultilevel"/>
    <w:lvl w:ilvl="0">
      <w:lvlJc w:val="left"/>
      <w:lvlText w:val="%1)"/>
      <w:numFmt w:val="decimal"/>
      <w:start w:val="9"/>
    </w:lvl>
  </w:abstractNum>
  <w:abstractNum w:abstractNumId="56">
    <w:nsid w:val="98A3148"/>
    <w:multiLevelType w:val="hybridMultilevel"/>
    <w:lvl w:ilvl="0">
      <w:lvlJc w:val="left"/>
      <w:lvlText w:val="%1)"/>
      <w:numFmt w:val="decimal"/>
      <w:start w:val="9"/>
    </w:lvl>
  </w:abstractNum>
  <w:abstractNum w:abstractNumId="57">
    <w:nsid w:val="799D0247"/>
    <w:multiLevelType w:val="hybridMultilevel"/>
    <w:lvl w:ilvl="0">
      <w:lvlJc w:val="left"/>
      <w:lvlText w:val="%1)"/>
      <w:numFmt w:val="decimal"/>
      <w:start w:val="10"/>
    </w:lvl>
  </w:abstractNum>
  <w:abstractNum w:abstractNumId="58">
    <w:nsid w:val="6B94764"/>
    <w:multiLevelType w:val="hybridMultilevel"/>
    <w:lvl w:ilvl="0">
      <w:lvlJc w:val="left"/>
      <w:lvlText w:val="%1)"/>
      <w:numFmt w:val="decimal"/>
      <w:start w:val="10"/>
    </w:lvl>
  </w:abstractNum>
  <w:abstractNum w:abstractNumId="59">
    <w:nsid w:val="42C296BD"/>
    <w:multiLevelType w:val="hybridMultilevel"/>
    <w:lvl w:ilvl="0">
      <w:lvlJc w:val="left"/>
      <w:lvlText w:val="%1)"/>
      <w:numFmt w:val="decimal"/>
      <w:start w:val="1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12"/>
    </w:lvl>
  </w:abstractNum>
  <w:abstractNum w:abstractNumId="62">
    <w:nsid w:val="661E3F1E"/>
    <w:multiLevelType w:val="hybridMultilevel"/>
    <w:lvl w:ilvl="0">
      <w:lvlJc w:val="left"/>
      <w:lvlText w:val="%1)"/>
      <w:numFmt w:val="decimal"/>
      <w:start w:val="13"/>
    </w:lvl>
  </w:abstractNum>
  <w:abstractNum w:abstractNumId="63">
    <w:nsid w:val="5DC79EA8"/>
    <w:multiLevelType w:val="hybridMultilevel"/>
    <w:lvl w:ilvl="0">
      <w:lvlJc w:val="left"/>
      <w:lvlText w:val="%1)"/>
      <w:numFmt w:val="decimal"/>
      <w:start w:val="13"/>
    </w:lvl>
  </w:abstractNum>
  <w:abstractNum w:abstractNumId="64">
    <w:nsid w:val="540A471C"/>
    <w:multiLevelType w:val="hybridMultilevel"/>
    <w:lvl w:ilvl="0">
      <w:lvlJc w:val="left"/>
      <w:lvlText w:val="%1)"/>
      <w:numFmt w:val="decimal"/>
      <w:start w:val="13"/>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1)"/>
      <w:numFmt w:val="decimal"/>
      <w:start w:val="15"/>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decimal"/>
      <w:start w:val="15"/>
    </w:lvl>
  </w:abstractNum>
  <w:abstractNum w:abstractNumId="73">
    <w:nsid w:val="1A32234B"/>
    <w:multiLevelType w:val="hybridMultilevel"/>
    <w:lvl w:ilvl="0">
      <w:lvlJc w:val="left"/>
      <w:lvlText w:val="%1)"/>
      <w:numFmt w:val="decimal"/>
      <w:start w:val="15"/>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15"/>
    </w:lvl>
  </w:abstractNum>
  <w:abstractNum w:abstractNumId="77">
    <w:nsid w:val="60B6DF70"/>
    <w:multiLevelType w:val="hybridMultilevel"/>
    <w:lvl w:ilvl="0">
      <w:lvlJc w:val="left"/>
      <w:lvlText w:val="%1)"/>
      <w:numFmt w:val="decimal"/>
      <w:start w:val="16"/>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43" Type="http://schemas.openxmlformats.org/officeDocument/2006/relationships/hyperlink" Target="https://www.sec.gov/Archives/edgar/data/318673/000109690617000214/exh3_1.pdf" TargetMode="External"/><Relationship Id="rId144"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2023-11-14T09:17:18Z</dcterms:created>
  <dcterms:modified xsi:type="dcterms:W3CDTF">2023-11-14T09:17:18Z</dcterms:modified>
</cp:coreProperties>
</file>