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ind w:right="2240" w:firstLine="8"/>
        <w:spacing w:after="0" w:line="500"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right="1860" w:firstLine="8"/>
        <w:spacing w:after="0" w:line="500" w:lineRule="auto"/>
        <w:tabs>
          <w:tab w:leader="none" w:pos="2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 to 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000-09341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SECURITY NATIONAL FINANCIAL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UTAH</w:t>
            </w:r>
          </w:p>
        </w:tc>
        <w:tc>
          <w:tcPr>
            <w:tcW w:w="1820" w:type="dxa"/>
            <w:vAlign w:val="bottom"/>
            <w:gridSpan w:val="4"/>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6"/>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87-0345941</w:t>
            </w:r>
          </w:p>
        </w:tc>
        <w:tc>
          <w:tcPr>
            <w:tcW w:w="21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386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gridSpan w:val="7"/>
          </w:tcPr>
          <w:p>
            <w:pPr>
              <w:jc w:val="center"/>
              <w:ind w:right="124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980" w:type="dxa"/>
            <w:vAlign w:val="bottom"/>
          </w:tcPr>
          <w:p>
            <w:pPr>
              <w:spacing w:after="0"/>
              <w:rPr>
                <w:sz w:val="20"/>
                <w:szCs w:val="20"/>
                <w:color w:val="auto"/>
              </w:rPr>
            </w:pPr>
          </w:p>
        </w:tc>
        <w:tc>
          <w:tcPr>
            <w:tcW w:w="386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gridSpan w:val="7"/>
          </w:tcPr>
          <w:p>
            <w:pPr>
              <w:jc w:val="center"/>
              <w:ind w:right="124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91"/>
        </w:trPr>
        <w:tc>
          <w:tcPr>
            <w:tcW w:w="980" w:type="dxa"/>
            <w:vAlign w:val="bottom"/>
          </w:tcPr>
          <w:p>
            <w:pPr>
              <w:spacing w:after="0"/>
              <w:rPr>
                <w:sz w:val="24"/>
                <w:szCs w:val="24"/>
                <w:color w:val="auto"/>
              </w:rPr>
            </w:pPr>
          </w:p>
        </w:tc>
        <w:tc>
          <w:tcPr>
            <w:tcW w:w="386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433 West Ascension Way, Salt Lake City, Utah</w:t>
            </w: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5"/>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84123</w:t>
            </w:r>
          </w:p>
        </w:tc>
        <w:tc>
          <w:tcPr>
            <w:tcW w:w="1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3560" w:type="dxa"/>
            <w:vAlign w:val="bottom"/>
            <w:gridSpan w:val="5"/>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35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5"/>
          </w:tcPr>
          <w:p>
            <w:pPr>
              <w:jc w:val="center"/>
              <w:ind w:right="232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91"/>
        </w:trPr>
        <w:tc>
          <w:tcPr>
            <w:tcW w:w="4840" w:type="dxa"/>
            <w:vAlign w:val="bottom"/>
            <w:gridSpan w:val="7"/>
          </w:tcPr>
          <w:p>
            <w:pPr>
              <w:jc w:val="center"/>
              <w:ind w:left="6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7"/>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(801) 264-1060</w:t>
            </w:r>
          </w:p>
        </w:tc>
      </w:tr>
      <w:tr>
        <w:trPr>
          <w:trHeight w:val="453"/>
        </w:trPr>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20" w:type="dxa"/>
            <w:vAlign w:val="bottom"/>
            <w:gridSpan w:val="7"/>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1120" w:type="dxa"/>
            <w:vAlign w:val="bottom"/>
            <w:tcBorders>
              <w:top w:val="single" w:sz="8" w:color="auto"/>
            </w:tcBorders>
            <w:gridSpan w:val="5"/>
          </w:tcPr>
          <w:p>
            <w:pPr>
              <w:spacing w:after="0"/>
              <w:rPr>
                <w:sz w:val="24"/>
                <w:szCs w:val="24"/>
                <w:color w:val="auto"/>
              </w:rPr>
            </w:pPr>
          </w:p>
        </w:tc>
        <w:tc>
          <w:tcPr>
            <w:tcW w:w="2180" w:type="dxa"/>
            <w:vAlign w:val="bottom"/>
          </w:tcPr>
          <w:p>
            <w:pPr>
              <w:spacing w:after="0"/>
              <w:rPr>
                <w:sz w:val="24"/>
                <w:szCs w:val="24"/>
                <w:color w:val="auto"/>
              </w:rPr>
            </w:pPr>
          </w:p>
        </w:tc>
      </w:tr>
      <w:tr>
        <w:trPr>
          <w:trHeight w:val="453"/>
        </w:trPr>
        <w:tc>
          <w:tcPr>
            <w:tcW w:w="980" w:type="dxa"/>
            <w:vAlign w:val="bottom"/>
          </w:tcPr>
          <w:p>
            <w:pPr>
              <w:spacing w:after="0"/>
              <w:rPr>
                <w:sz w:val="24"/>
                <w:szCs w:val="24"/>
                <w:color w:val="auto"/>
              </w:rPr>
            </w:pPr>
          </w:p>
        </w:tc>
        <w:tc>
          <w:tcPr>
            <w:tcW w:w="3860" w:type="dxa"/>
            <w:vAlign w:val="bottom"/>
            <w:gridSpan w:val="6"/>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26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4"/>
        </w:trPr>
        <w:tc>
          <w:tcPr>
            <w:tcW w:w="980" w:type="dxa"/>
            <w:vAlign w:val="bottom"/>
            <w:tcBorders>
              <w:top w:val="single" w:sz="8" w:color="auto"/>
            </w:tcBorders>
          </w:tcPr>
          <w:p>
            <w:pPr>
              <w:spacing w:after="0"/>
              <w:rPr>
                <w:sz w:val="20"/>
                <w:szCs w:val="20"/>
                <w:color w:val="auto"/>
              </w:rPr>
            </w:pPr>
          </w:p>
        </w:tc>
        <w:tc>
          <w:tcPr>
            <w:tcW w:w="3300" w:type="dxa"/>
            <w:vAlign w:val="bottom"/>
            <w:tcBorders>
              <w:top w:val="single" w:sz="8" w:color="auto"/>
            </w:tcBorders>
            <w:gridSpan w:val="3"/>
          </w:tcPr>
          <w:p>
            <w:pPr>
              <w:jc w:val="center"/>
              <w:ind w:right="870"/>
              <w:spacing w:after="0"/>
              <w:rPr>
                <w:sz w:val="20"/>
                <w:szCs w:val="20"/>
                <w:color w:val="auto"/>
              </w:rPr>
            </w:pPr>
            <w:r>
              <w:rPr>
                <w:rFonts w:ascii="Times New Roman" w:cs="Times New Roman" w:eastAsia="Times New Roman" w:hAnsi="Times New Roman"/>
                <w:sz w:val="18"/>
                <w:szCs w:val="18"/>
                <w:color w:val="auto"/>
              </w:rPr>
              <w:t>Class A Common Stock</w:t>
            </w:r>
          </w:p>
        </w:tc>
        <w:tc>
          <w:tcPr>
            <w:tcW w:w="2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SNFCA</w:t>
            </w:r>
          </w:p>
        </w:tc>
        <w:tc>
          <w:tcPr>
            <w:tcW w:w="220" w:type="dxa"/>
            <w:vAlign w:val="bottom"/>
          </w:tcPr>
          <w:p>
            <w:pPr>
              <w:spacing w:after="0"/>
              <w:rPr>
                <w:sz w:val="20"/>
                <w:szCs w:val="20"/>
                <w:color w:val="auto"/>
              </w:rPr>
            </w:pPr>
          </w:p>
        </w:tc>
        <w:tc>
          <w:tcPr>
            <w:tcW w:w="426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2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2"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Securities Act.</w:t>
      </w:r>
    </w:p>
    <w:p>
      <w:pPr>
        <w:spacing w:after="0" w:line="22" w:lineRule="exact"/>
        <w:rPr>
          <w:sz w:val="24"/>
          <w:szCs w:val="24"/>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35"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35"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0" w:gutter="0" w:footer="0" w:header="0"/>
        </w:sectPr>
      </w:pPr>
    </w:p>
    <w:p>
      <w:pPr>
        <w:spacing w:after="0" w:line="14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160" w:space="720"/>
            <w:col w:w="3360"/>
          </w:cols>
          <w:pgMar w:left="320" w:top="740" w:right="339" w:bottom="0"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160" w:space="720"/>
            <w:col w:w="3360"/>
          </w:cols>
          <w:pgMar w:left="320" w:top="740" w:right="339" w:bottom="0" w:gutter="0" w:footer="0" w:header="0"/>
          <w:type w:val="continuous"/>
        </w:sectPr>
      </w:pPr>
    </w:p>
    <w:p>
      <w:pPr>
        <w:spacing w:after="0" w:line="37" w:lineRule="exact"/>
        <w:rPr>
          <w:sz w:val="24"/>
          <w:szCs w:val="24"/>
          <w:color w:val="auto"/>
        </w:rPr>
      </w:pPr>
    </w:p>
    <w:p>
      <w:pPr>
        <w:ind w:left="78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740" w:right="339" w:bottom="0" w:gutter="0" w:footer="0" w:header="0"/>
          <w:type w:val="continuous"/>
        </w:sectPr>
      </w:pPr>
    </w:p>
    <w:p>
      <w:pPr>
        <w:spacing w:after="0" w:line="265"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11080"/>
        <w:spacing w:after="0" w:line="161" w:lineRule="exact"/>
        <w:rPr>
          <w:sz w:val="20"/>
          <w:szCs w:val="20"/>
          <w:color w:val="auto"/>
        </w:rPr>
      </w:pPr>
      <w:r>
        <w:rPr>
          <w:rFonts w:ascii="MS PGothic" w:cs="MS PGothic" w:eastAsia="MS PGothic" w:hAnsi="MS PGothic"/>
          <w:sz w:val="16"/>
          <w:szCs w:val="16"/>
          <w:color w:val="auto"/>
        </w:rPr>
        <w:t>☐</w:t>
      </w:r>
    </w:p>
    <w:p>
      <w:pPr>
        <w:spacing w:after="0" w:line="259"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 w:lineRule="exact"/>
        <w:rPr>
          <w:sz w:val="24"/>
          <w:szCs w:val="24"/>
          <w:color w:val="auto"/>
        </w:rPr>
      </w:pPr>
    </w:p>
    <w:p>
      <w:pPr>
        <w:ind w:left="11080"/>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1">
            <w:col w:w="11240"/>
          </w:cols>
          <w:pgMar w:left="320" w:top="740" w:right="339" w:bottom="0" w:gutter="0" w:footer="0" w:header="0"/>
          <w:type w:val="continuous"/>
        </w:sectPr>
      </w:pPr>
    </w:p>
    <w:bookmarkStart w:id="1" w:name="page2"/>
    <w:bookmarkEnd w:id="1"/>
    <w:p>
      <w:pPr>
        <w:ind w:firstLine="324"/>
        <w:spacing w:after="0" w:line="258" w:lineRule="auto"/>
        <w:rPr>
          <w:sz w:val="20"/>
          <w:szCs w:val="20"/>
          <w:color w:val="auto"/>
        </w:rPr>
      </w:pPr>
      <w:r>
        <w:rPr>
          <w:rFonts w:ascii="Times New Roman" w:cs="Times New Roman" w:eastAsia="Times New Roman" w:hAnsi="Times New Roman"/>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w:t>
      </w:r>
    </w:p>
    <w:p>
      <w:pPr>
        <w:ind w:left="11080"/>
        <w:spacing w:after="0" w:line="161" w:lineRule="exact"/>
        <w:rPr>
          <w:sz w:val="20"/>
          <w:szCs w:val="20"/>
          <w:color w:val="auto"/>
        </w:rPr>
      </w:pPr>
      <w:r>
        <w:rPr>
          <w:rFonts w:ascii="MS PGothic" w:cs="MS PGothic" w:eastAsia="MS PGothic" w:hAnsi="MS PGothic"/>
          <w:sz w:val="16"/>
          <w:szCs w:val="16"/>
          <w:color w:val="auto"/>
        </w:rPr>
        <w:t>☐</w:t>
      </w:r>
    </w:p>
    <w:p>
      <w:pPr>
        <w:spacing w:after="0" w:line="25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ind w:left="11080"/>
        <w:spacing w:after="0" w:line="161" w:lineRule="exact"/>
        <w:rPr>
          <w:sz w:val="20"/>
          <w:szCs w:val="20"/>
          <w:color w:val="auto"/>
        </w:rPr>
      </w:pPr>
      <w:r>
        <w:rPr>
          <w:rFonts w:ascii="MS PGothic" w:cs="MS PGothic" w:eastAsia="MS PGothic" w:hAnsi="MS PGothic"/>
          <w:sz w:val="16"/>
          <w:szCs w:val="16"/>
          <w:color w:val="auto"/>
        </w:rPr>
        <w:t>☐</w:t>
      </w:r>
    </w:p>
    <w:p>
      <w:pPr>
        <w:spacing w:after="0" w:line="230"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the aggregate market value of the registrant’s Class A common stock held by non-affiliates of the registrant was approximately $42,000,000 based on the $8.46 closing sale price of the Class A common stock as reported on The Nasdaq Global Select Market.</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March 27, 2023, there were outstanding 18,807,013 shares of Class A common stock, $2.00 par value per share, and 2,888,923 shares of Class C common stock, $2.00 par value per share.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40" w:type="dxa"/>
            <w:vAlign w:val="bottom"/>
            <w:gridSpan w:val="16"/>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w:t>
            </w:r>
          </w:p>
        </w:tc>
        <w:tc>
          <w:tcPr>
            <w:tcW w:w="76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gridSpan w:val="11"/>
          </w:tcPr>
          <w:p>
            <w:pPr>
              <w:jc w:val="center"/>
              <w:ind w:right="426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760" w:type="dxa"/>
            <w:vAlign w:val="bottom"/>
          </w:tcPr>
          <w:p>
            <w:pPr>
              <w:spacing w:after="0"/>
              <w:rPr>
                <w:sz w:val="18"/>
                <w:szCs w:val="18"/>
                <w:color w:val="auto"/>
              </w:rPr>
            </w:pPr>
          </w:p>
        </w:tc>
      </w:tr>
      <w:tr>
        <w:trPr>
          <w:trHeight w:val="238"/>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40" w:type="dxa"/>
            <w:vAlign w:val="bottom"/>
            <w:gridSpan w:val="16"/>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2022</w:t>
            </w:r>
          </w:p>
        </w:tc>
        <w:tc>
          <w:tcPr>
            <w:tcW w:w="76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00" w:type="dxa"/>
            <w:vAlign w:val="bottom"/>
            <w:gridSpan w:val="15"/>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60" w:type="dxa"/>
            <w:vAlign w:val="bottom"/>
          </w:tcPr>
          <w:p>
            <w:pPr>
              <w:spacing w:after="0"/>
              <w:rPr>
                <w:sz w:val="24"/>
                <w:szCs w:val="24"/>
                <w:color w:val="auto"/>
              </w:rPr>
            </w:pPr>
          </w:p>
        </w:tc>
      </w:tr>
      <w:tr>
        <w:trPr>
          <w:trHeight w:val="453"/>
        </w:trPr>
        <w:tc>
          <w:tcPr>
            <w:tcW w:w="7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Page</w:t>
            </w:r>
          </w:p>
        </w:tc>
      </w:tr>
      <w:tr>
        <w:trPr>
          <w:trHeight w:val="196"/>
        </w:trPr>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60" w:type="dxa"/>
            <w:vAlign w:val="bottom"/>
            <w:gridSpan w:val="12"/>
            <w:shd w:val="clear" w:color="auto" w:fill="CCEEFF"/>
          </w:tcPr>
          <w:p>
            <w:pPr>
              <w:jc w:val="center"/>
              <w:ind w:right="5020"/>
              <w:spacing w:after="0" w:line="162" w:lineRule="exact"/>
              <w:rPr>
                <w:sz w:val="20"/>
                <w:szCs w:val="20"/>
                <w:color w:val="auto"/>
              </w:rPr>
            </w:pPr>
            <w:r>
              <w:rPr>
                <w:rFonts w:ascii="Times New Roman" w:cs="Times New Roman" w:eastAsia="Times New Roman" w:hAnsi="Times New Roman"/>
                <w:sz w:val="18"/>
                <w:szCs w:val="18"/>
                <w:color w:val="0000EE"/>
              </w:rPr>
              <w:t>Part I</w:t>
            </w:r>
          </w:p>
        </w:tc>
        <w:tc>
          <w:tcPr>
            <w:tcW w:w="760" w:type="dxa"/>
            <w:vAlign w:val="bottom"/>
            <w:shd w:val="clear" w:color="auto" w:fill="CCEEFF"/>
          </w:tcPr>
          <w:p>
            <w:pPr>
              <w:spacing w:after="0"/>
              <w:rPr>
                <w:sz w:val="17"/>
                <w:szCs w:val="17"/>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7580" w:type="dxa"/>
            <w:vAlign w:val="bottom"/>
            <w:tcBorders>
              <w:bottom w:val="single" w:sz="8" w:color="CCEEFF"/>
            </w:tcBorders>
            <w:gridSpan w:val="18"/>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300" w:type="dxa"/>
            <w:vAlign w:val="bottom"/>
            <w:tcBorders>
              <w:bottom w:val="single" w:sz="8" w:color="CCEEFF"/>
            </w:tcBorders>
            <w:gridSpan w:val="23"/>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76"/>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500" w:type="dxa"/>
            <w:vAlign w:val="bottom"/>
            <w:gridSpan w:val="13"/>
          </w:tcPr>
          <w:p>
            <w:pPr>
              <w:jc w:val="center"/>
              <w:ind w:right="4980"/>
              <w:spacing w:after="0" w:line="176" w:lineRule="exact"/>
              <w:rPr>
                <w:sz w:val="20"/>
                <w:szCs w:val="20"/>
                <w:color w:val="auto"/>
              </w:rPr>
            </w:pPr>
            <w:r>
              <w:rPr>
                <w:rFonts w:ascii="Times New Roman" w:cs="Times New Roman" w:eastAsia="Times New Roman" w:hAnsi="Times New Roman"/>
                <w:sz w:val="18"/>
                <w:szCs w:val="18"/>
                <w:color w:val="0000EE"/>
                <w:w w:val="96"/>
              </w:rPr>
              <w:t>Part II</w:t>
            </w:r>
          </w:p>
        </w:tc>
        <w:tc>
          <w:tcPr>
            <w:tcW w:w="76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[Reserved]</w:t>
            </w:r>
          </w:p>
        </w:tc>
        <w:tc>
          <w:tcPr>
            <w:tcW w:w="8840" w:type="dxa"/>
            <w:vAlign w:val="bottom"/>
            <w:tcBorders>
              <w:bottom w:val="single" w:sz="8" w:color="CCEEFF"/>
            </w:tcBorders>
            <w:gridSpan w:val="26"/>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6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6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176"/>
        </w:trPr>
        <w:tc>
          <w:tcPr>
            <w:tcW w:w="8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436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5280" w:type="dxa"/>
            <w:vAlign w:val="bottom"/>
            <w:tcBorders>
              <w:top w:val="single" w:sz="8" w:color="CCEEFF"/>
            </w:tcBorders>
            <w:gridSpan w:val="10"/>
          </w:tcPr>
          <w:p>
            <w:pPr>
              <w:spacing w:after="0"/>
              <w:rPr>
                <w:sz w:val="15"/>
                <w:szCs w:val="15"/>
                <w:color w:val="auto"/>
              </w:rPr>
            </w:pPr>
          </w:p>
        </w:tc>
        <w:tc>
          <w:tcPr>
            <w:tcW w:w="7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6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119</w:t>
            </w:r>
          </w:p>
        </w:tc>
      </w:tr>
      <w:tr>
        <w:trPr>
          <w:trHeight w:val="175"/>
        </w:trPr>
        <w:tc>
          <w:tcPr>
            <w:tcW w:w="8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6480" w:type="dxa"/>
            <w:vAlign w:val="bottom"/>
            <w:tcBorders>
              <w:top w:val="single" w:sz="8" w:color="0000EE"/>
            </w:tcBorders>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3160" w:type="dxa"/>
            <w:vAlign w:val="bottom"/>
            <w:tcBorders>
              <w:top w:val="single" w:sz="8" w:color="CCEEFF"/>
            </w:tcBorders>
            <w:gridSpan w:val="3"/>
          </w:tcPr>
          <w:p>
            <w:pPr>
              <w:spacing w:after="0"/>
              <w:rPr>
                <w:sz w:val="15"/>
                <w:szCs w:val="15"/>
                <w:color w:val="auto"/>
              </w:rPr>
            </w:pPr>
          </w:p>
        </w:tc>
        <w:tc>
          <w:tcPr>
            <w:tcW w:w="7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119</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320" w:type="dxa"/>
            <w:vAlign w:val="bottom"/>
            <w:tcBorders>
              <w:bottom w:val="single" w:sz="8" w:color="CCEEFF"/>
            </w:tcBorders>
            <w:gridSpan w:val="24"/>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119</w:t>
            </w: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6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119</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75"/>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500" w:type="dxa"/>
            <w:vAlign w:val="bottom"/>
            <w:gridSpan w:val="13"/>
          </w:tcPr>
          <w:p>
            <w:pPr>
              <w:jc w:val="center"/>
              <w:ind w:right="4980"/>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76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6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120</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6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120</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6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120</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4180" w:type="dxa"/>
            <w:vAlign w:val="bottom"/>
            <w:tcBorders>
              <w:bottom w:val="single" w:sz="8" w:color="CCEEFF"/>
            </w:tcBorders>
            <w:gridSpan w:val="5"/>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120</w:t>
            </w: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6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120</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75"/>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540" w:type="dxa"/>
            <w:vAlign w:val="bottom"/>
            <w:gridSpan w:val="14"/>
          </w:tcPr>
          <w:p>
            <w:pPr>
              <w:jc w:val="center"/>
              <w:ind w:right="4940"/>
              <w:spacing w:after="0" w:line="176" w:lineRule="exact"/>
              <w:rPr>
                <w:sz w:val="20"/>
                <w:szCs w:val="20"/>
                <w:color w:val="auto"/>
              </w:rPr>
            </w:pPr>
            <w:r>
              <w:rPr>
                <w:rFonts w:ascii="Times New Roman" w:cs="Times New Roman" w:eastAsia="Times New Roman" w:hAnsi="Times New Roman"/>
                <w:sz w:val="18"/>
                <w:szCs w:val="18"/>
                <w:color w:val="0000EE"/>
                <w:w w:val="98"/>
              </w:rPr>
              <w:t>Part IV</w:t>
            </w:r>
          </w:p>
        </w:tc>
        <w:tc>
          <w:tcPr>
            <w:tcW w:w="76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6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120</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6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120</w:t>
            </w:r>
          </w:p>
        </w:tc>
      </w:tr>
      <w:tr>
        <w:trPr>
          <w:trHeight w:val="175"/>
        </w:trPr>
        <w:tc>
          <w:tcPr>
            <w:tcW w:w="8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56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121</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Statement Schedules</w:t>
            </w:r>
          </w:p>
        </w:tc>
        <w:tc>
          <w:tcPr>
            <w:tcW w:w="8260" w:type="dxa"/>
            <w:vAlign w:val="bottom"/>
            <w:tcBorders>
              <w:bottom w:val="single" w:sz="8" w:color="CCEEFF"/>
            </w:tcBorders>
            <w:gridSpan w:val="22"/>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122</w:t>
            </w:r>
          </w:p>
        </w:tc>
      </w:tr>
      <w:tr>
        <w:trPr>
          <w:trHeight w:val="439"/>
        </w:trPr>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23"/>
          </w:tcPr>
          <w:p>
            <w:pPr>
              <w:jc w:val="center"/>
              <w:ind w:left="4570"/>
              <w:spacing w:after="0"/>
              <w:rPr>
                <w:sz w:val="20"/>
                <w:szCs w:val="20"/>
                <w:color w:val="auto"/>
              </w:rPr>
            </w:pPr>
            <w:r>
              <w:rPr>
                <w:rFonts w:ascii="Times New Roman" w:cs="Times New Roman" w:eastAsia="Times New Roman" w:hAnsi="Times New Roman"/>
                <w:sz w:val="18"/>
                <w:szCs w:val="18"/>
                <w:color w:val="auto"/>
                <w:w w:val="88"/>
              </w:rPr>
              <w:t>2</w:t>
            </w: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Security National Financial Corporation (the “Company”) operates in three reportable business segments: life insurance, cemetery and mortuary, and mortgages. The life insurance segment is engaged in the business of selling and servicing selected lines of life insurance, annuity products, and accident and health insurance. These products are marketed in 40 states through a commissioned sales force of independent licensed insurance agents who may also sell insurance products of other companies. The cemetery and mortuary segment consists of eight mortuaries and five cemeteries in the state of Utah, one cemetery in the state of California, and one cemetery and four mortuaries in the state of New Mexico. The Company also engages in pre-need selling of funeral, cemetery, mortuary, and cremation services through its cemetery and mortuary locations. The mortgage segment originates and underwrites or otherwise purchases residential and commercial loans for new construction, existing homes, and other real estate projects. The mortgage segment operates through 118 retail offices in 26 states, and is an approved mortgage lender in several other states.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design and structure are that each business segment is related to the other business segments and contributes to the profitability of the other segments. The Company’s cemetery and mortuary segment provides a level of public awareness that assists in the sales and marketing of insurance and pre-need cemetery and funeral products. The Company’s insurance segment invests its assets (including, in part, pre-need funeral products and services) in investments authorized by the respective insurance departments of their states of domicile. The Company also pursues growth through acquisitions. The Company’s mortgage segment provides mortgage loans and other real estate investment opportunities.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was organized as a holding company in 1979 when Security National Life Insurance Company (“Security National Life”) became a wholly owned subsidiary of the Company and the former stockholders of Security National Life became stockholders of the Company. Security National Life was formed in 1965 and has acquired or purchased significant blocks of business which include Capital Investors Life Insurance Company (1994), Civil Service Employees Life Insurance Company (1995), Southern Security Life Insurance Company (1998), Menlo Life Insurance Company (1999), Acadian Life Insurance Company (2002), Paramount Security Life Insurance Company (2004), Memorial Insurance Company of America (2005), Capital Reserve Life Insurance Company (2007), Southern Security Life Insurance Company, Inc. (2008), North America Life Insurance Company (2011, 2015), Trans-Western Life Insurance Company (2012), Mothe Life Insurance Company (2012), DLE Life Insurance Company (2012), American Republic Insurance Company (2015), First Guaranty Insurance Company (2016), and Kilpatrick Life Insurance Company (2019). In August 2021, the Company sold Memorial Insurance Company of America.</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cemetery and mortuary operations have also grown through the acquisition of other cemetery and mortuary companies. The cemetery and mortuary companies that the Company has acquired are Holladay Memorial Park, Inc. (1991), Cottonwood Mortuary, Inc. (1991), Deseret Memorial, Inc. (1991), Probst Family Funerals and Cremations L.L.C. (2019), Heber Valley Funeral Home, Inc. (2019), Rivera Funerals, Cremations and Memorial Gardens (2021), and Holbrook Mortuary (2021).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1993, the Company formed SecurityNational Mortgage Company (“SecurityNational Mortgage”) to originate and refinance residential mortgage loans. In 2012, the Company formed Green Street Mortgage Services, Inc. (now known as EverLEND Mortgage Company) (“EverLEND Mortgage”) also to originate and refinance residential mortgage loans. In December 2021, the Company ceased operations in EverLEND Mortgage and merged its operations into SecurityNational Mortgage.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of the Notes to Consolidated Financial Statements for additional information regarding business segments of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Life Insurance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through Security National Life, First Guaranty Insurance Company (“First Guaranty”), and Kilpatrick Life Insurance Company (“Kilpatrick”), issues and distributes selected lines of life insurance and annuities. The Company’s life insurance business includes funeral plans and interest-sensitive life insurance, as well as other traditional life, accident, and health insurance products. The Company places specific marketing emphasis on funeral plans through pre-need planning. The Company’s insurance subsidiaries, Southern Security Life Insurance Company, Inc. (“Southern Security”) and Trans-Western Life Insurance Company (“Trans-Western”), do not actively write policies, but service and maintain policies that were purchased prior to their acquisition by Security National Life.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funeral plan is a small face value life insurance policy that generally has face coverage of up to $30,000. The Company believes that funeral plans represent a marketing niche that has lower competition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Markets and Distribution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licensed to sell insurance in 40 states. The Company, in marketing its life insurance products, seeks to locate, develop and service specific niche markets. The Company’s funeral plan policies are sold primarily to persons who range in age from 45 to 85 and have low to moderate income. A majority of the Company’s funeral plan premiums come from the states of Arkansas, California, Florida, Georgia, Louisiana, Mississippi, Texas, and Utah.</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sells its life insurance products through direct agents, brokers, and independent licensed agents who may also sell insurance products of other companies. The commissions on life insurance products range from approximately 50% to 120% of first year premiums. In those cases where the Company utilizes its direct agents in selling such policies, those agents customarily receive advances against future commissions.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instances, funeral plan insurance is marketed in conjunction with the Company’s cemetery and mortuary sales force. When it is marketed by that group, the beneficiary is usually the Company’s cemeteries and mortuaries. Thus, death benefits that become payable under the policy are paid to the Company’s cemetery and mortuary subsidiaries to the extent of services performed and products purchased.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marketing funeral plan insurance, the Company also seeks and obtains third-party endorsements from other cemeteries and mortuaries within its marketing areas. Typically, these cemeteries and mortuaries will provide letters of endorsement and may share in mailing and other lead-generating costs since these businesses are usually made the beneficiary of the policy. The following table summarizes the life insurance business for the five years ended December 31,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2019 (1)</w:t>
            </w: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tcPr>
          <w:p>
            <w:pPr>
              <w:spacing w:after="0"/>
              <w:rPr>
                <w:sz w:val="20"/>
                <w:szCs w:val="20"/>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Policy/Cert Count as of December 31</w:t>
            </w:r>
          </w:p>
        </w:tc>
        <w:tc>
          <w:tcPr>
            <w:tcW w:w="2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646,296</w:t>
            </w: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653,450</w:t>
            </w:r>
          </w:p>
        </w:tc>
        <w:tc>
          <w:tcPr>
            <w:tcW w:w="2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659,237</w:t>
            </w:r>
          </w:p>
        </w:tc>
        <w:tc>
          <w:tcPr>
            <w:tcW w:w="1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669,064</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531,831</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in force as of December 31 (in thousands)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2,865,957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2,863,759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2,890,791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2,877,402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1,838,488</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Premiums Collected (in thousands)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103,304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99,006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92,058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78,253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Acquisition of Kilpatrick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ind w:left="260"/>
        <w:spacing w:after="0"/>
        <w:rPr>
          <w:sz w:val="20"/>
          <w:szCs w:val="20"/>
          <w:color w:val="auto"/>
        </w:rPr>
      </w:pPr>
      <w:r>
        <w:rPr>
          <w:rFonts w:ascii="Times New Roman" w:cs="Times New Roman" w:eastAsia="Times New Roman" w:hAnsi="Times New Roman"/>
          <w:sz w:val="18"/>
          <w:szCs w:val="18"/>
          <w:i w:val="1"/>
          <w:iCs w:val="1"/>
          <w:color w:val="auto"/>
        </w:rPr>
        <w:t>Underwriting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factors considered in evaluating an application for ordinary life insurance coverage can include the applicant’s age, occupation, general health, and medical history. Upon receipt of a satisfactory (non-funeral plan insurance) application, which contains pertinent medical questions, the Company issues insurance based upon its medical limits and requirements subject to the following general non-medical limits:</w:t>
      </w:r>
    </w:p>
    <w:p>
      <w:pPr>
        <w:spacing w:after="0" w:line="176" w:lineRule="exact"/>
        <w:rPr>
          <w:sz w:val="20"/>
          <w:szCs w:val="20"/>
          <w:color w:val="auto"/>
        </w:rPr>
      </w:pPr>
    </w:p>
    <w:tbl>
      <w:tblPr>
        <w:tblLayout w:type="fixed"/>
        <w:tblInd w:w="980" w:type="dxa"/>
        <w:tblCellMar>
          <w:top w:w="0" w:type="dxa"/>
          <w:left w:w="0" w:type="dxa"/>
          <w:bottom w:w="0" w:type="dxa"/>
          <w:right w:w="0" w:type="dxa"/>
        </w:tblCellMar>
      </w:tblPr>
      <w:tr>
        <w:trPr>
          <w:trHeight w:val="241"/>
        </w:trPr>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Age Nearest Birthday</w:t>
            </w:r>
          </w:p>
        </w:tc>
        <w:tc>
          <w:tcPr>
            <w:tcW w:w="28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Non-Medical Limits</w:t>
            </w:r>
          </w:p>
        </w:tc>
      </w:tr>
      <w:tr>
        <w:trPr>
          <w:trHeight w:val="198"/>
        </w:trPr>
        <w:tc>
          <w:tcPr>
            <w:tcW w:w="27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0-50</w:t>
            </w:r>
          </w:p>
        </w:tc>
        <w:tc>
          <w:tcPr>
            <w:tcW w:w="286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rPr>
              <w:t>$100,000</w:t>
            </w:r>
          </w:p>
        </w:tc>
      </w:tr>
      <w:tr>
        <w:trPr>
          <w:trHeight w:val="234"/>
        </w:trPr>
        <w:tc>
          <w:tcPr>
            <w:tcW w:w="27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51-up</w:t>
            </w:r>
          </w:p>
        </w:tc>
        <w:tc>
          <w:tcPr>
            <w:tcW w:w="2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Medical information</w:t>
            </w:r>
          </w:p>
        </w:tc>
      </w:tr>
    </w:tbl>
    <w:p>
      <w:pPr>
        <w:ind w:left="4260"/>
        <w:spacing w:after="0"/>
        <w:rPr>
          <w:sz w:val="20"/>
          <w:szCs w:val="20"/>
          <w:color w:val="auto"/>
        </w:rPr>
      </w:pPr>
      <w:r>
        <w:rPr>
          <w:rFonts w:ascii="Times New Roman" w:cs="Times New Roman" w:eastAsia="Times New Roman" w:hAnsi="Times New Roman"/>
          <w:sz w:val="18"/>
          <w:szCs w:val="18"/>
          <w:color w:val="auto"/>
        </w:rPr>
        <w:t>required (APS or exam)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underwriting life insurance, the Company will sometimes issue policies with higher premium rates for substandard risks.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funeral plan insurance is written on a simplified medical application with underwriting requirements being a completed application, a phone interview of the applicant, and an intelliscript prescription history inquiry. There are several underwriting classes in which an applicant can be placed.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Annuities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annuity business includes single premium deferred annuities, flexible premium deferred annuities, and immediate annuities. A single premium deferred annuity is a contract where the individual remits a sum of money to the Company, which is retained on deposit until such time as the individual may wish to annuitize or surrender the contract for cash. A flexible premium deferred annuity gives the contract holder the right to make premium payments of varying amounts or to make no further premium payments after his initial payment. These single and flexible premium deferred annuities can have initial surrender charges. The surrender charges act as a deterrent to individuals who may wish to prematurely surrender their annuity contracts. An immediate annuity is a contract in which the individual remits a sum of money to the Company in return for the Company’s obligation to pay a series of payments on a periodic basis over a designated period of time, such as an individual’s life, or for such other period as may be designated.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Annuities have guaranteed interest rates that range from 1% to 6.5% per annum. Rates above the guaranteed interest rate credited are periodically modified by the Board of Directors at its discretion. In order for the Company to realize a profit on an annuity product, the Company must maintain an interest rate spread between its investment income and the interest rate credited to the annuities. Commissions, issuance expenses, and general and administrative expenses are deducted from this interest rate spread.</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Markets and Distribution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general market for the Company’s annuities is middle to older age individuals. A major source of annuity sales come from direct agents and are sold in conjunction with other insurance sales. If an individual does not qualify for a funeral plan, the agent will often sell that individual an annuity to fund final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annuity business for the five years ended December 31,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2019 (1)</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Borders>
              <w:bottom w:val="single" w:sz="8" w:color="CCEEFF"/>
            </w:tcBorders>
          </w:tcPr>
          <w:p>
            <w:pPr>
              <w:spacing w:after="0"/>
              <w:rPr>
                <w:sz w:val="20"/>
                <w:szCs w:val="20"/>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Annuities Policy/Cert Count as of December 31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22,313</w:t>
            </w:r>
          </w:p>
        </w:tc>
        <w:tc>
          <w:tcPr>
            <w:tcW w:w="80" w:type="dxa"/>
            <w:vAlign w:val="bottom"/>
            <w:shd w:val="clear" w:color="auto" w:fill="CCEEFF"/>
          </w:tcPr>
          <w:p>
            <w:pPr>
              <w:spacing w:after="0"/>
              <w:rPr>
                <w:sz w:val="18"/>
                <w:szCs w:val="18"/>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Deposits Collected (in thousands)</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9,972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9,719</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9,637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10,400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Acquisition of Kilpatrick</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Accident and Health</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its various acquisitions, the Company occasionally acquires small blocks of accident and health policies, which it continues to service. The Company offers a low-cost comprehensive diver’s accident policy that provides worldwide coverage for medical expense reimbursement in the event of a diving accident.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Markets and Distribution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markets its diver’s accident policies through the internet.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accident and health insurance business for the five years ended December 31,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2019 (1)</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Borders>
              <w:bottom w:val="single" w:sz="8" w:color="CCEEFF"/>
            </w:tcBorders>
          </w:tcPr>
          <w:p>
            <w:pPr>
              <w:spacing w:after="0"/>
              <w:rPr>
                <w:sz w:val="20"/>
                <w:szCs w:val="20"/>
                <w:color w:val="auto"/>
              </w:rPr>
            </w:pPr>
          </w:p>
        </w:tc>
      </w:tr>
      <w:tr>
        <w:trPr>
          <w:trHeight w:val="178"/>
        </w:trPr>
        <w:tc>
          <w:tcPr>
            <w:tcW w:w="41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Accident and Health Policy/Cert Count as of December</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11,132</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12,494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13,735</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15,133</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3,763</w:t>
            </w: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Premiums Collected (in thousands)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Acquisition of Kilpatrick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purpose of reinsurance is to enable an insurance company to issue an insurance policy in an amount larger than the risk the insurance company is willing to assume for itself. The insurance company remains obligated for the amounts reinsured (ceded) in the event the reinsurers do not meet their obligations.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cedes and assumes certain risks with various authorized unaffiliated reinsurers pursuant to reinsurance treaties, which are generally renewed annually. The premiums paid by the Company are based on a number of factors, primarily including the age of the insured and the risk ceded to the reinsurer.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the Company’s policy to retain no more than $100,000 of ordinary insurance per insured life, with the excess risk being reinsured. The total amount of life insurance reinsured by other companies as of December 31, 2022, was $346,749,000, which represented approximately 12.1% of the Company’s life insurance in force on that date.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“Management’s Discussion and Analysis of Results of Operations and Financial Condition” and “Notes to Consolidated Financial Statements” for additional disclosure and discussion regarding reinsurance.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investments that support the Company’s life insurance and annuity obligations are determined by the investment committees of the Company’s subsidiaries and ratified by the full boards of directors of the respective subsidiaries. A significant portion of the Company’s investments must meet statutory requirements governing the nature and quality of permitted investments by its insurance subsidiaries. The Company maintains a diversified investment portfolio consisting of common stocks, preferred stocks, municipal bonds, corporate bonds, mortgage loans, real estate, and other securities and investments.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“Management’s Discussion and Analysis of Results of Operations and Financial Condition” and “Notes to Consolidated Financial Statements” for additional disclosure and discussion regarding investments.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Cemetery and Mortuary</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its cemetery and mortuary segment, the Company markets a variety of products and services both on a pre-need basis (prior to death) and an at-need basis (at the time of death). The products include: plots, interment vaults, mausoleum crypts, markers, caskets, urns and other death care related products. These services include: professional services of funeral directors, opening and closing of graves, use of chapels and viewing rooms, and use of automobiles and clothing. The Company has a mortuary at each of its cemeteries, other than Holladay Memorial Park and Singing Hills Memorial Park, and has six separate stand-alone mortuary facilities.</w:t>
      </w:r>
    </w:p>
    <w:p>
      <w:pPr>
        <w:spacing w:after="0" w:line="1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Markets and Distribution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pre-need cemetery and mortuary sales are marketed to persons of all ages but are generally purchased by persons 45 years of age and older. The Company is limited in its geographic distribution of these products to areas lying within an approximate 20-mile radius of its mortuaries and cemeteries. The Company’s at-need sales are similarly limited in geographic area.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actively seeks to sell its cemetery and funeral products to customers on a pre-need basis. The Company employs cemetery sales representatives on a commission basis to sell these products. Many of these pre-need cemetery and mortuary sales representatives are also licensed insurance salesmen and sell funeral plan insurance. In some instances, the Company’s cemetery and mortuary facilities are the named beneficiaries of the funeral plan policies.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Potential customers are located via telephone sales prospecting, responses to letters mailed by the pre-planning consultants, billboards and other outside advertising, referrals, and door-to-door canvassing. The Company trains its sales representatives and helps generate leads for them.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SecurityNational Mortgage, is active in the residential real estate market. SecurityNational Mortgage is approved by the U.S. Department of Housing and Urban Development (HUD), the Federal National Mortgage Association (Fannie Mae), and other secondary market investors, to originate a variety of residential mortgage loan products, which are subsequently sold to investors. The Company uses internal and external funding sources to fund mortgage loans. In December 2021, the Company ceased operations through EverLEND Mortgage and merged its operations into SecurityNational Mortgage.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National Life originates and funds commercial real estate loans, residential construction loans, and land development loans for internal investment.</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Markets and Distribution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residential mortgage lending services are marketed primarily to real estate brokers, builders and directly with consumers. The Company has a strong retail origination presence in the Utah, Florida, Texas, Nevada and Arizona markets and many other states across the country. See “Management’s Discussion and Analysis of Results of Operations and Financial Condition” and “Notes to Consolidated Financial Statements” for additional disclosure and discussion regarding mortgage loans.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Recent Acquisitions and Other Business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of Rivera Funerals, Cremations and Memorial Gardens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21, 2021, the Company, through Memorial Estates Inc., completed a business combination transaction with Rivera Funerals, Cremations and Memorial Gardens. The mortuaries and cemetery are located in New Mexico.</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transaction, as set forth in the Asset Purchase Agreement, dated December 21, 2021, Memorial Estates Inc. paid a net purchase price of $10,693,395 for the business and assets of Rivera Funerals, Cremations and Memorial Gardens, subject to holdback amounts held by Memorial Estates, Inc. in the total amount of $1,120,000. Pursuant to the Asset Purchase Agreement, Memorial Estates, Inc. used $70,000 of the holdback amount to pay trade accounts payable of Rivera Funerals, Cremations and Memorial Gardens to third parties that remained unpaid at the time of purchase. The remaining $1,050,000 holdback amount is to be released and paid by Memorial Estates Inc. in annual payments of up to $105,000 each, beginning in January 2023.</w:t>
      </w:r>
    </w:p>
    <w:p>
      <w:pPr>
        <w:spacing w:after="0" w:line="1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of Holbrook Mortuary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28, 2021, the Company, through its wholly-owned subsidiary, Memorial Mortuary Inc., completed a business combination transaction with Holbrook Mortuary located in Salt Lake City, Utah.</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terms of the transaction, as set forth in the Asset Purchase Agreement, dated December 28, 2021, Memorial Mortuary Inc. paid a net purchase price of $3,051,747 for the business and assets of Holbrook Mortuary.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capitalizing on the opportunity to develop commercial and residential assets on its existing properties. The cost to acquire existing for-sale assets currently exceeds the replacement costs, thus creating the opportunity for development and redevelopment of the land that the Company currently owns. The Company has developed, or is in the process of developing, assets that have an initial development cost exceeding $100,000,000, primarily relating to the Center53 Development. The Company plans to continue its development endeavors as based upon its assessment of the market demand.</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u w:val="single" w:color="auto"/>
          <w:color w:val="auto"/>
        </w:rPr>
        <w:t>Center53 Development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Center53 Development is an office development project comprising nearly 20 acres of land that is currently owned by the Company in the central valley of Salt Lake City. At final completion, the multi-year, phased development is expected to create a campus atmosphere and include nearly one million square-feet of office space in five buildings, ranging from four to eleven stories, and will be serviced by three parking structures with about 4,000 stalls. In 2015, the Company broke ground and commenced development on the first phase which included a six-story building of nearly 200,000 square feet and a parking garage with 748 parking stalls. The first phase of the project was completed in July 2017 and is currently 100% leased. The second phase of the project began in March 2020 and includes a second six story building of nearly 221,000 square feet and a parking garage with approximately 870 stalls. The Company began its occupancy of a portion of the building in October 2021 and the remainder of the building is currently 100% leased. The Company plans to initiate future phases of the Center53 Development for additional Class A office space in the central valley of Salt Lake City.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insurance subsidiaries are subject to comprehensive regulation in the jurisdictions in which they do business under statutes and regulations administered by state insurance commissioners. Such regulation relates to, among other things, prior approval of the acquisition of a controlling interest in an insurance company; standards of solvency which must be met and maintained; licensing of insurers and their agents; nature of and limitations on investments; deposits of securities for the benefit of policyholders; approval of policy forms and premium rates; periodic examinations of the affairs of insurance companies; annual and other reports required to be filed on the financial condition of insurers or for other purposes; and requirements regarding aggregate reserves for life policies and annuity contracts, policy claims, unearned premiums, and other matters. The Company’s insurance subsidiaries are subject to this type of regulation in any state in which they conduct relevant business. Such regulation may cause unforeseen costs and operational restrictions, and delay implementation of the Company’s business plans.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life insurance subsidiaries are currently subject to regulation in Utah, Louisiana, Mississippi and Texas under insurance holding company legislation, and other states where applicable. Generally, intercompany transfers of assets and dividend payments from insurance subsidiaries are subject to prior notice of approval from the relevant state insurance department where, they are deemed “extraordinary” under relevant state law. The insurance subsidiaries are required, under state insurance laws, to file detailed annual reports with the supervisory agencies in each of the states in which they do business. Their business and accounts are also subject to examination by these agencies. The Company was last examined in 2021 (First Guaranty Insurance), 2022 (Security National Life, Southern Security and Trans-Western) and 2021 (Kilpatrick Life). Its most recent final examination reports have been approved by the insurance departments and are public record.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Texas Department of Banking also audits pre-need insurance policies that are issued in the state of Texas. Pre-need policies include the life and annuity products sold as the funding mechanism for funeral plans through funeral homes by Security National agents. The Company is required to send the Texas Department of Banking an annual report that summarizes the number of policies in force and the face amount or death benefit for each policy. This annual report is also required to indicate the number of new policies issued for that year, all death claims paid that year, and all premiums received.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cemetery and mortuary subsidiaries are subject to the Federal Trade Commission’s comprehensive funeral industry rules and to state regulations in the various states where such operations are domiciled. The morticians must be licensed by the respective state in which they provide their services. Similarly, the mortuaries and cemeteries are governed and licensed by state statutes and city ordinances in Utah, California and New Mexico. The subsidiaries are required to keep annual reports on file including financial information concerning the number of spaces sold and, where applicable, funds provided to the Endowment Care Trust Fund. Licenses are issued annually on the basis of such reports. The cemeteries maintain city or county licenses where they conduct business.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mortgage subsidiaries are subject to the rules and regulations of the U.S. Department of Housing and Urban Development (HUD), and to various state licensing acts and regulations and the Consumer Financial Protection Bureau (CFPB). These regulations, among other things, specify minimum capital requirements and; procedures for loan origination and underwriting, licensing of brokers and loan officers and, quality review audits and specify the fees that can be charged to borrowers. Each year, the Company is required to have an audit completed for each mortgage subsidiary by an independent registered public accounting firm to verify compliance with the relevant regulations. In addition to the government regulations, the Company must meet loan requirements, and underwriting guidelines of various investors who purchase the loans. EverLEND Mortgage is not required to have an audit for 2021 since it ceased operations in December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insurance subsidiaries, Security National Life, First Guaranty and Kilpatrick, are taxed under the Life Insurance Company Tax Act of 1984. Under the act, life insurance companies are taxed at standard corporate rates on life insurance company taxable income. Life insurance company taxable income is gross income less general business deductions and reserves for future policyholder benefits (with modifications). Under The Tax Cuts and Jobs Act, December 31, 2017 policyholder surplus account balances result in taxable income over a period of eight years.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Security National Life, First Guaranty and Kilpatrick calculate their life insurance taxable income after establishing a provision representing a portion of the costs of acquisition of such life insurance business. The effect of the provision is that a certain percentage of the Company’s premium income is characterized as deferred expenses and recognized over a five or ten-year period. The Tax Act changed this recognition period for amounts deferred after December 31, 2017 to a five or fifteen-year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non-life insurance company subsidiaries are taxed in general under the regular corporate tax provisions. The Company’s subsidiaries Southern Security and Trans-Western are regulated as life insurance companies but do not meet the Internal Revenue Code definition of a life insurance company, so they are taxed as insurance companies other than life insurance companies.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life insurance industry is highly competitive. There are approximately 800 legal reserve life insurance companies in business in the United States. These insurance companies differentiate themselves through marketing techniques, product features, pricing, and customer service. The Company’s insurance subsidiaries compete with a large number of insurance companies, many of which have greater financial resources, a longer business history, and more diversified line of insurance products than the Company. In addition, such companies generally have a larger sales force. Further, the Company competes with mutual insurance companies which may have a competitive advantage because all profits accrue to policyholders. Because the Company is smaller by industry standards and lacks broad diversification of risk, it may be more vulnerable to losses than larger, better-established companies. The Company believes that its policies and rates for the markets it serves are generally competitive.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cemetery and mortuary industry is also highly competitive. In the Utah, California and New Mexico markets where the Company competes, there are a number of cemeteries and mortuaries which have longer business histories, more established positions in the community, and stronger financial positions than the Company. In addition, some of the cemeteries with which the Company must compete for sales are owned by municipalities and, as a result, can offer lower prices than can the Company. The Company bears the cost of a pre-need sales program that is not incurred by those competitors which do not have a pre-need sales force. The Company believes that its products and prices are generally competitive with those in the industry.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mortgage industry is highly competitive with a large number of mortgage companies and banks in the same geographic area in which the Company is operating. The mortgage industry in general is sensitive to changes in interest rates and the refinancing market is particularly vulnerable to changes in interest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employed 1,422 full-time and 202 part-time employees. Of the full-time employees, 934 were employed by the mortgage segment, 368 by the life insurance segment, and 120 by the cemetery and mortuary segment. The Company requires monthly acknowledgement of its anti-discrimination and anti-harassment policies and communicates to its employees how to report concerns that relate to their employment experience.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eligible employees may elect coverage under the Company’s group health (including health savings and flexible spending), retirement, supplemental life and voluntary benefit programs. As of December 31, 2022, 826 employees had elected to participate in the Company’s group health insurance plans.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an employee safe harbor retirement plan that qualifies under section 401(k) of the Internal Revenue Code and contributes a matching contribution based on the employee’s contribution and years of service.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provides other time off benefits such as paid sick and paid vacation time. The Company provides discounts on pre-need and death benefits to tenured employees. Additionally, the Company offers an employee assistance program that provides 24/7 counseling services for employees who may be facing challenges outside of the workplace.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internet address is securitynational.com. The Company’s investor relations website is investor.securitynational.com and the Company promptly makes available on this website, free of charge, the reports that it files or furnishes with the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location of the Company’s office facilities and certain other information relating to these properties.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Approximate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w:t>
            </w:r>
          </w:p>
        </w:tc>
        <w:tc>
          <w:tcPr>
            <w:tcW w:w="22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Square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Lease</w:t>
            </w:r>
          </w:p>
        </w:tc>
        <w:tc>
          <w:tcPr>
            <w:tcW w:w="100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1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Street</w:t>
            </w:r>
          </w:p>
        </w:tc>
        <w:tc>
          <w:tcPr>
            <w:tcW w:w="220" w:type="dxa"/>
            <w:vAlign w:val="bottom"/>
          </w:tcPr>
          <w:p>
            <w:pPr>
              <w:spacing w:after="0"/>
              <w:rPr>
                <w:sz w:val="20"/>
                <w:szCs w:val="20"/>
                <w:color w:val="auto"/>
              </w:rPr>
            </w:pPr>
          </w:p>
        </w:tc>
        <w:tc>
          <w:tcPr>
            <w:tcW w:w="1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City</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Pr>
          <w:p>
            <w:pPr>
              <w:spacing w:after="0"/>
              <w:rPr>
                <w:sz w:val="20"/>
                <w:szCs w:val="20"/>
                <w:color w:val="auto"/>
              </w:rPr>
            </w:pPr>
          </w:p>
        </w:tc>
        <w:tc>
          <w:tcPr>
            <w:tcW w:w="1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Function</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Leased</w:t>
            </w:r>
          </w:p>
        </w:tc>
        <w:tc>
          <w:tcPr>
            <w:tcW w:w="22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Footage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Amount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Expiration</w:t>
            </w:r>
          </w:p>
        </w:tc>
      </w:tr>
      <w:tr>
        <w:trPr>
          <w:trHeight w:val="191"/>
        </w:trPr>
        <w:tc>
          <w:tcPr>
            <w:tcW w:w="42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r>
      <w:tr>
        <w:trPr>
          <w:trHeight w:val="216"/>
        </w:trPr>
        <w:tc>
          <w:tcPr>
            <w:tcW w:w="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Headquarters,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Insurance</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Operations,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Cemetery and</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Mortuary</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Operations,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433 Ascension Way, Floors</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Operations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4"/>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 5 and 6</w:t>
            </w:r>
          </w:p>
        </w:tc>
        <w:tc>
          <w:tcPr>
            <w:tcW w:w="1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Salt Lake City</w:t>
            </w:r>
          </w:p>
        </w:tc>
        <w:tc>
          <w:tcPr>
            <w:tcW w:w="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UT</w:t>
            </w:r>
          </w:p>
        </w:tc>
        <w:tc>
          <w:tcPr>
            <w:tcW w:w="2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River Oaks Dr.</w:t>
            </w: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Flowood</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MS</w:t>
            </w:r>
          </w:p>
        </w:tc>
        <w:tc>
          <w:tcPr>
            <w:tcW w:w="2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Insurance Operations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1818</w:t>
            </w: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Marshall St.</w:t>
            </w:r>
          </w:p>
        </w:tc>
        <w:tc>
          <w:tcPr>
            <w:tcW w:w="1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Shreveport</w:t>
            </w:r>
          </w:p>
        </w:tc>
        <w:tc>
          <w:tcPr>
            <w:tcW w:w="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w:t>
            </w:r>
          </w:p>
        </w:tc>
        <w:tc>
          <w:tcPr>
            <w:tcW w:w="2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Insurance Operations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812 Sheppard St.</w:t>
            </w: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Minden</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w:t>
            </w:r>
          </w:p>
        </w:tc>
        <w:tc>
          <w:tcPr>
            <w:tcW w:w="2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Insurance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909 Foisy Ave.</w:t>
            </w:r>
          </w:p>
        </w:tc>
        <w:tc>
          <w:tcPr>
            <w:tcW w:w="1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Alexandria</w:t>
            </w:r>
          </w:p>
        </w:tc>
        <w:tc>
          <w:tcPr>
            <w:tcW w:w="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w:t>
            </w:r>
          </w:p>
        </w:tc>
        <w:tc>
          <w:tcPr>
            <w:tcW w:w="2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Insurance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1550</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 Third St.</w:t>
            </w: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Jena</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w:t>
            </w:r>
          </w:p>
        </w:tc>
        <w:tc>
          <w:tcPr>
            <w:tcW w:w="2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Insurance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198"/>
        </w:trPr>
        <w:tc>
          <w:tcPr>
            <w:tcW w:w="2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 Sanctuary Blvd. Suite</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302A</w:t>
            </w:r>
          </w:p>
        </w:tc>
        <w:tc>
          <w:tcPr>
            <w:tcW w:w="174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Mandeville</w:t>
            </w:r>
          </w:p>
        </w:tc>
        <w:tc>
          <w:tcPr>
            <w:tcW w:w="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w:t>
            </w:r>
          </w:p>
        </w:tc>
        <w:tc>
          <w:tcPr>
            <w:tcW w:w="2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Insurance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2,262/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6/30/2023</w:t>
            </w:r>
          </w:p>
        </w:tc>
      </w:tr>
      <w:tr>
        <w:trPr>
          <w:trHeight w:val="198"/>
        </w:trPr>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Funeral Service</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79 E. Main Street</w:t>
            </w: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Midway</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UT</w:t>
            </w:r>
          </w:p>
        </w:tc>
        <w:tc>
          <w:tcPr>
            <w:tcW w:w="2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4,476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6,051/ mo</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10/31/2025</w:t>
            </w:r>
          </w:p>
        </w:tc>
      </w:tr>
      <w:tr>
        <w:trPr>
          <w:trHeight w:val="198"/>
        </w:trPr>
        <w:tc>
          <w:tcPr>
            <w:tcW w:w="4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Funeral Service</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4387</w:t>
            </w: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 500 W.</w:t>
            </w:r>
          </w:p>
        </w:tc>
        <w:tc>
          <w:tcPr>
            <w:tcW w:w="1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Salt Lake City</w:t>
            </w:r>
          </w:p>
        </w:tc>
        <w:tc>
          <w:tcPr>
            <w:tcW w:w="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UT</w:t>
            </w:r>
          </w:p>
        </w:tc>
        <w:tc>
          <w:tcPr>
            <w:tcW w:w="2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7/31/2025</w:t>
            </w:r>
          </w:p>
        </w:tc>
      </w:tr>
      <w:tr>
        <w:trPr>
          <w:trHeight w:val="198"/>
        </w:trPr>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Funeral Service</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1627A Central Ave.</w:t>
            </w: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Los Alamos</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NM</w:t>
            </w:r>
          </w:p>
        </w:tc>
        <w:tc>
          <w:tcPr>
            <w:tcW w:w="2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12/30/2024</w:t>
            </w:r>
          </w:p>
        </w:tc>
      </w:tr>
      <w:tr>
        <w:trPr>
          <w:trHeight w:val="198"/>
        </w:trPr>
        <w:tc>
          <w:tcPr>
            <w:tcW w:w="4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Fast Funding</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200 Market Way</w:t>
            </w:r>
          </w:p>
        </w:tc>
        <w:tc>
          <w:tcPr>
            <w:tcW w:w="1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Rainbow City</w:t>
            </w:r>
          </w:p>
        </w:tc>
        <w:tc>
          <w:tcPr>
            <w:tcW w:w="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w:t>
            </w:r>
          </w:p>
        </w:tc>
        <w:tc>
          <w:tcPr>
            <w:tcW w:w="2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Operations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12,850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10,490/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1/31/2025</w:t>
            </w:r>
          </w:p>
        </w:tc>
      </w:tr>
      <w:tr>
        <w:trPr>
          <w:trHeight w:val="216"/>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500 Blount Avenue,</w:t>
            </w: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Guntersville</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AL</w:t>
            </w:r>
          </w:p>
        </w:tc>
        <w:tc>
          <w:tcPr>
            <w:tcW w:w="2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1,250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6/30/2023</w:t>
            </w:r>
          </w:p>
        </w:tc>
      </w:tr>
      <w:tr>
        <w:trPr>
          <w:trHeight w:val="198"/>
        </w:trPr>
        <w:tc>
          <w:tcPr>
            <w:tcW w:w="2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1101 McMurtrie Drive, Suite</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F1</w:t>
            </w:r>
          </w:p>
        </w:tc>
        <w:tc>
          <w:tcPr>
            <w:tcW w:w="174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Huntsville</w:t>
            </w:r>
          </w:p>
        </w:tc>
        <w:tc>
          <w:tcPr>
            <w:tcW w:w="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w:t>
            </w:r>
          </w:p>
        </w:tc>
        <w:tc>
          <w:tcPr>
            <w:tcW w:w="2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5,625/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2/28/2026</w:t>
            </w:r>
          </w:p>
        </w:tc>
      </w:tr>
      <w:tr>
        <w:trPr>
          <w:trHeight w:val="198"/>
        </w:trPr>
        <w:tc>
          <w:tcPr>
            <w:tcW w:w="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5100</w:t>
            </w:r>
          </w:p>
        </w:tc>
        <w:tc>
          <w:tcPr>
            <w:tcW w:w="1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 99th Ave., Suite</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101/103</w:t>
            </w: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Phoenix</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AZ</w:t>
            </w:r>
          </w:p>
        </w:tc>
        <w:tc>
          <w:tcPr>
            <w:tcW w:w="2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3,940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3,369/ mo</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2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10609 N. Hayden Rd., Suite</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Scottsdale</w:t>
            </w:r>
          </w:p>
        </w:tc>
        <w:tc>
          <w:tcPr>
            <w:tcW w:w="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AZ</w:t>
            </w:r>
          </w:p>
        </w:tc>
        <w:tc>
          <w:tcPr>
            <w:tcW w:w="2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8,650/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1819</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Dobson Rd., Suite 202</w:t>
            </w: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Mesa</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AZ</w:t>
            </w:r>
          </w:p>
        </w:tc>
        <w:tc>
          <w:tcPr>
            <w:tcW w:w="2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890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2,114/ mo</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7/31/2023</w:t>
            </w:r>
          </w:p>
        </w:tc>
      </w:tr>
      <w:tr>
        <w:trPr>
          <w:trHeight w:val="198"/>
        </w:trPr>
        <w:tc>
          <w:tcPr>
            <w:tcW w:w="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2828</w:t>
            </w:r>
          </w:p>
        </w:tc>
        <w:tc>
          <w:tcPr>
            <w:tcW w:w="1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 Central Ave., Suite</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1100A</w:t>
            </w:r>
          </w:p>
        </w:tc>
        <w:tc>
          <w:tcPr>
            <w:tcW w:w="1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Phoenix</w:t>
            </w:r>
          </w:p>
        </w:tc>
        <w:tc>
          <w:tcPr>
            <w:tcW w:w="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AZ</w:t>
            </w:r>
          </w:p>
        </w:tc>
        <w:tc>
          <w:tcPr>
            <w:tcW w:w="2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4,859/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1490</w:t>
            </w:r>
          </w:p>
        </w:tc>
        <w:tc>
          <w:tcPr>
            <w:tcW w:w="1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 Price Road, Suite</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318</w:t>
            </w:r>
          </w:p>
        </w:tc>
        <w:tc>
          <w:tcPr>
            <w:tcW w:w="1740" w:type="dxa"/>
            <w:vAlign w:val="bottom"/>
          </w:tcPr>
          <w:p>
            <w:pPr>
              <w:spacing w:after="0"/>
              <w:rPr>
                <w:sz w:val="20"/>
                <w:szCs w:val="20"/>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Chandler</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AZ</w:t>
            </w:r>
          </w:p>
        </w:tc>
        <w:tc>
          <w:tcPr>
            <w:tcW w:w="2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220" w:type="dxa"/>
            <w:vAlign w:val="bottom"/>
          </w:tcPr>
          <w:p>
            <w:pPr>
              <w:spacing w:after="0"/>
              <w:rPr>
                <w:sz w:val="20"/>
                <w:szCs w:val="20"/>
                <w:color w:val="auto"/>
              </w:rPr>
            </w:pP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UNK</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6/30/2023</w:t>
            </w:r>
          </w:p>
        </w:tc>
      </w:tr>
      <w:tr>
        <w:trPr>
          <w:trHeight w:val="198"/>
        </w:trPr>
        <w:tc>
          <w:tcPr>
            <w:tcW w:w="4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5100</w:t>
            </w: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 99th Ave., Suite 111</w:t>
            </w:r>
          </w:p>
        </w:tc>
        <w:tc>
          <w:tcPr>
            <w:tcW w:w="1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Phoenix</w:t>
            </w:r>
          </w:p>
        </w:tc>
        <w:tc>
          <w:tcPr>
            <w:tcW w:w="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AZ</w:t>
            </w:r>
          </w:p>
        </w:tc>
        <w:tc>
          <w:tcPr>
            <w:tcW w:w="2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1,023/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1951</w:t>
            </w:r>
          </w:p>
        </w:tc>
        <w:tc>
          <w:tcPr>
            <w:tcW w:w="1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West Camelback Rd,</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 200</w:t>
            </w: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Phoenix</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AZ</w:t>
            </w:r>
          </w:p>
        </w:tc>
        <w:tc>
          <w:tcPr>
            <w:tcW w:w="2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2,446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3,567/ mo</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2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AZ (01144) 2636 Hwy 95</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Suite 2 Bullhead City, 86442</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(az-2636)</w:t>
            </w:r>
          </w:p>
        </w:tc>
        <w:tc>
          <w:tcPr>
            <w:tcW w:w="1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Bullhead City</w:t>
            </w:r>
          </w:p>
        </w:tc>
        <w:tc>
          <w:tcPr>
            <w:tcW w:w="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AZ</w:t>
            </w:r>
          </w:p>
        </w:tc>
        <w:tc>
          <w:tcPr>
            <w:tcW w:w="2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6870</w:t>
            </w:r>
          </w:p>
        </w:tc>
        <w:tc>
          <w:tcPr>
            <w:tcW w:w="1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 Highway 95 Building</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Suite 451B,</w:t>
            </w: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Mohave Valley</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AZ</w:t>
            </w:r>
          </w:p>
        </w:tc>
        <w:tc>
          <w:tcPr>
            <w:tcW w:w="2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2220</w:t>
            </w:r>
          </w:p>
        </w:tc>
        <w:tc>
          <w:tcPr>
            <w:tcW w:w="1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 Country Club Drive</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Suite 101</w:t>
            </w:r>
          </w:p>
        </w:tc>
        <w:tc>
          <w:tcPr>
            <w:tcW w:w="1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Mesa</w:t>
            </w:r>
          </w:p>
        </w:tc>
        <w:tc>
          <w:tcPr>
            <w:tcW w:w="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AZ</w:t>
            </w:r>
          </w:p>
        </w:tc>
        <w:tc>
          <w:tcPr>
            <w:tcW w:w="2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5,184/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2/14/2028</w:t>
            </w:r>
          </w:p>
        </w:tc>
      </w:tr>
      <w:tr>
        <w:trPr>
          <w:trHeight w:val="198"/>
        </w:trPr>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 E. El Caminito Dr.</w:t>
            </w: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Phoenix</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AZ</w:t>
            </w:r>
          </w:p>
        </w:tc>
        <w:tc>
          <w:tcPr>
            <w:tcW w:w="2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mo</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9971</w:t>
            </w: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 Paseo De La Masada</w:t>
            </w:r>
          </w:p>
        </w:tc>
        <w:tc>
          <w:tcPr>
            <w:tcW w:w="1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Tucson</w:t>
            </w:r>
          </w:p>
        </w:tc>
        <w:tc>
          <w:tcPr>
            <w:tcW w:w="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AZ</w:t>
            </w:r>
          </w:p>
        </w:tc>
        <w:tc>
          <w:tcPr>
            <w:tcW w:w="2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16"/>
        </w:trPr>
        <w:tc>
          <w:tcPr>
            <w:tcW w:w="2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350 West 16th Street #209</w:t>
            </w: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Yum</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AZ</w:t>
            </w:r>
          </w:p>
        </w:tc>
        <w:tc>
          <w:tcPr>
            <w:tcW w:w="2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1,731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3,725/ mo</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6/30/2024</w:t>
            </w:r>
          </w:p>
        </w:tc>
      </w:tr>
      <w:tr>
        <w:trPr>
          <w:trHeight w:val="198"/>
        </w:trPr>
        <w:tc>
          <w:tcPr>
            <w:tcW w:w="4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102 North Cortez St.</w:t>
            </w:r>
          </w:p>
        </w:tc>
        <w:tc>
          <w:tcPr>
            <w:tcW w:w="1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Prescott</w:t>
            </w:r>
          </w:p>
        </w:tc>
        <w:tc>
          <w:tcPr>
            <w:tcW w:w="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AZ</w:t>
            </w:r>
          </w:p>
        </w:tc>
        <w:tc>
          <w:tcPr>
            <w:tcW w:w="2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40977 Oak Dr.</w:t>
            </w: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Forest Falls</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w:t>
            </w:r>
          </w:p>
        </w:tc>
        <w:tc>
          <w:tcPr>
            <w:tcW w:w="2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mo</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2934</w:t>
            </w:r>
          </w:p>
        </w:tc>
        <w:tc>
          <w:tcPr>
            <w:tcW w:w="1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 Garvey Ave. South,</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Suite 250</w:t>
            </w:r>
          </w:p>
        </w:tc>
        <w:tc>
          <w:tcPr>
            <w:tcW w:w="1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West Covina</w:t>
            </w:r>
          </w:p>
        </w:tc>
        <w:tc>
          <w:tcPr>
            <w:tcW w:w="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w:t>
            </w:r>
          </w:p>
        </w:tc>
        <w:tc>
          <w:tcPr>
            <w:tcW w:w="2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712/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7398</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Fox Trail Unit B</w:t>
            </w: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Yucca Valley</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w:t>
            </w:r>
          </w:p>
        </w:tc>
        <w:tc>
          <w:tcPr>
            <w:tcW w:w="2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3247</w:t>
            </w:r>
          </w:p>
        </w:tc>
        <w:tc>
          <w:tcPr>
            <w:tcW w:w="1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West March Lane, Ste</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125</w:t>
            </w:r>
          </w:p>
        </w:tc>
        <w:tc>
          <w:tcPr>
            <w:tcW w:w="174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Stockton</w:t>
            </w:r>
          </w:p>
        </w:tc>
        <w:tc>
          <w:tcPr>
            <w:tcW w:w="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w:t>
            </w:r>
          </w:p>
        </w:tc>
        <w:tc>
          <w:tcPr>
            <w:tcW w:w="2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11/30/2024</w:t>
            </w:r>
          </w:p>
        </w:tc>
      </w:t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5001</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E. Commercial Dr, Ste</w:t>
            </w: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Bakersfeild</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w:t>
            </w:r>
          </w:p>
        </w:tc>
        <w:tc>
          <w:tcPr>
            <w:tcW w:w="2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1,623/ mo</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6/30/2024</w:t>
            </w:r>
          </w:p>
        </w:tc>
      </w:tr>
    </w:tbl>
    <w:p>
      <w:pPr>
        <w:sectPr>
          <w:pgSz w:w="11900" w:h="16923" w:orient="portrait"/>
          <w:cols w:equalWidth="0" w:num="1">
            <w:col w:w="11240"/>
          </w:cols>
          <w:pgMar w:left="320" w:top="684"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285</w:t>
            </w:r>
          </w:p>
        </w:tc>
        <w:tc>
          <w:tcPr>
            <w:tcW w:w="1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155 S. Highway 101 Suite 7</w:t>
            </w:r>
          </w:p>
        </w:tc>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Solana Beach</w:t>
            </w: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w:t>
            </w:r>
          </w:p>
        </w:tc>
        <w:tc>
          <w:tcPr>
            <w:tcW w:w="1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7,210/ mo</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7/31/2026</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44441 West 16th Street #101</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Lancaster</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2,015/ mo</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1/31/2023</w:t>
            </w: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1420 Magnolia Ave</w:t>
            </w:r>
          </w:p>
        </w:tc>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Oxnard</w:t>
            </w: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w:t>
            </w:r>
          </w:p>
        </w:tc>
        <w:tc>
          <w:tcPr>
            <w:tcW w:w="1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6,206/ mo</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3/30/2024</w:t>
            </w:r>
          </w:p>
        </w:tc>
      </w:tr>
      <w:tr>
        <w:trPr>
          <w:trHeight w:val="198"/>
        </w:trPr>
        <w:tc>
          <w:tcPr>
            <w:tcW w:w="2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81 Broadmoor Ct.</w:t>
            </w:r>
          </w:p>
        </w:tc>
        <w:tc>
          <w:tcPr>
            <w:tcW w:w="1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Novato</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 mo</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625 The City Drive, Suite</w:t>
            </w:r>
          </w:p>
        </w:tc>
        <w:tc>
          <w:tcPr>
            <w:tcW w:w="1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450</w:t>
            </w:r>
          </w:p>
        </w:tc>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Orange</w:t>
            </w: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w:t>
            </w:r>
          </w:p>
        </w:tc>
        <w:tc>
          <w:tcPr>
            <w:tcW w:w="1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2,485</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6,461/ mo</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12/31/2024</w:t>
            </w: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5475 Tech Center Dr., Suite</w:t>
            </w: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Colorado Springs</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3,424</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4,851/ mo</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9/30/2023</w:t>
            </w:r>
          </w:p>
        </w:tc>
      </w:tr>
      <w:tr>
        <w:trPr>
          <w:trHeight w:val="198"/>
        </w:trPr>
        <w:tc>
          <w:tcPr>
            <w:tcW w:w="2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 Main St., Suite C-104B</w:t>
            </w:r>
          </w:p>
        </w:tc>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Edwards</w:t>
            </w: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w:t>
            </w:r>
          </w:p>
        </w:tc>
        <w:tc>
          <w:tcPr>
            <w:tcW w:w="1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1,950/ mo</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2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4501 Mohawk Dr.</w:t>
            </w:r>
          </w:p>
        </w:tc>
        <w:tc>
          <w:tcPr>
            <w:tcW w:w="1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Larkspur</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 mo</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7800 E. Union Ave., Suite</w:t>
            </w:r>
          </w:p>
        </w:tc>
        <w:tc>
          <w:tcPr>
            <w:tcW w:w="1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Sub-</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550</w:t>
            </w:r>
          </w:p>
        </w:tc>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Denver</w:t>
            </w: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w:t>
            </w:r>
          </w:p>
        </w:tc>
        <w:tc>
          <w:tcPr>
            <w:tcW w:w="1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4,656</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11,446/ mo</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2/28/2023</w:t>
            </w:r>
          </w:p>
        </w:tc>
      </w:tr>
      <w:tr>
        <w:trPr>
          <w:trHeight w:val="198"/>
        </w:trPr>
        <w:tc>
          <w:tcPr>
            <w:tcW w:w="2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5982 s Zeno Ct</w:t>
            </w:r>
          </w:p>
        </w:tc>
        <w:tc>
          <w:tcPr>
            <w:tcW w:w="1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Aurora</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mo</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1145 Town Park Ave., Suite</w:t>
            </w:r>
          </w:p>
        </w:tc>
        <w:tc>
          <w:tcPr>
            <w:tcW w:w="1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2215</w:t>
            </w:r>
          </w:p>
        </w:tc>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Lake Mary</w:t>
            </w: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FL</w:t>
            </w:r>
          </w:p>
        </w:tc>
        <w:tc>
          <w:tcPr>
            <w:tcW w:w="1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5,901</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13,484/ mo</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2/28/2023</w:t>
            </w: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8191 College Parkway, Suite</w:t>
            </w: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201</w:t>
            </w:r>
          </w:p>
        </w:tc>
        <w:tc>
          <w:tcPr>
            <w:tcW w:w="1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Ft Myers</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FL</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4,676</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4,333/ mo</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8/21/2024</w:t>
            </w:r>
          </w:p>
        </w:tc>
      </w:tr>
      <w:tr>
        <w:trPr>
          <w:trHeight w:val="198"/>
        </w:trPr>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113th St. N. and 82nd Ave.</w:t>
            </w:r>
          </w:p>
        </w:tc>
        <w:tc>
          <w:tcPr>
            <w:tcW w:w="1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w:t>
            </w:r>
          </w:p>
        </w:tc>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Seminole</w:t>
            </w: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FL</w:t>
            </w:r>
          </w:p>
        </w:tc>
        <w:tc>
          <w:tcPr>
            <w:tcW w:w="1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1,692/ mo</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8/31/2023</w:t>
            </w: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2350 Fruitville Rd Ste, Ste</w:t>
            </w: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Sarasota</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FL</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5,113/ mo</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3/14/2026</w:t>
            </w:r>
          </w:p>
        </w:tc>
      </w:tr>
      <w:tr>
        <w:trPr>
          <w:trHeight w:val="198"/>
        </w:trPr>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921 Club House Blvd, New</w:t>
            </w:r>
          </w:p>
        </w:tc>
        <w:tc>
          <w:tcPr>
            <w:tcW w:w="1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Smyrna Beach,</w:t>
            </w:r>
          </w:p>
        </w:tc>
        <w:tc>
          <w:tcPr>
            <w:tcW w:w="1740" w:type="dxa"/>
            <w:vAlign w:val="bottom"/>
            <w:shd w:val="clear" w:color="auto" w:fill="CCEEFF"/>
          </w:tcPr>
          <w:p>
            <w:pPr>
              <w:spacing w:after="0"/>
              <w:rPr>
                <w:sz w:val="20"/>
                <w:szCs w:val="20"/>
                <w:color w:val="auto"/>
              </w:rPr>
            </w:pPr>
          </w:p>
        </w:tc>
        <w:tc>
          <w:tcPr>
            <w:tcW w:w="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FL</w:t>
            </w:r>
          </w:p>
        </w:tc>
        <w:tc>
          <w:tcPr>
            <w:tcW w:w="1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mo</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5237 Summerlin Commons</w:t>
            </w: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Blvd.</w:t>
            </w:r>
          </w:p>
        </w:tc>
        <w:tc>
          <w:tcPr>
            <w:tcW w:w="1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Fort Myers</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FL</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1,095/ mo</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10752 Deerwood Park Blvd</w:t>
            </w:r>
          </w:p>
        </w:tc>
        <w:tc>
          <w:tcPr>
            <w:tcW w:w="1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Waterview II, Suite</w:t>
            </w:r>
          </w:p>
        </w:tc>
        <w:tc>
          <w:tcPr>
            <w:tcW w:w="1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135, Office # 170</w:t>
            </w:r>
          </w:p>
        </w:tc>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Jacksonville</w:t>
            </w:r>
          </w:p>
        </w:tc>
        <w:tc>
          <w:tcPr>
            <w:tcW w:w="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FL</w:t>
            </w:r>
          </w:p>
        </w:tc>
        <w:tc>
          <w:tcPr>
            <w:tcW w:w="1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1,055/ mo</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1/31/2023</w:t>
            </w:r>
          </w:p>
        </w:tc>
      </w:tr>
      <w:tr>
        <w:trPr>
          <w:trHeight w:val="198"/>
        </w:trPr>
        <w:tc>
          <w:tcPr>
            <w:tcW w:w="2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3331 Pasadena Court</w:t>
            </w:r>
          </w:p>
        </w:tc>
        <w:tc>
          <w:tcPr>
            <w:tcW w:w="1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Fort Myers</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FL</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mo</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106 A Adamson Square</w:t>
            </w:r>
          </w:p>
        </w:tc>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Carrolton</w:t>
            </w: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w:t>
            </w:r>
          </w:p>
        </w:tc>
        <w:tc>
          <w:tcPr>
            <w:tcW w:w="1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1,750/ mo</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10/31/2023</w:t>
            </w:r>
          </w:p>
        </w:tc>
      </w:tr>
      <w:tr>
        <w:trPr>
          <w:trHeight w:val="439"/>
        </w:trPr>
        <w:tc>
          <w:tcPr>
            <w:tcW w:w="2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11</w:t>
            </w:r>
          </w:p>
        </w:tc>
        <w:tc>
          <w:tcPr>
            <w:tcW w:w="1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Item 2. Properties (Continued)</w:t>
            </w: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4"/>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Approximate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w:t>
            </w: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Square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Street</w:t>
            </w:r>
          </w:p>
        </w:tc>
        <w:tc>
          <w:tcPr>
            <w:tcW w:w="1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City</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1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Function</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Leased</w:t>
            </w:r>
          </w:p>
        </w:tc>
        <w:tc>
          <w:tcPr>
            <w:tcW w:w="2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Footage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Amount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Expiration</w:t>
            </w:r>
          </w:p>
        </w:tc>
      </w:tr>
      <w:tr>
        <w:trPr>
          <w:trHeight w:val="191"/>
        </w:trPr>
        <w:tc>
          <w:tcPr>
            <w:tcW w:w="3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900</w:t>
            </w:r>
          </w:p>
        </w:tc>
        <w:tc>
          <w:tcPr>
            <w:tcW w:w="1860" w:type="dxa"/>
            <w:vAlign w:val="bottom"/>
            <w:tcBorders>
              <w:top w:val="single" w:sz="8" w:color="auto"/>
            </w:tcBorders>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Cricle 75 Parkway, Ste</w:t>
            </w:r>
          </w:p>
        </w:tc>
        <w:tc>
          <w:tcPr>
            <w:tcW w:w="22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r>
      <w:tr>
        <w:trPr>
          <w:trHeight w:val="234"/>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Atlanta</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6/30/2026</w:t>
            </w:r>
          </w:p>
        </w:tc>
      </w:tr>
      <w:tr>
        <w:trPr>
          <w:trHeight w:val="198"/>
        </w:trPr>
        <w:tc>
          <w:tcPr>
            <w:tcW w:w="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6600</w:t>
            </w:r>
          </w:p>
        </w:tc>
        <w:tc>
          <w:tcPr>
            <w:tcW w:w="19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Peachtree Dunwoody</w:t>
            </w: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2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Rd, Ste 135</w:t>
            </w: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Atlanta</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2,129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3/31/2026</w:t>
            </w:r>
          </w:p>
        </w:tc>
      </w:tr>
      <w:tr>
        <w:trPr>
          <w:trHeight w:val="198"/>
        </w:trPr>
        <w:tc>
          <w:tcPr>
            <w:tcW w:w="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102</w:t>
            </w:r>
          </w:p>
        </w:tc>
        <w:tc>
          <w:tcPr>
            <w:tcW w:w="208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Mary Alice Park Road</w:t>
            </w: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2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Suite 506</w:t>
            </w: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Cummings</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12/31/2023</w:t>
            </w:r>
          </w:p>
        </w:tc>
      </w:tr>
      <w:tr>
        <w:trPr>
          <w:trHeight w:val="198"/>
        </w:trPr>
        <w:tc>
          <w:tcPr>
            <w:tcW w:w="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4370</w:t>
            </w:r>
          </w:p>
        </w:tc>
        <w:tc>
          <w:tcPr>
            <w:tcW w:w="19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Kukui Grove St., Suite</w:t>
            </w: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Lihue</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864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2/28/2025</w:t>
            </w:r>
          </w:p>
        </w:tc>
      </w:tr>
      <w:tr>
        <w:trPr>
          <w:trHeight w:val="216"/>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1001</w:t>
            </w: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Kamokila Blvd.</w:t>
            </w: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Kapolei</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12/31/2025</w:t>
            </w:r>
          </w:p>
        </w:tc>
      </w:tr>
      <w:tr>
        <w:trPr>
          <w:trHeight w:val="198"/>
        </w:trPr>
        <w:tc>
          <w:tcPr>
            <w:tcW w:w="23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32 Kinoole St. Suite 101,</w:t>
            </w: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2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Hilo HI</w:t>
            </w: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Hilo</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5/31/2023</w:t>
            </w:r>
          </w:p>
        </w:tc>
      </w:tr>
      <w:tr>
        <w:trPr>
          <w:trHeight w:val="216"/>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1885</w:t>
            </w: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 Street #108</w:t>
            </w: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Wailuku</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5/14/2023</w:t>
            </w:r>
          </w:p>
        </w:tc>
      </w:tr>
      <w:tr>
        <w:trPr>
          <w:trHeight w:val="198"/>
        </w:trPr>
        <w:tc>
          <w:tcPr>
            <w:tcW w:w="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677</w:t>
            </w:r>
          </w:p>
        </w:tc>
        <w:tc>
          <w:tcPr>
            <w:tcW w:w="20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Ala Moana Blvd. Suite</w:t>
            </w: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Honolulu</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1/31/2024</w:t>
            </w:r>
          </w:p>
        </w:tc>
      </w:tr>
      <w:tr>
        <w:trPr>
          <w:trHeight w:val="198"/>
        </w:trPr>
        <w:tc>
          <w:tcPr>
            <w:tcW w:w="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970</w:t>
            </w:r>
          </w:p>
        </w:tc>
        <w:tc>
          <w:tcPr>
            <w:tcW w:w="208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 Kalaheo Ave, Kailua,</w:t>
            </w: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2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Suite A307, HI 96734</w:t>
            </w: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Kailua</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5/31/2023</w:t>
            </w:r>
          </w:p>
        </w:tc>
      </w:tr>
      <w:tr>
        <w:trPr>
          <w:trHeight w:val="198"/>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70 Kanoa Street Suite #140</w:t>
            </w: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Wailuku</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UNK</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315</w:t>
            </w:r>
          </w:p>
        </w:tc>
        <w:tc>
          <w:tcPr>
            <w:tcW w:w="2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Cece Way</w:t>
            </w: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Mccall</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4622</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Gap Creek Avenue</w:t>
            </w: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Caldwell</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ID</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802</w:t>
            </w:r>
          </w:p>
        </w:tc>
        <w:tc>
          <w:tcPr>
            <w:tcW w:w="2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 Bartlett Road</w:t>
            </w: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Bartlett</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IL</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12/31/2023</w:t>
            </w:r>
          </w:p>
        </w:tc>
      </w:tr>
      <w:tr>
        <w:trPr>
          <w:trHeight w:val="198"/>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568</w:t>
            </w: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Greenluster Dr.</w:t>
            </w: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Covington</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81 Boulder Drive,</w:t>
            </w: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Elizabethtown</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KY</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16"/>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8684</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Veterans Hwy, Ste 101</w:t>
            </w: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Millersville</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MD</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4,018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7/31/2026</w:t>
            </w:r>
          </w:p>
        </w:tc>
      </w:tr>
      <w:tr>
        <w:trPr>
          <w:trHeight w:val="198"/>
        </w:trPr>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4987</w:t>
            </w: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Fall Creek Rd. Suite 1</w:t>
            </w: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Branson</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16"/>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4700</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Homewood Ct #260</w:t>
            </w: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Raleigh</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NC</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2,339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2/28/2025</w:t>
            </w:r>
          </w:p>
        </w:tc>
      </w:tr>
      <w:tr>
        <w:trPr>
          <w:trHeight w:val="198"/>
        </w:trPr>
        <w:tc>
          <w:tcPr>
            <w:tcW w:w="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2015</w:t>
            </w:r>
          </w:p>
        </w:tc>
        <w:tc>
          <w:tcPr>
            <w:tcW w:w="19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Ayrsley Town Blvd,</w:t>
            </w: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Suite 202-#256 &amp; 258,</w:t>
            </w: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Charlotte</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NC</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UNK</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3115 Boone Trail</w:t>
            </w: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Fayetteville</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NC</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2602 Camino Plata Loop NE</w:t>
            </w: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Rio Rancho</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NM</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1980</w:t>
            </w:r>
          </w:p>
        </w:tc>
        <w:tc>
          <w:tcPr>
            <w:tcW w:w="19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Festival Plaza Dr., Suite</w:t>
            </w: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Las Vegas</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NV</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12,866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3/31/2027</w:t>
            </w: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840</w:t>
            </w:r>
          </w:p>
        </w:tc>
        <w:tc>
          <w:tcPr>
            <w:tcW w:w="2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Pinnacle Ct., Suite 3</w:t>
            </w: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Mesquite</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NV</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3/12/2022</w:t>
            </w:r>
          </w:p>
        </w:tc>
      </w:tr>
      <w:tr>
        <w:trPr>
          <w:trHeight w:val="198"/>
        </w:trPr>
        <w:tc>
          <w:tcPr>
            <w:tcW w:w="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2635</w:t>
            </w:r>
          </w:p>
        </w:tc>
        <w:tc>
          <w:tcPr>
            <w:tcW w:w="19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St. Rose Pkwy, Suites D</w:t>
            </w: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100, 110, 120</w:t>
            </w:r>
          </w:p>
        </w:tc>
        <w:tc>
          <w:tcPr>
            <w:tcW w:w="22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Hendeson</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NV</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5,788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9/30/2025</w:t>
            </w:r>
          </w:p>
        </w:tc>
      </w:tr>
      <w:tr>
        <w:trPr>
          <w:trHeight w:val="216"/>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8720</w:t>
            </w: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Orion Place, Suite 160</w:t>
            </w: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Colombus</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OH</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6/30/2023</w:t>
            </w:r>
          </w:p>
        </w:tc>
      </w:tr>
      <w:tr>
        <w:trPr>
          <w:trHeight w:val="198"/>
        </w:trPr>
        <w:tc>
          <w:tcPr>
            <w:tcW w:w="23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3311 NE MLK Jr Blvd., Suite</w:t>
            </w: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Portland</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1,400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238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10365 SE Sunnyside Rd.,</w:t>
            </w: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2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Suite 310</w:t>
            </w: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Clackamus</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11/30/2024</w:t>
            </w:r>
          </w:p>
        </w:tc>
      </w:tr>
      <w:tr>
        <w:trPr>
          <w:trHeight w:val="198"/>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11104 SE Stark St., Suite S</w:t>
            </w: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Portland</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11592 SW Roundup Place</w:t>
            </w: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Terrebonne</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110 Awendaw Way,</w:t>
            </w: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Greenville</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16"/>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6263</w:t>
            </w: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Poplar Ave., Suite 900</w:t>
            </w: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Memphis</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TN</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3/31/2023</w:t>
            </w:r>
          </w:p>
        </w:tc>
      </w:tr>
      <w:tr>
        <w:trPr>
          <w:trHeight w:val="198"/>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144</w:t>
            </w: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Alf Taylor Rd.</w:t>
            </w: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Johnson City</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TN</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1,521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347</w:t>
            </w:r>
          </w:p>
        </w:tc>
        <w:tc>
          <w:tcPr>
            <w:tcW w:w="2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 St., Suite 200</w:t>
            </w: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Franklin</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TN</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8/31/2025</w:t>
            </w:r>
          </w:p>
        </w:tc>
      </w:tr>
      <w:tr>
        <w:trPr>
          <w:trHeight w:val="198"/>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820</w:t>
            </w: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 Church Street,</w:t>
            </w: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Livingston</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TN</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1,050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3027</w:t>
            </w:r>
          </w:p>
        </w:tc>
        <w:tc>
          <w:tcPr>
            <w:tcW w:w="19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Marina Bay Dr., Suite</w:t>
            </w: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League City</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TX</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4/30/2023</w:t>
            </w:r>
          </w:p>
        </w:tc>
      </w:tr>
      <w:tr>
        <w:trPr>
          <w:trHeight w:val="216"/>
        </w:trPr>
        <w:tc>
          <w:tcPr>
            <w:tcW w:w="2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11550 Fuqua, Suite 200</w:t>
            </w: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Houston</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TX</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1,865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4/30/2024</w:t>
            </w:r>
          </w:p>
        </w:tc>
      </w:tr>
      <w:tr>
        <w:trPr>
          <w:trHeight w:val="198"/>
        </w:trPr>
        <w:tc>
          <w:tcPr>
            <w:tcW w:w="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1848</w:t>
            </w:r>
          </w:p>
        </w:tc>
        <w:tc>
          <w:tcPr>
            <w:tcW w:w="19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Norwood Plaza, Suite</w:t>
            </w: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Hurst</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TX</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23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17347 Village Green Dr.,</w:t>
            </w: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2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Suite 102</w:t>
            </w: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Houston</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TX</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3,300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12/1/2024</w:t>
            </w:r>
          </w:p>
        </w:tc>
      </w:tr>
      <w:tr>
        <w:trPr>
          <w:trHeight w:val="198"/>
        </w:trPr>
        <w:tc>
          <w:tcPr>
            <w:tcW w:w="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9737</w:t>
            </w:r>
          </w:p>
        </w:tc>
        <w:tc>
          <w:tcPr>
            <w:tcW w:w="19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Great Hills Trail, Suites</w:t>
            </w: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150, 200, 220</w:t>
            </w:r>
          </w:p>
        </w:tc>
        <w:tc>
          <w:tcPr>
            <w:tcW w:w="22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Austin</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TX</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19,891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40,696</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3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1213</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East Alton Gloor Blvd.,</w:t>
            </w: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Brownsville</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TX</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2/28/2024</w:t>
            </w:r>
          </w:p>
        </w:tc>
      </w:tr>
    </w:tbl>
    <w:p>
      <w:pPr>
        <w:sectPr>
          <w:pgSz w:w="11900" w:h="16923" w:orient="portrait"/>
          <w:cols w:equalWidth="0" w:num="1">
            <w:col w:w="11240"/>
          </w:cols>
          <w:pgMar w:left="320" w:top="684" w:right="339" w:bottom="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Suite H</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5020 Collinwood Ave., Suite</w:t>
            </w:r>
          </w:p>
        </w:tc>
        <w:tc>
          <w:tcPr>
            <w:tcW w:w="1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c>
          <w:tcPr>
            <w:tcW w:w="1960" w:type="dxa"/>
            <w:vAlign w:val="bottom"/>
            <w:shd w:val="clear" w:color="auto" w:fill="CCEEFF"/>
          </w:tcPr>
          <w:p>
            <w:pPr>
              <w:spacing w:after="0"/>
              <w:rPr>
                <w:sz w:val="20"/>
                <w:szCs w:val="20"/>
                <w:color w:val="auto"/>
              </w:rPr>
            </w:pPr>
          </w:p>
        </w:tc>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Fort Worth</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TX</w:t>
            </w:r>
          </w:p>
        </w:tc>
        <w:tc>
          <w:tcPr>
            <w:tcW w:w="1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2,687</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/mo</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1/31/2025</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2408 Jacaman Road, Suite F</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Laredo</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TX</w:t>
            </w:r>
          </w:p>
        </w:tc>
        <w:tc>
          <w:tcPr>
            <w:tcW w:w="1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UNK</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/mo</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6/1/2023</w:t>
            </w:r>
          </w:p>
        </w:tc>
      </w:tr>
      <w:tr>
        <w:trPr>
          <w:trHeight w:val="198"/>
        </w:trPr>
        <w:tc>
          <w:tcPr>
            <w:tcW w:w="2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1900 Country Club Dr., Suite</w:t>
            </w:r>
          </w:p>
        </w:tc>
        <w:tc>
          <w:tcPr>
            <w:tcW w:w="1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150</w:t>
            </w:r>
          </w:p>
        </w:tc>
        <w:tc>
          <w:tcPr>
            <w:tcW w:w="1960" w:type="dxa"/>
            <w:vAlign w:val="bottom"/>
            <w:shd w:val="clear" w:color="auto" w:fill="CCEEFF"/>
          </w:tcPr>
          <w:p>
            <w:pPr>
              <w:spacing w:after="0"/>
              <w:rPr>
                <w:sz w:val="20"/>
                <w:szCs w:val="20"/>
                <w:color w:val="auto"/>
              </w:rPr>
            </w:pPr>
          </w:p>
        </w:tc>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Mansfield</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TX</w:t>
            </w:r>
          </w:p>
        </w:tc>
        <w:tc>
          <w:tcPr>
            <w:tcW w:w="1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/mo</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Sub-</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3220 Gus Thomasson Rd.</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Mesquite</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TX</w:t>
            </w:r>
          </w:p>
        </w:tc>
        <w:tc>
          <w:tcPr>
            <w:tcW w:w="1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/mo</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722 Kiowa Dr. West</w:t>
            </w:r>
          </w:p>
        </w:tc>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Lake Kiowa</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TX</w:t>
            </w:r>
          </w:p>
        </w:tc>
        <w:tc>
          <w:tcPr>
            <w:tcW w:w="1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/mo</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Sub-</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124</w:t>
            </w: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 Main St.</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Mansfield</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TX</w:t>
            </w:r>
          </w:p>
        </w:tc>
        <w:tc>
          <w:tcPr>
            <w:tcW w:w="1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/mo</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Sub-</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4411 W. Illinois, Suite B-4</w:t>
            </w:r>
          </w:p>
        </w:tc>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Midland</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TX</w:t>
            </w:r>
          </w:p>
        </w:tc>
        <w:tc>
          <w:tcPr>
            <w:tcW w:w="1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/mo</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23227 Red River Drive</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Katy</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TX</w:t>
            </w:r>
          </w:p>
        </w:tc>
        <w:tc>
          <w:tcPr>
            <w:tcW w:w="1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/mo</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Sub-</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6401 Eldorado Pkwy, Ste 313</w:t>
            </w:r>
          </w:p>
        </w:tc>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Mckinnney</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TX</w:t>
            </w:r>
          </w:p>
        </w:tc>
        <w:tc>
          <w:tcPr>
            <w:tcW w:w="1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/mo</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226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10000 North Central</w:t>
            </w:r>
          </w:p>
        </w:tc>
        <w:tc>
          <w:tcPr>
            <w:tcW w:w="1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Expressway, Ste 400</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Dallas</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TX</w:t>
            </w:r>
          </w:p>
        </w:tc>
        <w:tc>
          <w:tcPr>
            <w:tcW w:w="1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/mo</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7/31/2023</w:t>
            </w:r>
          </w:p>
        </w:tc>
      </w:tr>
      <w:tr>
        <w:trPr>
          <w:trHeight w:val="198"/>
        </w:trPr>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5707 Cold Springs Drive</w:t>
            </w:r>
          </w:p>
        </w:tc>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San Antonio</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TX</w:t>
            </w:r>
          </w:p>
        </w:tc>
        <w:tc>
          <w:tcPr>
            <w:tcW w:w="1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/mo</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2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12258 Queenston Blvd, Suite</w:t>
            </w:r>
          </w:p>
        </w:tc>
        <w:tc>
          <w:tcPr>
            <w:tcW w:w="1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960" w:type="dxa"/>
            <w:vAlign w:val="bottom"/>
          </w:tcPr>
          <w:p>
            <w:pPr>
              <w:spacing w:after="0"/>
              <w:rPr>
                <w:sz w:val="20"/>
                <w:szCs w:val="20"/>
                <w:color w:val="auto"/>
              </w:rPr>
            </w:pP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Houston</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TX</w:t>
            </w:r>
          </w:p>
        </w:tc>
        <w:tc>
          <w:tcPr>
            <w:tcW w:w="1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/mo</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825</w:t>
            </w:r>
          </w:p>
        </w:tc>
        <w:tc>
          <w:tcPr>
            <w:tcW w:w="19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Fairmont Parkway, Suite</w:t>
            </w:r>
          </w:p>
        </w:tc>
        <w:tc>
          <w:tcPr>
            <w:tcW w:w="1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c>
          <w:tcPr>
            <w:tcW w:w="1960" w:type="dxa"/>
            <w:vAlign w:val="bottom"/>
            <w:shd w:val="clear" w:color="auto" w:fill="CCEEFF"/>
          </w:tcPr>
          <w:p>
            <w:pPr>
              <w:spacing w:after="0"/>
              <w:rPr>
                <w:sz w:val="20"/>
                <w:szCs w:val="20"/>
                <w:color w:val="auto"/>
              </w:rPr>
            </w:pPr>
          </w:p>
        </w:tc>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Pasadena</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TX</w:t>
            </w:r>
          </w:p>
        </w:tc>
        <w:tc>
          <w:tcPr>
            <w:tcW w:w="1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3,052</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/mo</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4500 1-40 West, Suite B</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Amarillo</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TX</w:t>
            </w:r>
          </w:p>
        </w:tc>
        <w:tc>
          <w:tcPr>
            <w:tcW w:w="1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1,238</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/mo</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11/30/2023</w:t>
            </w:r>
          </w:p>
        </w:tc>
      </w:tr>
      <w:tr>
        <w:trPr>
          <w:trHeight w:val="198"/>
        </w:trPr>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11525 S. Fry Road #106</w:t>
            </w:r>
          </w:p>
        </w:tc>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Fulshear</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TX</w:t>
            </w:r>
          </w:p>
        </w:tc>
        <w:tc>
          <w:tcPr>
            <w:tcW w:w="1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UNK</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/mo</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30417 Fifth Street Suite B</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Fulshear</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TX</w:t>
            </w:r>
          </w:p>
        </w:tc>
        <w:tc>
          <w:tcPr>
            <w:tcW w:w="1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/mo</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2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1526 Katy Gap Road Units</w:t>
            </w:r>
          </w:p>
        </w:tc>
        <w:tc>
          <w:tcPr>
            <w:tcW w:w="1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503</w:t>
            </w: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&amp; 504</w:t>
            </w:r>
          </w:p>
        </w:tc>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Katy</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TX</w:t>
            </w:r>
          </w:p>
        </w:tc>
        <w:tc>
          <w:tcPr>
            <w:tcW w:w="1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/mo</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2/29/2024</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Hunters Lane, Suite 106</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Friendswood</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TX</w:t>
            </w:r>
          </w:p>
        </w:tc>
        <w:tc>
          <w:tcPr>
            <w:tcW w:w="1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UNK</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/mo</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12/31/2023</w:t>
            </w:r>
          </w:p>
        </w:tc>
      </w:tr>
      <w:tr>
        <w:trPr>
          <w:trHeight w:val="198"/>
        </w:trPr>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590</w:t>
            </w: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 State Street</w:t>
            </w:r>
          </w:p>
        </w:tc>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Pleasant Grove</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UT</w:t>
            </w:r>
          </w:p>
        </w:tc>
        <w:tc>
          <w:tcPr>
            <w:tcW w:w="1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/mo</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126</w:t>
            </w:r>
          </w:p>
        </w:tc>
        <w:tc>
          <w:tcPr>
            <w:tcW w:w="19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 Sego Lily Dr., Suite</w:t>
            </w:r>
          </w:p>
        </w:tc>
        <w:tc>
          <w:tcPr>
            <w:tcW w:w="1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126</w:t>
            </w:r>
          </w:p>
        </w:tc>
        <w:tc>
          <w:tcPr>
            <w:tcW w:w="1960" w:type="dxa"/>
            <w:vAlign w:val="bottom"/>
          </w:tcPr>
          <w:p>
            <w:pPr>
              <w:spacing w:after="0"/>
              <w:rPr>
                <w:sz w:val="20"/>
                <w:szCs w:val="20"/>
                <w:color w:val="auto"/>
              </w:rPr>
            </w:pP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Sandy</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UT</w:t>
            </w:r>
          </w:p>
        </w:tc>
        <w:tc>
          <w:tcPr>
            <w:tcW w:w="1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2,794</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/mo</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1/31/2027</w:t>
            </w:r>
          </w:p>
        </w:tc>
      </w:tr>
      <w:tr>
        <w:trPr>
          <w:trHeight w:val="198"/>
        </w:trPr>
        <w:tc>
          <w:tcPr>
            <w:tcW w:w="2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75 Towne Ridge Parkway,</w:t>
            </w:r>
          </w:p>
        </w:tc>
        <w:tc>
          <w:tcPr>
            <w:tcW w:w="1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Suite 100</w:t>
            </w:r>
          </w:p>
        </w:tc>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Sandy</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UT</w:t>
            </w:r>
          </w:p>
        </w:tc>
        <w:tc>
          <w:tcPr>
            <w:tcW w:w="1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6,867</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17,712</w:t>
            </w: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/mo</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8/31/2023</w:t>
            </w:r>
          </w:p>
        </w:tc>
      </w:tr>
      <w:tr>
        <w:trPr>
          <w:trHeight w:val="198"/>
        </w:trPr>
        <w:tc>
          <w:tcPr>
            <w:tcW w:w="2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1133 North Main St., Suite</w:t>
            </w:r>
          </w:p>
        </w:tc>
        <w:tc>
          <w:tcPr>
            <w:tcW w:w="1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Sub-</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150</w:t>
            </w:r>
          </w:p>
        </w:tc>
        <w:tc>
          <w:tcPr>
            <w:tcW w:w="1960" w:type="dxa"/>
            <w:vAlign w:val="bottom"/>
          </w:tcPr>
          <w:p>
            <w:pPr>
              <w:spacing w:after="0"/>
              <w:rPr>
                <w:sz w:val="20"/>
                <w:szCs w:val="20"/>
                <w:color w:val="auto"/>
              </w:rPr>
            </w:pP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Layton</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UT</w:t>
            </w:r>
          </w:p>
        </w:tc>
        <w:tc>
          <w:tcPr>
            <w:tcW w:w="1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Mortgage Sales</w:t>
            </w:r>
          </w:p>
        </w:tc>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/mo</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439"/>
        </w:trPr>
        <w:tc>
          <w:tcPr>
            <w:tcW w:w="3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12</w:t>
            </w:r>
          </w:p>
        </w:tc>
        <w:tc>
          <w:tcPr>
            <w:tcW w:w="1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Item 2. Properties (Continued)</w:t>
            </w: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4"/>
        </w:trPr>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Approximate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w:t>
            </w:r>
          </w:p>
        </w:tc>
        <w:tc>
          <w:tcPr>
            <w:tcW w:w="22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Square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Lease</w:t>
            </w:r>
          </w:p>
        </w:tc>
        <w:tc>
          <w:tcPr>
            <w:tcW w:w="100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20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Street</w:t>
            </w:r>
          </w:p>
        </w:tc>
        <w:tc>
          <w:tcPr>
            <w:tcW w:w="1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City</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1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Function</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Leased</w:t>
            </w:r>
          </w:p>
        </w:tc>
        <w:tc>
          <w:tcPr>
            <w:tcW w:w="22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Footage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w w:val="98"/>
              </w:rPr>
              <w:t>Amount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Expiration</w:t>
            </w:r>
          </w:p>
        </w:tc>
      </w:tr>
      <w:tr>
        <w:trPr>
          <w:trHeight w:val="209"/>
        </w:trPr>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497</w:t>
            </w:r>
          </w:p>
        </w:tc>
        <w:tc>
          <w:tcPr>
            <w:tcW w:w="1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Main</w:t>
            </w:r>
          </w:p>
        </w:tc>
        <w:tc>
          <w:tcPr>
            <w:tcW w:w="2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Ephraim</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UT</w:t>
            </w:r>
          </w:p>
        </w:tc>
        <w:tc>
          <w:tcPr>
            <w:tcW w:w="2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4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mo</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4/30/2025</w:t>
            </w:r>
          </w:p>
        </w:tc>
      </w:tr>
      <w:tr>
        <w:trPr>
          <w:trHeight w:val="216"/>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11240 S. River Heights Dr.</w:t>
            </w: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Jordan</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3,403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8,212/ mo</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11/30/2024</w:t>
            </w: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500</w:t>
            </w: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 Village Blvd.</w:t>
            </w: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Stansbury Park</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3,374/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10/31/2024</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833</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 900 W.</w:t>
            </w: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Orem</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2,391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3,198/ mo</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1/31/2023</w:t>
            </w:r>
          </w:p>
        </w:tc>
      </w:tr>
      <w:tr>
        <w:trPr>
          <w:trHeight w:val="216"/>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1350 E. 300 S. 3rd Floor</w:t>
            </w: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Lehi</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15,446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37,276/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12/22/2026</w:t>
            </w:r>
          </w:p>
        </w:tc>
      </w:tr>
      <w:tr>
        <w:trPr>
          <w:trHeight w:val="198"/>
        </w:trPr>
        <w:tc>
          <w:tcPr>
            <w:tcW w:w="23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2455 E. Parleys Way, Suites</w:t>
            </w: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120</w:t>
            </w: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&amp; 150</w:t>
            </w:r>
          </w:p>
        </w:tc>
        <w:tc>
          <w:tcPr>
            <w:tcW w:w="22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Salt Lake City</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8,743/ mo</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7/31/2030</w:t>
            </w:r>
          </w:p>
        </w:tc>
      </w:tr>
      <w:tr>
        <w:trPr>
          <w:trHeight w:val="198"/>
        </w:trPr>
        <w:tc>
          <w:tcPr>
            <w:tcW w:w="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859</w:t>
            </w:r>
          </w:p>
        </w:tc>
        <w:tc>
          <w:tcPr>
            <w:tcW w:w="20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 South Jordan Pkwy,</w:t>
            </w: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Suite 101,</w:t>
            </w: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Jordan</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5,995/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5/30/2025</w:t>
            </w:r>
          </w:p>
        </w:tc>
      </w:tr>
      <w:tr>
        <w:trPr>
          <w:trHeight w:val="198"/>
        </w:trPr>
        <w:tc>
          <w:tcPr>
            <w:tcW w:w="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558</w:t>
            </w:r>
          </w:p>
        </w:tc>
        <w:tc>
          <w:tcPr>
            <w:tcW w:w="20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E. Riverside Dr., Suite</w:t>
            </w: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204</w:t>
            </w: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 George</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2,235/ mo</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8/31/2023</w:t>
            </w:r>
          </w:p>
        </w:tc>
      </w:tr>
      <w:tr>
        <w:trPr>
          <w:trHeight w:val="198"/>
        </w:trPr>
        <w:tc>
          <w:tcPr>
            <w:tcW w:w="3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420</w:t>
            </w: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 SR 198</w:t>
            </w: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Salem</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768</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1600 W., Suite B</w:t>
            </w: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Mapleton</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4,000/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23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21430 Cedar Dr., Suite 200-</w:t>
            </w: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w:t>
            </w:r>
          </w:p>
        </w:tc>
        <w:tc>
          <w:tcPr>
            <w:tcW w:w="1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Sterling</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15,970/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3/9/2024</w:t>
            </w:r>
          </w:p>
        </w:tc>
      </w:tr>
      <w:tr>
        <w:trPr>
          <w:trHeight w:val="198"/>
        </w:trPr>
        <w:tc>
          <w:tcPr>
            <w:tcW w:w="23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15640 NE Fourth Plain Blvd.,</w:t>
            </w: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Suite 220/221</w:t>
            </w: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Vancouver</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850/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3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2701 Currant St.</w:t>
            </w: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Lynden</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1508 24th Ave., Suite 23</w:t>
            </w: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Kenosha</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3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27903 99th St.</w:t>
            </w: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Trevor</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219</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 Washington St.</w:t>
            </w: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Charlestown</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WV</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1,700/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4/14/2023</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the office facilities it occupies are in good operating condition and adequate for current operations. The Company plans to enter into additional leases or modify existing leases based on its assessments of market demand. Those leases are expected to be month to month where possible. As leases expire, the Company plans to either renew or find comparable leases or acquire additional office space.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Properties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location and acreage of the seven Company owned cemeteries, each of which includes one or more mausoleums: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Net Saleable Acreage</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2"/>
          </w:tcPr>
          <w:p>
            <w:pPr>
              <w:jc w:val="center"/>
              <w:ind w:right="320"/>
              <w:spacing w:after="0" w:line="191" w:lineRule="exact"/>
              <w:rPr>
                <w:sz w:val="20"/>
                <w:szCs w:val="20"/>
                <w:color w:val="auto"/>
              </w:rPr>
            </w:pPr>
            <w:r>
              <w:rPr>
                <w:rFonts w:ascii="Times New Roman" w:cs="Times New Roman" w:eastAsia="Times New Roman" w:hAnsi="Times New Roman"/>
                <w:sz w:val="18"/>
                <w:szCs w:val="18"/>
                <w:color w:val="auto"/>
                <w:w w:val="99"/>
              </w:rPr>
              <w:t>Acres</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Sold as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Total Available</w:t>
            </w: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Date</w:t>
            </w: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Developed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Acreage</w:t>
            </w:r>
          </w:p>
        </w:tc>
        <w:tc>
          <w:tcPr>
            <w:tcW w:w="3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Cemetery</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Acreage</w:t>
            </w:r>
          </w:p>
        </w:tc>
      </w:tr>
      <w:tr>
        <w:trPr>
          <w:trHeight w:val="234"/>
        </w:trPr>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Name of Cemetery</w:t>
            </w:r>
          </w:p>
        </w:tc>
        <w:tc>
          <w:tcPr>
            <w:tcW w:w="1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Location</w:t>
            </w: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Acquired</w:t>
            </w: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Acreage (1)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20"/>
                <w:szCs w:val="20"/>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Spaces (2)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Pr>
          <w:p>
            <w:pPr>
              <w:spacing w:after="0"/>
              <w:rPr>
                <w:sz w:val="20"/>
                <w:szCs w:val="20"/>
                <w:color w:val="auto"/>
              </w:rPr>
            </w:pPr>
          </w:p>
        </w:tc>
      </w:tr>
      <w:tr>
        <w:trPr>
          <w:trHeight w:val="191"/>
        </w:trPr>
        <w:tc>
          <w:tcPr>
            <w:tcW w:w="14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Memorial Estates,</w:t>
            </w:r>
          </w:p>
        </w:tc>
        <w:tc>
          <w:tcPr>
            <w:tcW w:w="2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99"/>
              </w:rPr>
              <w:t>1640 East Lakeview</w:t>
            </w:r>
          </w:p>
        </w:tc>
        <w:tc>
          <w:tcPr>
            <w:tcW w:w="2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Drive</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Lakeview Cemetery</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Bountiful, Utah</w:t>
            </w:r>
          </w:p>
        </w:tc>
        <w:tc>
          <w:tcPr>
            <w:tcW w:w="13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1973</w:t>
            </w: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9</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39</w:t>
            </w:r>
          </w:p>
        </w:tc>
        <w:tc>
          <w:tcPr>
            <w:tcW w:w="1560" w:type="dxa"/>
            <w:vAlign w:val="bottom"/>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88"/>
              </w:rPr>
              <w:t>8</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shd w:val="clear" w:color="auto" w:fill="CCEEFF"/>
          </w:tcPr>
          <w:p>
            <w:pPr>
              <w:spacing w:after="0"/>
              <w:rPr>
                <w:sz w:val="20"/>
                <w:szCs w:val="20"/>
                <w:color w:val="auto"/>
              </w:rPr>
            </w:pP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Memorial Estates,</w:t>
            </w: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3115 East 7800</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Mountain View</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Salt Lake City, Utah</w:t>
            </w:r>
          </w:p>
        </w:tc>
        <w:tc>
          <w:tcPr>
            <w:tcW w:w="13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1973</w:t>
            </w: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26</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54</w:t>
            </w:r>
          </w:p>
        </w:tc>
        <w:tc>
          <w:tcPr>
            <w:tcW w:w="1560" w:type="dxa"/>
            <w:vAlign w:val="bottom"/>
            <w:gridSpan w:val="2"/>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20</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shd w:val="clear" w:color="auto" w:fill="CCEEFF"/>
          </w:tcPr>
          <w:p>
            <w:pPr>
              <w:spacing w:after="0"/>
              <w:rPr>
                <w:sz w:val="20"/>
                <w:szCs w:val="20"/>
                <w:color w:val="auto"/>
              </w:rPr>
            </w:pP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Memorial Estates,</w:t>
            </w: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6500 South</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Redwood Cemetery</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Redwood Road</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 Jordan, Utah</w:t>
            </w:r>
          </w:p>
        </w:tc>
        <w:tc>
          <w:tcPr>
            <w:tcW w:w="13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1973</w:t>
            </w: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28</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71</w:t>
            </w:r>
          </w:p>
        </w:tc>
        <w:tc>
          <w:tcPr>
            <w:tcW w:w="1560" w:type="dxa"/>
            <w:vAlign w:val="bottom"/>
            <w:gridSpan w:val="2"/>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35</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shd w:val="clear" w:color="auto" w:fill="CCEEFF"/>
          </w:tcPr>
          <w:p>
            <w:pPr>
              <w:spacing w:after="0"/>
              <w:rPr>
                <w:sz w:val="20"/>
                <w:szCs w:val="20"/>
                <w:color w:val="auto"/>
              </w:rPr>
            </w:pP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Deseret Memorial</w:t>
            </w: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10055 South State</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Lake Hills</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Street</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Sandy, Utah</w:t>
            </w:r>
          </w:p>
        </w:tc>
        <w:tc>
          <w:tcPr>
            <w:tcW w:w="13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1991</w:t>
            </w: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9</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28</w:t>
            </w:r>
          </w:p>
        </w:tc>
        <w:tc>
          <w:tcPr>
            <w:tcW w:w="1560" w:type="dxa"/>
            <w:vAlign w:val="bottom"/>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88"/>
              </w:rPr>
              <w:t>6</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shd w:val="clear" w:color="auto" w:fill="CCEEFF"/>
          </w:tcPr>
          <w:p>
            <w:pPr>
              <w:spacing w:after="0"/>
              <w:rPr>
                <w:sz w:val="20"/>
                <w:szCs w:val="20"/>
                <w:color w:val="auto"/>
              </w:rPr>
            </w:pP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Holladay Memorial</w:t>
            </w: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Park, Inc.</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4900 South</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Holladay Memorial</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Memory Lane</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Park (3)</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Holladay, Utah</w:t>
            </w:r>
          </w:p>
        </w:tc>
        <w:tc>
          <w:tcPr>
            <w:tcW w:w="13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1991</w:t>
            </w: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12</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14</w:t>
            </w:r>
          </w:p>
        </w:tc>
        <w:tc>
          <w:tcPr>
            <w:tcW w:w="1560" w:type="dxa"/>
            <w:vAlign w:val="bottom"/>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88"/>
              </w:rPr>
              <w:t>7</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California</w:t>
            </w: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Memorial Estates,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Singing Hills</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2800 Dehesa Road</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Memorial Park (4)</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 Cajon, California</w:t>
            </w:r>
          </w:p>
        </w:tc>
        <w:tc>
          <w:tcPr>
            <w:tcW w:w="13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1995</w:t>
            </w: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8</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97</w:t>
            </w:r>
          </w:p>
        </w:tc>
        <w:tc>
          <w:tcPr>
            <w:tcW w:w="1560" w:type="dxa"/>
            <w:vAlign w:val="bottom"/>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88"/>
              </w:rPr>
              <w:t>6</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91</w:t>
            </w:r>
          </w:p>
        </w:tc>
        <w:tc>
          <w:tcPr>
            <w:tcW w:w="100" w:type="dxa"/>
            <w:vAlign w:val="bottom"/>
            <w:shd w:val="clear" w:color="auto" w:fill="CCEEFF"/>
          </w:tcPr>
          <w:p>
            <w:pPr>
              <w:spacing w:after="0"/>
              <w:rPr>
                <w:sz w:val="20"/>
                <w:szCs w:val="20"/>
                <w:color w:val="auto"/>
              </w:rPr>
            </w:pP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SNR-SF Cemetery</w:t>
            </w: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LLC Santa Fe</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417 Rodeo Rd</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Memorial Gardens</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 Fe, New</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13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5</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w:t>
            </w:r>
          </w:p>
        </w:tc>
        <w:tc>
          <w:tcPr>
            <w:tcW w:w="1560" w:type="dxa"/>
            <w:vAlign w:val="bottom"/>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88"/>
              </w:rPr>
              <w:t>4</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acreage represents estimates of acres that are based upon survey reports, title reports, appraisal reports, or the Company’s inspection of the cemeteries. The Company estimates that there are approximately 1,200 spaces per developed acre.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reserved and occupied spaces.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two granite mausoleums.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open easement.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five main columbariums that can hold approximately 6,000 inurnments.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Properties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location, square footage and the number of viewing rooms and chapels of the twelve Company owned mortuaries: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Date</w:t>
            </w:r>
          </w:p>
        </w:tc>
        <w:tc>
          <w:tcPr>
            <w:tcW w:w="1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Viewing</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Square</w:t>
            </w:r>
          </w:p>
        </w:tc>
      </w:tr>
      <w:tr>
        <w:trPr>
          <w:trHeight w:val="234"/>
        </w:trPr>
        <w:tc>
          <w:tcPr>
            <w:tcW w:w="2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Name of Mortuary</w:t>
            </w:r>
          </w:p>
        </w:tc>
        <w:tc>
          <w:tcPr>
            <w:tcW w:w="42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Acquired</w:t>
            </w:r>
          </w:p>
        </w:tc>
        <w:tc>
          <w:tcPr>
            <w:tcW w:w="1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1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Chapel(s)</w:t>
            </w: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Footage</w:t>
            </w:r>
          </w:p>
        </w:tc>
      </w:tr>
      <w:tr>
        <w:trPr>
          <w:trHeight w:val="191"/>
        </w:trPr>
        <w:tc>
          <w:tcPr>
            <w:tcW w:w="21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Memorial Mortuary, Inc.</w:t>
            </w:r>
          </w:p>
        </w:tc>
        <w:tc>
          <w:tcPr>
            <w:tcW w:w="2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5850</w:t>
            </w:r>
          </w:p>
        </w:tc>
        <w:tc>
          <w:tcPr>
            <w:tcW w:w="1340" w:type="dxa"/>
            <w:vAlign w:val="bottom"/>
            <w:tcBorders>
              <w:top w:val="single" w:sz="8" w:color="auto"/>
            </w:tcBorders>
            <w:gridSpan w:val="2"/>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South   900</w:t>
            </w:r>
          </w:p>
        </w:tc>
        <w:tc>
          <w:tcPr>
            <w:tcW w:w="4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East,</w:t>
            </w:r>
          </w:p>
        </w:tc>
        <w:tc>
          <w:tcPr>
            <w:tcW w:w="2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Memorial Mortuary</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Murray, Utah</w:t>
            </w:r>
          </w:p>
        </w:tc>
        <w:tc>
          <w:tcPr>
            <w:tcW w:w="780" w:type="dxa"/>
            <w:vAlign w:val="bottom"/>
            <w:shd w:val="clear" w:color="auto" w:fill="CCEEFF"/>
          </w:tcPr>
          <w:p>
            <w:pPr>
              <w:spacing w:after="0"/>
              <w:rPr>
                <w:sz w:val="20"/>
                <w:szCs w:val="20"/>
                <w:color w:val="auto"/>
              </w:rPr>
            </w:pPr>
          </w:p>
        </w:tc>
        <w:tc>
          <w:tcPr>
            <w:tcW w:w="198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1973</w:t>
            </w: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20,000</w:t>
            </w:r>
          </w:p>
        </w:tc>
        <w:tc>
          <w:tcPr>
            <w:tcW w:w="100" w:type="dxa"/>
            <w:vAlign w:val="bottom"/>
            <w:shd w:val="clear" w:color="auto" w:fill="CCEEFF"/>
          </w:tcPr>
          <w:p>
            <w:pPr>
              <w:spacing w:after="0"/>
              <w:rPr>
                <w:sz w:val="20"/>
                <w:szCs w:val="20"/>
                <w:color w:val="auto"/>
              </w:rPr>
            </w:pP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Affordable Funerals and</w:t>
            </w:r>
          </w:p>
        </w:tc>
        <w:tc>
          <w:tcPr>
            <w:tcW w:w="410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157 East Riverside Dr., No.</w:t>
            </w: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Cremations, St. George</w:t>
            </w:r>
          </w:p>
        </w:tc>
        <w:tc>
          <w:tcPr>
            <w:tcW w:w="1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3A, St. George, Utah</w:t>
            </w:r>
          </w:p>
        </w:tc>
        <w:tc>
          <w:tcPr>
            <w:tcW w:w="198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2,360</w:t>
            </w:r>
          </w:p>
        </w:tc>
        <w:tc>
          <w:tcPr>
            <w:tcW w:w="100" w:type="dxa"/>
            <w:vAlign w:val="bottom"/>
            <w:shd w:val="clear" w:color="auto" w:fill="CCEEFF"/>
          </w:tcPr>
          <w:p>
            <w:pPr>
              <w:spacing w:after="0"/>
              <w:rPr>
                <w:sz w:val="20"/>
                <w:szCs w:val="20"/>
                <w:color w:val="auto"/>
              </w:rPr>
            </w:pP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Memorial Estates, Inc.</w:t>
            </w:r>
          </w:p>
        </w:tc>
        <w:tc>
          <w:tcPr>
            <w:tcW w:w="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6500</w:t>
            </w:r>
          </w:p>
        </w:tc>
        <w:tc>
          <w:tcPr>
            <w:tcW w:w="56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South</w:t>
            </w:r>
          </w:p>
        </w:tc>
        <w:tc>
          <w:tcPr>
            <w:tcW w:w="7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Redwood</w:t>
            </w:r>
          </w:p>
        </w:tc>
        <w:tc>
          <w:tcPr>
            <w:tcW w:w="2340" w:type="dxa"/>
            <w:vAlign w:val="bottom"/>
            <w:gridSpan w:val="4"/>
            <w:shd w:val="clear" w:color="auto" w:fill="CCEEFF"/>
          </w:tcPr>
          <w:p>
            <w:pPr>
              <w:jc w:val="right"/>
              <w:ind w:right="1960"/>
              <w:spacing w:after="0" w:line="198" w:lineRule="exact"/>
              <w:rPr>
                <w:sz w:val="20"/>
                <w:szCs w:val="20"/>
                <w:color w:val="auto"/>
              </w:rPr>
            </w:pPr>
            <w:r>
              <w:rPr>
                <w:rFonts w:ascii="Times New Roman" w:cs="Times New Roman" w:eastAsia="Times New Roman" w:hAnsi="Times New Roman"/>
                <w:sz w:val="18"/>
                <w:szCs w:val="18"/>
                <w:color w:val="auto"/>
              </w:rPr>
              <w:t>Rd.,</w:t>
            </w: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Redwood Mortuary (1)</w:t>
            </w:r>
          </w:p>
        </w:tc>
        <w:tc>
          <w:tcPr>
            <w:tcW w:w="1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 Jordan, Utah</w:t>
            </w:r>
          </w:p>
        </w:tc>
        <w:tc>
          <w:tcPr>
            <w:tcW w:w="198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1973</w:t>
            </w: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10,000</w:t>
            </w:r>
          </w:p>
        </w:tc>
        <w:tc>
          <w:tcPr>
            <w:tcW w:w="100" w:type="dxa"/>
            <w:vAlign w:val="bottom"/>
            <w:shd w:val="clear" w:color="auto" w:fill="CCEEFF"/>
          </w:tcPr>
          <w:p>
            <w:pPr>
              <w:spacing w:after="0"/>
              <w:rPr>
                <w:sz w:val="20"/>
                <w:szCs w:val="20"/>
                <w:color w:val="auto"/>
              </w:rPr>
            </w:pP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Memorial Estates, Inc.</w:t>
            </w:r>
          </w:p>
        </w:tc>
        <w:tc>
          <w:tcPr>
            <w:tcW w:w="410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3115 East 7800 South, Salt</w:t>
            </w: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Mountain View Mortuary (1)</w:t>
            </w:r>
          </w:p>
        </w:tc>
        <w:tc>
          <w:tcPr>
            <w:tcW w:w="1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Lake City, Utah</w:t>
            </w:r>
          </w:p>
        </w:tc>
        <w:tc>
          <w:tcPr>
            <w:tcW w:w="198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1973</w:t>
            </w: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16,000</w:t>
            </w:r>
          </w:p>
        </w:tc>
        <w:tc>
          <w:tcPr>
            <w:tcW w:w="100" w:type="dxa"/>
            <w:vAlign w:val="bottom"/>
            <w:shd w:val="clear" w:color="auto" w:fill="CCEEFF"/>
          </w:tcPr>
          <w:p>
            <w:pPr>
              <w:spacing w:after="0"/>
              <w:rPr>
                <w:sz w:val="20"/>
                <w:szCs w:val="20"/>
                <w:color w:val="auto"/>
              </w:rPr>
            </w:pP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Memorial Estates, Inc.</w:t>
            </w:r>
          </w:p>
        </w:tc>
        <w:tc>
          <w:tcPr>
            <w:tcW w:w="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1640</w:t>
            </w:r>
          </w:p>
        </w:tc>
        <w:tc>
          <w:tcPr>
            <w:tcW w:w="5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East</w:t>
            </w:r>
          </w:p>
        </w:tc>
        <w:tc>
          <w:tcPr>
            <w:tcW w:w="7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Lakeview</w:t>
            </w:r>
          </w:p>
        </w:tc>
        <w:tc>
          <w:tcPr>
            <w:tcW w:w="2340" w:type="dxa"/>
            <w:vAlign w:val="bottom"/>
            <w:gridSpan w:val="4"/>
            <w:shd w:val="clear" w:color="auto" w:fill="CCEEFF"/>
          </w:tcPr>
          <w:p>
            <w:pPr>
              <w:jc w:val="right"/>
              <w:ind w:right="1960"/>
              <w:spacing w:after="0" w:line="198" w:lineRule="exact"/>
              <w:rPr>
                <w:sz w:val="20"/>
                <w:szCs w:val="20"/>
                <w:color w:val="auto"/>
              </w:rPr>
            </w:pPr>
            <w:r>
              <w:rPr>
                <w:rFonts w:ascii="Times New Roman" w:cs="Times New Roman" w:eastAsia="Times New Roman" w:hAnsi="Times New Roman"/>
                <w:sz w:val="18"/>
                <w:szCs w:val="18"/>
                <w:color w:val="auto"/>
              </w:rPr>
              <w:t>Dr.,</w:t>
            </w: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Lakeview Mortuary (1)</w:t>
            </w:r>
          </w:p>
        </w:tc>
        <w:tc>
          <w:tcPr>
            <w:tcW w:w="1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Bountiful, Utah</w:t>
            </w:r>
          </w:p>
        </w:tc>
        <w:tc>
          <w:tcPr>
            <w:tcW w:w="198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1973</w:t>
            </w: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5,500</w:t>
            </w:r>
          </w:p>
        </w:tc>
        <w:tc>
          <w:tcPr>
            <w:tcW w:w="100" w:type="dxa"/>
            <w:vAlign w:val="bottom"/>
            <w:shd w:val="clear" w:color="auto" w:fill="CCEEFF"/>
          </w:tcPr>
          <w:p>
            <w:pPr>
              <w:spacing w:after="0"/>
              <w:rPr>
                <w:sz w:val="20"/>
                <w:szCs w:val="20"/>
                <w:color w:val="auto"/>
              </w:rPr>
            </w:pP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Deseret Memorial Inc.</w:t>
            </w:r>
          </w:p>
        </w:tc>
        <w:tc>
          <w:tcPr>
            <w:tcW w:w="410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10055 South State St., Sandy,</w:t>
            </w: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Lakehills Mortuary (1)</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w:t>
            </w:r>
          </w:p>
        </w:tc>
        <w:tc>
          <w:tcPr>
            <w:tcW w:w="5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98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1991</w:t>
            </w: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18,000</w:t>
            </w:r>
          </w:p>
        </w:tc>
        <w:tc>
          <w:tcPr>
            <w:tcW w:w="100" w:type="dxa"/>
            <w:vAlign w:val="bottom"/>
            <w:shd w:val="clear" w:color="auto" w:fill="CCEEFF"/>
          </w:tcPr>
          <w:p>
            <w:pPr>
              <w:spacing w:after="0"/>
              <w:rPr>
                <w:sz w:val="20"/>
                <w:szCs w:val="20"/>
                <w:color w:val="auto"/>
              </w:rPr>
            </w:pP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Cottonwood Mortuary, Inc.</w:t>
            </w:r>
          </w:p>
        </w:tc>
        <w:tc>
          <w:tcPr>
            <w:tcW w:w="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4670</w:t>
            </w:r>
          </w:p>
        </w:tc>
        <w:tc>
          <w:tcPr>
            <w:tcW w:w="5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South</w:t>
            </w:r>
          </w:p>
        </w:tc>
        <w:tc>
          <w:tcPr>
            <w:tcW w:w="7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Highland</w:t>
            </w:r>
          </w:p>
        </w:tc>
        <w:tc>
          <w:tcPr>
            <w:tcW w:w="2340" w:type="dxa"/>
            <w:vAlign w:val="bottom"/>
            <w:gridSpan w:val="4"/>
            <w:shd w:val="clear" w:color="auto" w:fill="CCEEFF"/>
          </w:tcPr>
          <w:p>
            <w:pPr>
              <w:jc w:val="right"/>
              <w:ind w:right="1960"/>
              <w:spacing w:after="0" w:line="198" w:lineRule="exact"/>
              <w:rPr>
                <w:sz w:val="20"/>
                <w:szCs w:val="20"/>
                <w:color w:val="auto"/>
              </w:rPr>
            </w:pPr>
            <w:r>
              <w:rPr>
                <w:rFonts w:ascii="Times New Roman" w:cs="Times New Roman" w:eastAsia="Times New Roman" w:hAnsi="Times New Roman"/>
                <w:sz w:val="18"/>
                <w:szCs w:val="18"/>
                <w:color w:val="auto"/>
              </w:rPr>
              <w:t>Dr.,</w:t>
            </w: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Cottonwood Mortuary</w:t>
            </w:r>
          </w:p>
        </w:tc>
        <w:tc>
          <w:tcPr>
            <w:tcW w:w="1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Holladay, Utah</w:t>
            </w:r>
          </w:p>
        </w:tc>
        <w:tc>
          <w:tcPr>
            <w:tcW w:w="198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1991</w:t>
            </w: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14,500</w:t>
            </w:r>
          </w:p>
        </w:tc>
        <w:tc>
          <w:tcPr>
            <w:tcW w:w="100" w:type="dxa"/>
            <w:vAlign w:val="bottom"/>
            <w:shd w:val="clear" w:color="auto" w:fill="CCEEFF"/>
          </w:tcPr>
          <w:p>
            <w:pPr>
              <w:spacing w:after="0"/>
              <w:rPr>
                <w:sz w:val="20"/>
                <w:szCs w:val="20"/>
                <w:color w:val="auto"/>
              </w:rPr>
            </w:pP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SN Probst LLC</w:t>
            </w:r>
          </w:p>
        </w:tc>
        <w:tc>
          <w:tcPr>
            <w:tcW w:w="410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288 North Main St., Heber</w:t>
            </w: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Heber Valley Funeral Home</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Utah</w:t>
            </w:r>
          </w:p>
        </w:tc>
        <w:tc>
          <w:tcPr>
            <w:tcW w:w="780" w:type="dxa"/>
            <w:vAlign w:val="bottom"/>
            <w:shd w:val="clear" w:color="auto" w:fill="CCEEFF"/>
          </w:tcPr>
          <w:p>
            <w:pPr>
              <w:spacing w:after="0"/>
              <w:rPr>
                <w:sz w:val="20"/>
                <w:szCs w:val="20"/>
                <w:color w:val="auto"/>
              </w:rPr>
            </w:pPr>
          </w:p>
        </w:tc>
        <w:tc>
          <w:tcPr>
            <w:tcW w:w="198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5,900</w:t>
            </w:r>
          </w:p>
        </w:tc>
        <w:tc>
          <w:tcPr>
            <w:tcW w:w="100" w:type="dxa"/>
            <w:vAlign w:val="bottom"/>
            <w:shd w:val="clear" w:color="auto" w:fill="CCEEFF"/>
          </w:tcPr>
          <w:p>
            <w:pPr>
              <w:spacing w:after="0"/>
              <w:rPr>
                <w:sz w:val="20"/>
                <w:szCs w:val="20"/>
                <w:color w:val="auto"/>
              </w:rPr>
            </w:pP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SN Holbrook LLC</w:t>
            </w:r>
          </w:p>
        </w:tc>
        <w:tc>
          <w:tcPr>
            <w:tcW w:w="410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3251 S 2300 E, Millcreek,</w:t>
            </w: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Milcreek Funeral Home</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w:t>
            </w:r>
          </w:p>
        </w:tc>
        <w:tc>
          <w:tcPr>
            <w:tcW w:w="5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98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6,300</w:t>
            </w:r>
          </w:p>
        </w:tc>
        <w:tc>
          <w:tcPr>
            <w:tcW w:w="100" w:type="dxa"/>
            <w:vAlign w:val="bottom"/>
            <w:shd w:val="clear" w:color="auto" w:fill="CCEEFF"/>
          </w:tcPr>
          <w:p>
            <w:pPr>
              <w:spacing w:after="0"/>
              <w:rPr>
                <w:sz w:val="20"/>
                <w:szCs w:val="20"/>
                <w:color w:val="auto"/>
              </w:rPr>
            </w:pP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SNR-SF Mortuary LLC</w:t>
            </w: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Rivera Family Funeral Home</w:t>
            </w:r>
          </w:p>
        </w:tc>
        <w:tc>
          <w:tcPr>
            <w:tcW w:w="4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417 Rodeo  RD,  Santa  Fe,</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 Fe (1)</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Mexico</w:t>
            </w:r>
          </w:p>
        </w:tc>
        <w:tc>
          <w:tcPr>
            <w:tcW w:w="780" w:type="dxa"/>
            <w:vAlign w:val="bottom"/>
            <w:shd w:val="clear" w:color="auto" w:fill="CCEEFF"/>
          </w:tcPr>
          <w:p>
            <w:pPr>
              <w:spacing w:after="0"/>
              <w:rPr>
                <w:sz w:val="20"/>
                <w:szCs w:val="20"/>
                <w:color w:val="auto"/>
              </w:rPr>
            </w:pPr>
          </w:p>
        </w:tc>
        <w:tc>
          <w:tcPr>
            <w:tcW w:w="198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7,700</w:t>
            </w:r>
          </w:p>
        </w:tc>
        <w:tc>
          <w:tcPr>
            <w:tcW w:w="100" w:type="dxa"/>
            <w:vAlign w:val="bottom"/>
            <w:shd w:val="clear" w:color="auto" w:fill="CCEEFF"/>
          </w:tcPr>
          <w:p>
            <w:pPr>
              <w:spacing w:after="0"/>
              <w:rPr>
                <w:sz w:val="20"/>
                <w:szCs w:val="20"/>
                <w:color w:val="auto"/>
              </w:rPr>
            </w:pP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SNR-Espanola LLC</w:t>
            </w: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Rivera Family Funeral Home</w:t>
            </w:r>
          </w:p>
        </w:tc>
        <w:tc>
          <w:tcPr>
            <w:tcW w:w="4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305 Calle Salazar, Española,</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Española</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Mexico</w:t>
            </w:r>
          </w:p>
        </w:tc>
        <w:tc>
          <w:tcPr>
            <w:tcW w:w="780" w:type="dxa"/>
            <w:vAlign w:val="bottom"/>
            <w:shd w:val="clear" w:color="auto" w:fill="CCEEFF"/>
          </w:tcPr>
          <w:p>
            <w:pPr>
              <w:spacing w:after="0"/>
              <w:rPr>
                <w:sz w:val="20"/>
                <w:szCs w:val="20"/>
                <w:color w:val="auto"/>
              </w:rPr>
            </w:pPr>
          </w:p>
        </w:tc>
        <w:tc>
          <w:tcPr>
            <w:tcW w:w="198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10,400</w:t>
            </w:r>
          </w:p>
        </w:tc>
        <w:tc>
          <w:tcPr>
            <w:tcW w:w="100" w:type="dxa"/>
            <w:vAlign w:val="bottom"/>
            <w:shd w:val="clear" w:color="auto" w:fill="CCEEFF"/>
          </w:tcPr>
          <w:p>
            <w:pPr>
              <w:spacing w:after="0"/>
              <w:rPr>
                <w:sz w:val="20"/>
                <w:szCs w:val="20"/>
                <w:color w:val="auto"/>
              </w:rPr>
            </w:pP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SNR-Taos LLC</w:t>
            </w: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Rivera Family Funeral Home</w:t>
            </w:r>
          </w:p>
        </w:tc>
        <w:tc>
          <w:tcPr>
            <w:tcW w:w="4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818 Paseo Del Pueblo Sur,</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Taos</w:t>
            </w:r>
          </w:p>
        </w:tc>
        <w:tc>
          <w:tcPr>
            <w:tcW w:w="1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Taos, New Mexico</w:t>
            </w:r>
          </w:p>
        </w:tc>
        <w:tc>
          <w:tcPr>
            <w:tcW w:w="198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9,600</w:t>
            </w:r>
          </w:p>
        </w:tc>
        <w:tc>
          <w:tcPr>
            <w:tcW w:w="10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5540" w:right="5120" w:hanging="5208"/>
        <w:spacing w:after="0" w:line="409" w:lineRule="auto"/>
        <w:tabs>
          <w:tab w:leader="none" w:pos="66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funeral homes also provide burial niches at their respective locations.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outside the ordinary course of business or to any other legal proceedings, which if adversely determined, would be expected to have a material adverse effect on its financial condition or results of operation.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the Registrant’s Common Stock, Related Stockholder Matters, and Issuer Purchases of Equity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Class A common stock trades on The Nasdaq Global Select Market under the symbol “SNFCA.” As of March 27, 2023, the closing stock price of the Class A common stock was $6.09 per share. As of March 27, 2023, there were 1,801 registered stockholders of record of the Company’s Class A common stock and 44 registered stockholders of record of the Company’s Class C common stock. Because many of the Company’s shares of Class A common stock are held by brokers and other institutions on behalf of the stockholders, the Company is unable to estimate the total number of stockholders represented by these record 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were the high and low market closing stock prices for the Class A common stock by quarter as reported by NASDAQ since January 1,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Price Range (1)</w:t>
            </w:r>
          </w:p>
        </w:tc>
      </w:tr>
      <w:tr>
        <w:trPr>
          <w:trHeight w:val="223"/>
        </w:trPr>
        <w:tc>
          <w:tcPr>
            <w:tcW w:w="4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High</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Low</w:t>
            </w:r>
          </w:p>
        </w:tc>
        <w:tc>
          <w:tcPr>
            <w:tcW w:w="40" w:type="dxa"/>
            <w:vAlign w:val="bottom"/>
          </w:tcPr>
          <w:p>
            <w:pPr>
              <w:spacing w:after="0"/>
              <w:rPr>
                <w:sz w:val="19"/>
                <w:szCs w:val="19"/>
                <w:color w:val="auto"/>
              </w:rPr>
            </w:pPr>
          </w:p>
        </w:tc>
      </w:tr>
      <w:tr>
        <w:trPr>
          <w:trHeight w:val="209"/>
        </w:trPr>
        <w:tc>
          <w:tcPr>
            <w:tcW w:w="4060" w:type="dxa"/>
            <w:vAlign w:val="bottom"/>
            <w:tcBorders>
              <w:top w:val="single" w:sz="8" w:color="CCEEFF"/>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 (Calendar Year)</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0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7.69</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7.68</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9.17</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7.81</w:t>
            </w:r>
          </w:p>
        </w:tc>
      </w:tr>
      <w:tr>
        <w:trPr>
          <w:trHeight w:val="216"/>
        </w:trPr>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8.53</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9.87</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7.84</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6.23</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7.57</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 (through March 27, 2023)</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7.55</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Stock prices have been adjusted retroactively for the effect of annual stock dividends.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 C common stock is not registered or traded on a national exchange. See Note 12 of the Notes to Consolidated Financial Statements.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never paid a cash dividend on its Class A or Class C common stock. The Company currently anticipates that all of its earnings will be retained for use in the operation and expansion of its business and does not intend to pay any cash dividends on its Class A or Class C common stock in the foreseeable future. Any future determination as to cash dividends will depend upon the earnings and financial position of the Company and such other factors as the Board of Directors may deem appropriate. The Company paid a 5% stock dividend on Class A and Class C common stock each year from 1990 through 2019, a 7.5% stock dividend for year 2020, and a 5.0% stock dividend for the years 2021 and 2022.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27, 2022, the Company executed a 10b5-1 agreement with a broker to repurchase the Company’s Class A Common Stock. Under the terms of the agreement, the broker is permitted to repurchase up to $1,000,000 of the Company’s Class A Common Stock. The agreement is subject to the daily time, price and volume conditions of Rule 10b-18. The initial term of the agreement is for one year and may be amended with written consent. The purchases under the 10b5-1 agreement are subject to the 2020 amended stock repurchase plan.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Company’s repurchase activity of its common stock during the three months ended December 31, 2022 under its Stock Repurchase Plan.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(d) Maximum</w:t>
            </w:r>
          </w:p>
        </w:tc>
      </w:tr>
      <w:tr>
        <w:trPr>
          <w:trHeight w:val="216"/>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(c) Total Number of</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Number of Class A</w:t>
            </w:r>
          </w:p>
        </w:tc>
      </w:tr>
      <w:tr>
        <w:trPr>
          <w:trHeight w:val="216"/>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5"/>
              </w:rPr>
              <w:t>(a) Total</w:t>
            </w: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(b) Average</w:t>
            </w: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Class A Shares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Shares that May Yet</w:t>
            </w:r>
          </w:p>
        </w:tc>
      </w:tr>
      <w:tr>
        <w:trPr>
          <w:trHeight w:val="216"/>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Number of</w:t>
            </w: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Price Paid per</w:t>
            </w: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Purchased as Part of</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Be Purchased Under</w:t>
            </w:r>
          </w:p>
        </w:tc>
      </w:tr>
      <w:tr>
        <w:trPr>
          <w:trHeight w:val="216"/>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Class A Shares</w:t>
            </w: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Class A Share</w:t>
            </w: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Publicly Announced</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the Plan or Program</w:t>
            </w:r>
          </w:p>
        </w:tc>
      </w:tr>
      <w:tr>
        <w:trPr>
          <w:trHeight w:val="234"/>
        </w:trPr>
        <w:tc>
          <w:tcPr>
            <w:tcW w:w="29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Period</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Purchased</w:t>
            </w:r>
          </w:p>
        </w:tc>
        <w:tc>
          <w:tcPr>
            <w:tcW w:w="10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(1)</w:t>
            </w:r>
          </w:p>
        </w:tc>
        <w:tc>
          <w:tcPr>
            <w:tcW w:w="260" w:type="dxa"/>
            <w:vAlign w:val="bottom"/>
          </w:tcPr>
          <w:p>
            <w:pPr>
              <w:spacing w:after="0"/>
              <w:rPr>
                <w:sz w:val="20"/>
                <w:szCs w:val="20"/>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Plan or Program</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r>
      <w:tr>
        <w:trPr>
          <w:trHeight w:val="209"/>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10/1/2022-10/31/2022</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6.32</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433,349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11/1/2022-11/30/2022</w:t>
            </w:r>
          </w:p>
        </w:tc>
        <w:tc>
          <w:tcPr>
            <w:tcW w:w="2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10,920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6.54</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422,429</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12/1/2022-12/31/2022</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39,222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6.47</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383,207</w:t>
            </w:r>
          </w:p>
        </w:tc>
      </w:tr>
      <w:tr>
        <w:trPr>
          <w:trHeight w:val="230"/>
        </w:trPr>
        <w:tc>
          <w:tcPr>
            <w:tcW w:w="27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23"/>
        </w:trPr>
        <w:tc>
          <w:tcPr>
            <w:tcW w:w="2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59,971</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6.45</w:t>
            </w:r>
          </w:p>
        </w:tc>
        <w:tc>
          <w:tcPr>
            <w:tcW w:w="2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383,207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and commissions paid on stock repurchases.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2018, the Board of Directors of the Company approved a Stock Repurchase Plan that authorized the repurchase of 300,000 shares of the Company’s Class A Common Stock in the open market. The Company amended the Stock Repurchase Plan on December 4, 2020. The amendment authorized the repurchase of a total of 1,000,000 shares of the Company’s Class A Common Stock in the open market. Any repurchased shares of Class A common stock are to be held as treasury shares to be used as the Company’s employer matching contribution to the Employee 401(k) Retirement Savings Plan and for shares held in the Deferred Compensation Plan.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of the Company’s Class A common stock with the cumulative total return on the Standard &amp; Poor’s 500 Stock Index and the Standard &amp; Poor’s Insurance Index for the period from December 31, 2018 through December 31, 2022. The graph assumes that the value of the investment in the Company’s Class A common stock and in each of the indexes was $100 at December 31, 2018 and that all dividends were reinvested.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comparisons in the graph below are based on historical data and are not intended to forecast the possible future performance of the Company’s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114300</wp:posOffset>
            </wp:positionV>
            <wp:extent cx="4714875" cy="3154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1487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9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12/31/18</w:t>
            </w:r>
          </w:p>
        </w:tc>
        <w:tc>
          <w:tcPr>
            <w:tcW w:w="2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12/31/19</w:t>
            </w:r>
          </w:p>
        </w:tc>
        <w:tc>
          <w:tcPr>
            <w:tcW w:w="2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12/31/20</w:t>
            </w:r>
          </w:p>
        </w:tc>
        <w:tc>
          <w:tcPr>
            <w:tcW w:w="24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12/31/21</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12/31/22</w:t>
            </w:r>
          </w:p>
        </w:tc>
        <w:tc>
          <w:tcPr>
            <w:tcW w:w="80" w:type="dxa"/>
            <w:vAlign w:val="bottom"/>
            <w:tcBorders>
              <w:bottom w:val="single" w:sz="8" w:color="CCEEFF"/>
            </w:tcBorders>
          </w:tcPr>
          <w:p>
            <w:pPr>
              <w:spacing w:after="0"/>
              <w:rPr>
                <w:sz w:val="20"/>
                <w:szCs w:val="20"/>
                <w:color w:val="auto"/>
              </w:rPr>
            </w:pP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SNFC</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119</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 &amp; P 500</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129</w:t>
            </w:r>
          </w:p>
        </w:tc>
        <w:tc>
          <w:tcPr>
            <w:tcW w:w="26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Pr>
          <w:p>
            <w:pPr>
              <w:spacing w:after="0"/>
              <w:rPr>
                <w:sz w:val="18"/>
                <w:szCs w:val="18"/>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 &amp; P Insurance</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stock performance graph set forth above is required by the Securities and Exchange Commission and shall not be deemed to be incorporated by reference by any general statement incorporating by reference this Form 10-K into any filing under the Securities Act of 1933, as amended, or under the Securities Exchange Act of 1934, as amended, except to the extent that the Company specifically incorporates this information by reference, and shall not otherwise be deemed soliciting material or filed under such 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operations over the last several years generally reflect three strategies which the Company expects to continue: (i) increased attention to “niche” insurance products, such as the Company’s funeral plan policies and traditional whole life products; (ii) increased emphasis on cemetery and mortuary business; and (iii) capitalizing on the housing market by originating mortgage loans. The Company has adjusted its strategies to respond to the changing economic circumstances resulting from COVID-19.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for the Company’s insurance operations for the years ended December 31, 2022 and 2021. See Note 15 of the Notes to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6"/>
          </w:tcPr>
          <w:p>
            <w:pPr>
              <w:ind w:left="760"/>
              <w:spacing w:after="0"/>
              <w:rPr>
                <w:sz w:val="20"/>
                <w:szCs w:val="20"/>
                <w:color w:val="auto"/>
              </w:rPr>
            </w:pPr>
            <w:r>
              <w:rPr>
                <w:rFonts w:ascii="Times New Roman" w:cs="Times New Roman" w:eastAsia="Times New Roman" w:hAnsi="Times New Roman"/>
                <w:sz w:val="18"/>
                <w:szCs w:val="18"/>
                <w:color w:val="auto"/>
                <w:w w:val="97"/>
              </w:rPr>
              <w:t>Years ended December 31</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8"/>
                <w:szCs w:val="18"/>
                <w:color w:val="auto"/>
              </w:rPr>
              <w:t>(in thousands of dollars)</w:t>
            </w:r>
          </w:p>
        </w:tc>
        <w:tc>
          <w:tcPr>
            <w:tcW w:w="10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2022 vs 2021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8"/>
              </w:rPr>
              <w:t>% Increase</w:t>
            </w: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Insurance premiums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105,002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100,255</w:t>
            </w: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62,565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56,092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(459)</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4,555</w:t>
            </w: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than temporary impairments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2,075</w:t>
            </w:r>
          </w:p>
        </w:tc>
        <w:tc>
          <w:tcPr>
            <w:tcW w:w="2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169,183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163,014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36"/>
        </w:trPr>
        <w:tc>
          <w:tcPr>
            <w:tcW w:w="36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6,601</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7,570</w:t>
            </w:r>
          </w:p>
        </w:tc>
        <w:tc>
          <w:tcPr>
            <w:tcW w:w="2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6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Earnings before income taxes</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14,196</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14,973</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Intersegment revenues for the Company’s insurance operations were comprised primarily of interest income from the warehouse lines provided to the Company’s mortgage lending affiliates to fund loans held for sale. Profitability for 2022 decreased due to (a) a $4,974,000 decrease in gains on investments and other assets primarily due to a decrease in the fair value of equity securities, (b) a $3,345,000 increase in selling, general and administrative expenses,</w:t>
      </w:r>
    </w:p>
    <w:p>
      <w:pPr>
        <w:spacing w:after="0" w:line="1" w:lineRule="exact"/>
        <w:rPr>
          <w:sz w:val="20"/>
          <w:szCs w:val="20"/>
          <w:color w:val="auto"/>
        </w:rPr>
      </w:pPr>
    </w:p>
    <w:p>
      <w:pPr>
        <w:jc w:val="both"/>
        <w:ind w:firstLine="8"/>
        <w:spacing w:after="0" w:line="253" w:lineRule="auto"/>
        <w:tabs>
          <w:tab w:leader="none" w:pos="2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$2,596,000 increase in future policy benefits, (d) a $1,741,000 increase in amortization of deferred policy acquisition costs primarily due to an increase in the average outstanding balance of deferred policy and pre-need acquisition costs, (e) a $1,641,000 increase in interest expense, (f) a $968,000 decrease in intersegment revenue, and (g) a $220,000 decrease in other revenues, which were partially offset by (i) a $6,473,000 increase in net investment income, (ii) a $4,890,000 increase in insurance premiums and other considerations, (iii) a $3,152,000 decrease in death, surrenders and other policy benefits, and (iv) a $193,000 decrease in intersegment interest expense and other expenses.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to the COVID-19 pandemic, the Company’s life insurance sales force began using virtual and tele sales processes to market products. During the third quarter 2021, the life insurance sales force returned to in person sales, however, it continues to use virtual and tele sales where needed. Currently, approximately 75% of insurance operations office staff work in the office with the flexibility for hybrid-remote or completely remote working arrangements as needed.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Cemetery and Mortuary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for the Company’s cemetery and mortuary operations for the years ended December 31, 2022 and 2021. See Note 15 of the Notes to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20" w:type="dxa"/>
            <w:vAlign w:val="bottom"/>
            <w:gridSpan w:val="9"/>
          </w:tcPr>
          <w:p>
            <w:pPr>
              <w:jc w:val="center"/>
              <w:ind w:right="50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center"/>
              <w:ind w:left="750"/>
              <w:spacing w:after="0"/>
              <w:rPr>
                <w:sz w:val="20"/>
                <w:szCs w:val="20"/>
                <w:color w:val="auto"/>
              </w:rPr>
            </w:pPr>
            <w:r>
              <w:rPr>
                <w:rFonts w:ascii="Times New Roman" w:cs="Times New Roman" w:eastAsia="Times New Roman" w:hAnsi="Times New Roman"/>
                <w:sz w:val="18"/>
                <w:szCs w:val="18"/>
                <w:color w:val="auto"/>
                <w:w w:val="99"/>
              </w:rPr>
              <w:t>(in thousands of dollars)</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2022 vs 2021</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8"/>
              </w:rPr>
              <w:t>% Increase</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Cemetery revenues</w:t>
            </w:r>
          </w:p>
        </w:tc>
        <w:tc>
          <w:tcPr>
            <w:tcW w:w="4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13,871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15,626</w:t>
            </w:r>
          </w:p>
        </w:tc>
        <w:tc>
          <w:tcPr>
            <w:tcW w:w="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Mortuary revenues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13,123</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8,371</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2,445</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1,654</w:t>
            </w:r>
          </w:p>
        </w:tc>
        <w:tc>
          <w:tcPr>
            <w:tcW w:w="8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(796)</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1,512</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w:t>
            </w:r>
          </w:p>
        </w:tc>
        <w:tc>
          <w:tcPr>
            <w:tcW w:w="2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197"/>
        </w:trPr>
        <w:tc>
          <w:tcPr>
            <w:tcW w:w="35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6,094</w:t>
            </w:r>
          </w:p>
        </w:tc>
        <w:tc>
          <w:tcPr>
            <w:tcW w:w="22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7,925</w:t>
            </w:r>
          </w:p>
        </w:tc>
        <w:tc>
          <w:tcPr>
            <w:tcW w:w="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Profitability in 2022 decreased due to (a) a $2,398,000 increase in selling, general and administrative expenses, (b) a $2,308,000 decrease in gains on investments and other assets primarily attributable to a $579,000 decrease in gains on real estate sales and a $1,729,000 decrease in gains on equity securities classified as restricted assets and cemetery perpetual care trust investments primarily due to a decrease in the fair value of equity securities, (c) a $2,066,000 decrease in cemetery pre-need sales, (d) a $1,017,000 increase in costs of goods sold, (e) a $225,000 increase in intersegment interest expense and other expenses, and (f) a $66,000 increase in amortization of deferred policy acquisition costs, which were partially offset by (i) a $4,751,000 increase in mortuary at-need sales, (ii) a $791,000 increase in net investment income, (iii) a $311,000 increase in cemetery at-need sales, (iv) a $205,000 increase in other revenues (v) a $137,000 increase in intersegment revenues, and (vi) a $54,000 decrease in interest expense.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to the COVID-19 pandemic, the cemetery and mortuary’s pre-need sales force began using virtual selling processes to market its products and services including some in home sales as local regulations permitted. During the third quarter 2021, the sales force returned mostly to in home sales, however, it continues to use virtual selling where needed. Currently, the cemetery and mortuary operations office staff works in the office with the flexibility for hybrid-remote or completely remote working arrangements as needed.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wholly owned subsidiary, SecurityNational Mortgage, is a mortgage lender incorporated under the laws of the State of Utah and approved and regulated by the Federal Housing Administration (FHA), a department of the U.S. Department of Housing and Urban Development (HUD), which originate mortgage loans that qualify for government insurance in the event of default by the borrower, in addition to various conventional mortgage loan products. SecurityNational Mortgage originates and refinances mortgage loans on a retail basis. Mortgage loans originated or refinanced by the Company’s mortgage subsidiaries are funded through loan purchase agreements with Security National Life, Kilpatrick Life and unaffiliated financial institutions.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SecurityNational Mortgage receives fees from borrowers that are involved in mortgage loan originations and refinancings, and secondary fees earned from third party investors that purchase the mortgage loans. Mortgage loans are generally sold with mortgage servicing rights (“MSRs”) released to third-party investors or retained by SecurityNational Mortgage. SecurityNational Mortgage currently retains the MSRs on approximately 7% of its loan origination volume. These mortgage loans are serviced by either SecurityNational Mortgage or an approved third-party sub-servicer. In December 2021, the Company ceased operations in EverLEND Mortgage and merged its operations into SecurityNational Mortgage. On October 31, 2022, the Company sold certain of its MSRs. The MSRs related to mortgage loans previously originated by the Company in aggregate unpaid principal amount of approximately $7.02 billion. As a result of the sale, the book value of the Company’s MSRs decreased $51,185,906 and generated a gain of $34,051,938 included in mortgage fee income on the consolidated statements of earnings.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For the twelve months ended December 31, 2022 and 2021, SecurityNational Mortgage originated 10,663 loans ($3,373,554,000 total volume) and 19,342 loans ($5,502,894,000 total volume), respectively. For the twelve months ended December 31, 2021, EverLEND Mortgage originated 323 loans ($108,295,000 total volume).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rates have followed the US Treasury yields up in response to the higher than expected inflation and the expectation that the Federal Reserve will continue to raise rates in the near term. As expected, the rapid increase in mortgage rates has resulted in a decrease in loan originations classified as ‘refinance’. Higher mortgage rates have also had a negative effect on loan originations classified as ‘purchase’, although not as significant as those in the refinance classification.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for the Company’s mortgage operations for the years ended December 31, 2022 and 2021. See Note 15 of the Notes to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6"/>
          </w:tcPr>
          <w:p>
            <w:pPr>
              <w:ind w:left="760"/>
              <w:spacing w:after="0"/>
              <w:rPr>
                <w:sz w:val="20"/>
                <w:szCs w:val="20"/>
                <w:color w:val="auto"/>
              </w:rPr>
            </w:pPr>
            <w:r>
              <w:rPr>
                <w:rFonts w:ascii="Times New Roman" w:cs="Times New Roman" w:eastAsia="Times New Roman" w:hAnsi="Times New Roman"/>
                <w:sz w:val="18"/>
                <w:szCs w:val="18"/>
                <w:color w:val="auto"/>
                <w:w w:val="97"/>
              </w:rPr>
              <w:t>Years ended December 31</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8"/>
                <w:szCs w:val="18"/>
                <w:color w:val="auto"/>
              </w:rPr>
              <w:t>(in thousands of dollars)</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2022 vs 2021</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 Increase</w:t>
            </w: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Secondary gains from investors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153,728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230,417</w:t>
            </w:r>
          </w:p>
        </w:tc>
        <w:tc>
          <w:tcPr>
            <w:tcW w:w="1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loan originations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32,772</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44,897</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(8,835)</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(8,783)</w:t>
            </w:r>
          </w:p>
        </w:tc>
        <w:tc>
          <w:tcPr>
            <w:tcW w:w="10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(4,309)</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(3,113)</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1,188</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16,580</w:t>
            </w:r>
          </w:p>
        </w:tc>
        <w:tc>
          <w:tcPr>
            <w:tcW w:w="2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16,282</w:t>
            </w:r>
          </w:p>
        </w:tc>
        <w:tc>
          <w:tcPr>
            <w:tcW w:w="100" w:type="dxa"/>
            <w:vAlign w:val="bottom"/>
          </w:tcPr>
          <w:p>
            <w:pPr>
              <w:spacing w:after="0"/>
              <w:rPr>
                <w:sz w:val="19"/>
                <w:szCs w:val="19"/>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280,418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196"/>
        </w:trPr>
        <w:tc>
          <w:tcPr>
            <w:tcW w:w="368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14,088</w:t>
            </w:r>
          </w:p>
        </w:tc>
        <w:tc>
          <w:tcPr>
            <w:tcW w:w="22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28,903</w:t>
            </w:r>
          </w:p>
        </w:tc>
        <w:tc>
          <w:tcPr>
            <w:tcW w:w="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other revenues is service fee income. Profitability in 2022 has decreased due to (a) a $76,689,000 decrease in secondary gains from investors,</w:t>
      </w:r>
    </w:p>
    <w:p>
      <w:pPr>
        <w:spacing w:after="0" w:line="27" w:lineRule="exact"/>
        <w:rPr>
          <w:sz w:val="20"/>
          <w:szCs w:val="20"/>
          <w:color w:val="auto"/>
        </w:rPr>
      </w:pPr>
    </w:p>
    <w:p>
      <w:pPr>
        <w:jc w:val="both"/>
        <w:ind w:firstLine="8"/>
        <w:spacing w:after="0" w:line="252" w:lineRule="auto"/>
        <w:tabs>
          <w:tab w:leader="none" w:pos="2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$12,125,000 decrease in income from loan originations, (c) $1,196,000 decrease in the fair value of loan commitments, (d) a $1,124,000 increase in intersegment expenses, (e) a $242,000 decrease in intersegment revenues, (e) a $51,000 increase in depreciation on property and equipment, and (f) a $51,000 decrease in the fair value of loans held for sale, which were partially offset by (i) a $55,003,000 decrease in commissions, (ii) an $8,481,000 decrease in other expenses, (iii) a $4,360,000 decrease in personnel expenses, (iv) a $3,002,000 decrease in costs related to funding mortgage loans, (v) a $2,230,000 decrease in intersegment interest expense, (vi) a $1,474,000 decrease in advertising expenses, (vii) a $884,000 decrease in interest expense, (viii) $669,000 increase in net investment income, (ix) a $297,000 increase in other revenues, (x) a $199,000 increase in gains on investments and other assets, (xi) and a $64,000 decrease in rent and rent related expenses.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the COVID-19 pandemic, the mortgage operations has integrated employee work from home accommodations into its standard operating procedures. A large percentage of fulfillment employees are in office however the flexibility remains to accommodate in office or work from home functionality.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the Company’s significant accounting policies and a review of the Company’s most critical accounting estimates. See Note 1 of the Notes to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Insurance Operations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generally accepted accounting principles in the United States of America (“GAAP”), premiums and other considerations received for interest sensitive products are reflected as increases in liabilities for policyholder account balances and not as revenues. Revenues reported for these products consist of policy charges for the cost of insurance, administration charges, amortization of policy initiation fees and surrender charges assessed against policyholder account balances. Surrender benefits paid relating to these products are reflected as decreases in liabilities for policyholder account balances and not as expenses.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receives investment income earned from the funds deposited into account balances, a portion of which is passed through to the policyholders in the form of interest credited. Interest credited to policyholder account balances and benefit claims in excess of policyholder account balances are reported as expenses in the consolidated financial statements.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Premiums and other considerations received for traditional life insurance products are recognized as revenues when due. Future policy benefits are recognized as expenses over the life of the policy by means of the provision for future policy benefits.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costs related to acquiring new business, including certain costs of issuing policies and other variable selling expenses (principally commissions), defined as deferred policy acquisition costs, are capitalized and amortized into expense. For nonparticipating traditional life products, these costs are amortized over the premium paying period of the related policies, in proportion to the ratio of annual premium revenues to total anticipated premium revenues. Such anticipated premium revenues are estimated using the same assumptions used for computing liabilities for future policy benefits and are generally “locked in” at the date the policies are issued. For interest sensitive products, these costs are amortized generally in proportion to expected gross profits from surrender charges and investment, mortality and expense margins. This amortization is adjusted when the Company revises the estimate of current or future gross profits or margins. For example, deferred policy acquisition costs are amortized earlier than originally estimated when policy terminations are higher than originally estimated or when investments backing the related policyholder liabilities are sold at a gain prior to their anticipated maturity.</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Death and other policyholder benefits reflect exposure to mortality risk and fluctuate from year to year on the level of claims incurred under insurance retention limits. The profitability of the Company is primarily affected by fluctuations in mortality, other policyholder benefits, expense levels, interest spreads (i.e., the difference between interest earned on investments and interest credited to policyholders) and persistency. The Company has the ability to mitigate adverse experience through sound underwriting, asset and liability duration matching, sound actuarial practices, adjustments to credited interest rates, policyholder dividends and cost of insurance charges.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Cemetery and Mortuary Operations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Pre-need sales of funeral services and caskets, including revenue and costs associated with the sales of pre-need funeral services and caskets, are deferred until the services are performed or the caskets are delivered.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Pre-need sales of cemetery interment rights (cemetery burial property), including revenue and costs associated with the sales of pre-need cemetery interment rights, are recognized in accordance with the retail land sales provisions of GAAP. Under GAAP, recognition of revenue and associated costs from constructed cemetery property must be deferred until a minimum percentage of the sales price has been collected. Revenues related to the pre-need sale of unconstructed cemetery property will be deferred until such property is constructed and meets the criteria of GAAP, described above.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Pre-need sales of cemetery merchandise (primarily markers and vaults), including revenue and costs associated with the sales of pre-need cemetery merchandise, are deferred until the merchandise is delivered, fulfilling the performance obligation.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Pre-need sales of cemetery services (primarily merchandise delivery and installation fees and burial opening and closing fees), including revenue and costs associated with the sales of pre-need cemetery services, are deferred until the services are performed.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Prearranged funeral and pre-need cemetery customer obtaining costs, including costs incurred related to obtaining new pre-need cemetery and prearranged funeral business are accounted for under the guidance of the provisions of GAAP. Obtaining costs, which include only costs that vary with and are primarily related to the acquisition of new pre-need cemetery and prearranged funeral business, are deferred until the merchandise is delivered or services are performed.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and costs for at-need sales are recorded when a valid contract exists, the services are performed, collection is reasonably assured, and there are no significant company obligations remaining.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Mortgage Operations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fee income consists of origination fees, processing fees, interest income and certain other income related to the origination and sale of mortgage loans. The Company has elected to use fair value accounting for all mortgage loans that are held for sale. Accordingly, all revenues and costs are now recognized when the mortgage loan is funded and any changes in fair value are shown as a component of mortgage fee income.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through its mortgage subsidiaries, sells mortgage loans to third-party investors without recourse, unless defects are identified in the representations and warranties made at loan sale. It may be required, however, to repurchase a loan or pay a fee instead of repurchase under certain events, which include the following:</w:t>
      </w:r>
    </w:p>
    <w:p>
      <w:pPr>
        <w:spacing w:after="0" w:line="176"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original documents specified by the investor,</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misrepresentation or fraud in the origination of the loan,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becomes delinquent due to nonpayment during the first several months after it is sold,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pay-off of a loan, as defined by the agreements,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time to settle a loan,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declines purchase,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product and expired commitment.</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Loan purchase commitments generally specify a date 30 to 45 days after delivery upon which the underlying loans should be settled. Depending on market conditions, these commitment settlement dates can be extended at a cost to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the Company’s policy to cure any documentation problems regarding such loans at a minimal cost for up to a six-month time period and to pursue efforts to enforce loan purchase commitments from third-party investors concerning the loans. The Company believes that six months allows adequate time to remedy any documentation issues, to enforce purchase commitments, and to exhaust other alternatives. Remedial methods include the following:</w:t>
      </w:r>
    </w:p>
    <w:p>
      <w:pPr>
        <w:spacing w:after="0" w:line="176"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reasons for rejection,</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additional documents,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investor exceptions,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Appeal rejection decision to purchase committee,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to secondary investors.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Once purchase commitments have expired and other alternatives to remedy are exhausted, which could be earlier than the six-month time period, the loans are repurchased and transferred to mortgage loans held for investment at the lower of cost or fair value and the previously recorded sales revenue that was to be received from a third-party investor is written off against the loan loss reserve. Any loan that later becomes delinquent is evaluated by the Company at that time and any impairment is adjusted accordingly.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Determining fair value</w:t>
      </w:r>
      <w:r>
        <w:rPr>
          <w:rFonts w:ascii="Times New Roman" w:cs="Times New Roman" w:eastAsia="Times New Roman" w:hAnsi="Times New Roman"/>
          <w:sz w:val="18"/>
          <w:szCs w:val="18"/>
          <w:color w:val="auto"/>
        </w:rPr>
        <w:t>. Cost for loans held for sale is equal to the amount paid to the warehouse bank and the amount originally funded by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value, while often difficult to determine and may contain significant unobservable inputs, is based on the following guidelines:</w:t>
      </w:r>
    </w:p>
    <w:p>
      <w:pPr>
        <w:spacing w:after="0" w:line="207"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are committed, the Company uses the commitment price.</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are non-committed that have an active market, the Company uses the market price.</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are non-committed where there is no market but there is a similar product, the Company uses the market value for the similar product.</w:t>
      </w:r>
    </w:p>
    <w:p>
      <w:pPr>
        <w:jc w:val="both"/>
        <w:ind w:left="1300" w:hanging="320"/>
        <w:spacing w:after="0" w:line="255"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are non-committed where no active market exists, the Company determines that the unpaid principal balance best approximates the market value, after considering the fair value of the underlying real estate collateral, estimated future cash flows, and loan interest rate.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The appraised value of the real estate underlying the original mortgage loan adds significance to the Company’s determination of fair value because, if the loan becomes delinquent, the Company has sufficient value to collect the unpaid principal balance or the carrying value of the loan, thus minimizing credit risk.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majority of loans originated are sold to third-party investors. The amounts expected to be sold to investors are shown on the consolidated balance sheets as loans held for sale.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Significant Accounting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reported amounts and disclosures. It is reasonably possible that actual experience could differ from the estimates and assumptions utilized which could have a material impact on the financial statements. The following is a summary of our significant accounting estimates, and critical issues that impact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Commitments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mortgage loan commitment based on the change in estimated fair value of the underlying mortgage loan, quoted mortgage-backed security (“MBS”) prices, estimates of the fair value of mortgage servicing rights, and an estimate of the probability that the mortgage loan will fund within the terms of the commitment net of estimated commission expense. The change in fair value of the underlying mortgage loan is measured from the date the mortgage loan commitment is issued and is shown net of related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Acquisition Costs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of deferred policy acquisition costs (“DAC”) for interest sensitive products is dependent upon estimates of current and future gross profits or margins on this business. Key assumptions used include the following: yield on investments supporting the liabilities, amount of interest or dividends credited to the policies, amount of policy fees and charges, amount of expenses necessary to maintain the policies, amount of death and surrender benefits, and the length of time the policies will stay in force.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nonparticipating traditional life products, these costs are amortized over the premium paying period of the related policies in proportion to the ratio of annual premium revenues to total anticipated premium revenues. Such anticipated premium revenues are estimated using the same assumption used for computing liabilities for future policy benefits and are generally “locked in” at the date the policies are issued.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Value of Business Acquired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Value of business acquired (“VOBA”) is the present value of estimated future profits of the acquired business and is amortized similar to deferred acquisition costs. The critical issues explained for deferred acquisition costs would also apply for value of business acquired.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Loans Foreclosed to Real Estate Held for Investment or Sale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properties are recorded at the lower of cost or fair value upon foreclosure. The Company believes that in an orderly market, fair value approximates the replacement cost of a home and 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estimated future policy benefits. Accordingly, the fair value determination is generally weighted more heavily toward the rental analysis. The fair value is also estimated by obtaining an independent appraisal, which typically considers area comparable properties and property condition.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Future Policy Benefits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Reserves for future policy benefits for traditional life insurance products requires the use of many assumptions, including the duration of the policies, mortality experience, expenses, investment yield, lapse rates, surrender rates, and dividend crediting rates.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assumptions are made based upon historical experience, industry standards and a best estimate of future results and, for traditional life products, include a provision for adverse deviation. For traditional life insurance, once established for a particular series of products, these assumptions are generally held constant.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Unearned Premium Reserve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universal life products the Company sells have significant policy initiation fees (front-end load) that are deferred and amortized into revenues over the estimated expected gross profits from surrender charges and investment, mortality and expense margins. The same issues that impact deferred acquisition costs apply to unearned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Premium Deficiency and Loss Recognition Testing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least annually, the Company tests the adequacy of the net benefit reserves (liability for future policy benefits, net of DAC and VOBA) recorded for life insurance and annuity products. The Company tests for recoverability by using the Company’s current best-estimate assumptions as to policyholder mortality, persistency, maintenance expenses and invested asset returns. These tests evaluate whether the present value of future contract-related cash flows will support the capitalized DAC and VOBA assets. These cash flows consist primarily of premium income, less benefits and expenses. If the current contract liabilities plus the present value of future premiums is greater than the sum of the present values of future policy benefits, commissions, and expenses plus the current DAC and VOBA less unearned premium reserve balances, then the capitalized assets are deemed recoverable. The present values are calculated using the best estimate of the after tax net investment earned 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Pre-need Cemetery and Funeral Contracts Revenues and Estimated Future Cost of Pre-need Sales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revenue and cost associated with the sales of pre-need cemetery merchandise and funeral services are deferred until the merchandise is delivered or the service is performed.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through its cemetery and mortuary operations, provides a guaranteed funeral arrangement wherein a prospective customer can receive future goods and services at guaranteed prices. To accomplish this, the Company, through its life insurance operations, sells to the customer an increasing benefit life insurance policy that is assigned to the mortuaries. If, at the time of need, the policyholder or potential mortuary customer utilizes one of the Company’s facilities, the guaranteed funeral arrangement contract that has been assigned will provide the funeral goods and services at the contracted price. The increasing life insurance policy will cover the difference between the original contract prices and current prices. Risks may arise if the difference cannot be fully met by the life insurance policy.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Servicing Rights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Mortgage Service Rights (“MSR”) arise from contractual agreements between the Company and third-party investors (or their agents) when mortgage loans are sold. Under these contracts, the Company is obligated to retain and provide loan servicing functions on the loans sold, in exchange for fees and other remuneration. The servicing functions typically performed include, among other responsibilities, collecting and remitting loan payments; responding to borrower inquiries; accounting for principal and interest; holding custodial (impound) funds for payment of property taxes and insurance premiums; counseling delinquent mortgagors; and supervising the acquisition of real estate owned and property dispositions. The Company initially accounts for MSRs at fair value and subsequently accounts for them using the amortization method. MSR amortization is determined by amortizing the MSR balance in proportion to, and over the period of the estimated future net servicing income of the underlying financial assets. The Company periodically assesses MSRs accounted for using the amortization method for impairment.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auto"/>
        </w:rPr>
        <w:t>Mortgage Allowance for Loan Losses and Loan Loss Reserve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provides for losses on its mortgage loans held for investment through an allowance for loan losses (a contra-asset account) and through the mortgage loan loss reserve (a liability account). The allowance for loan losses is an allowance for losses on the Company’s mortgage loans held for investment.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determining impairment, the Company establishes an individual impairment allowance based upon an assessment of the fair value of the underlying collateral. In addition, when a mortgage loan is past due more than 90 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The Company will rent the properties until it is deemed desirable to sell them.</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mortgage loan loss reserve is an estimate of probable losses at the balance sheet date that the Company will realize in the future on mortgage loans sold to third-party investors. The Company may be required to reimburse third-party investors for costs associated with early payoff of loans within six months of origination of such loans and to repurchase loans where there is a default in any of the first four monthly payments to the investors or, in lieu of repurchase, to pay a negotiated fee to the investors. The Company’s estimates are based upon historical loss experience and the best estimate of the probable loan loss liabilities.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completion of a transfer that satisfies the conditions to be accounted for as a sale, the Company initially measures at fair value liabilities incurred in a sale relating to any guarantee or recourse provisions in the event of defects in the representations and warranties made at loan sale. The Company accrues a monthly allowance for indemnification losses to investors based on total production. This estimate is based on the Company’s historical experience and is included as a component of mortgage fee income. Subsequent updates to the recorded liability from changes in assumptions are recorded in selling, general and administrative expenses. The estimated liability for indemnification losses is included in other liabilities and accrued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the allowance for loan losses and the loan loss reserve represent probable loan losses incurred as of the balance sheet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Tax Assets and Liabilities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require various estimates and judgments and may be affected favorably or unfavorably by various internal and external factors. These estimates and judgments occur in the calculation of certain deferred tax assets and liabilities that arise from temporary differences in the recognition of revenues and expenses for tax and financial reporting purposes and in estimating the ultimate amount of deferred tax assets recoverable in future periods. Factors affecting the deferred tax assets and liabilities include, but are not limited to, changes in tax laws, regulations and/or rates, changing interpretations of existing tax laws or regulations, and changes to overall levels of pre-tax earnings. Changes in these estimates, judgments or factors may result in an increase or decrease to the Company’s deferred tax assets and liabilities with a related increase or decrease in the Company’s provision for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Consolidated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Compared to 2021</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revenues decreased by $81,043,000, or 17.2%, to $389,652,000 for 2022 from $470,695,000 for the fiscal year 2021. Contributing to this decrease in total revenues was a $89,918,000 decrease in mortgage fee income and a $7,123,000 decrease in gains on investments and other assets and other than temporary impairments. This decrease in total revenues was offset by a $7,933,000 increase in net investment income, a $4,747,000 increase in insurance premiums and other considerations, a $2,997,000 increase in net cemetery and mortuary sales, a $281,000 increase in other revenues, and a $40,000 decrease in other than temporary impairments.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t>Mortgage fee income decreased by $89,918,000, or 34.1%, to $173,500,000 for 2022, from $263,418,000 for 2021. This decrease was primarily due to a $76,546,000 decrease in secondary gains from mortgage loans sold to third-party investors into the secondary market, a $13,258,000 decrease in loan fees and interest income, a $1,247,000 decrease in the fair value of loans held for sale and loan commitments. This decrease in mortgage fee income was partially offset by a $1,133,000 decrease in the provision for loan loss reserve.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premiums and other considerations increased by $4,747,000, or 4.7%, to $105,002,000 for 2022, from $100,255,000 for 2021. This increase was due to an increase of $2,253,000 in renewal premiums due to the growth of the Company in recent years, particularly in whole life products, which resulted in more premium paying policies in force and an increase of $2,494,000 in first year premiums as a result of increased final expense insurance sales.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investment income increased by $7,933,000, or 13.6%, to $66,198,000 for 2022, from $58,265,000 for 2021. This increase was primarily attributable to a $6,191,000 increase in mortgage loan interest, a $2,228,000 increase in rental income from real estate held for investment, a $1,626,000 increase in fixed maturity securities income, a $1,431,000 increase in interest on cash and cash equivalents, a $388,000 increase in income in other investments, and a $65,000 increase in equity securities income. This increase was partially offset by a $3,039,000 increase in investment expenses, a $949,000 decrease in insurance assignment income, and an $8,000 decrease in policy loan income.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mortuary and cemetery sales increased by $2,997,000, or 12.5%, to $26,994,000 for 2022, from $23,997,000 for 2021. This increase was primarily due to a $4,751,000 increase in mortuary at-need sales and a $311,000 increase in cemetery at-need sales. This increase was partially offset by a $2,065,000 decrease in cemetery pre-need sales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Gains on investments and other assets decreased by $7,123,000, or 113.7%, to $858,000 in losses for 2022, from $6,265,000 in gains for 2021. This decrease in gains on investments and other assets was primarily due to a $5,243,000 decrease in gains on equity securities mostly attributable to decreases in the fair value of these equity securities, a $1,197,000 decrease in gains on other assets mostly attributable to a decrease in gains recognized on the sale of mortgage loans held for investment, and a $683,000 decrease in gains on fixed maturity securities.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revenues increased by $282,000, or 1.5%, to $18,817,000 for 2022 from $18,535,000 for 2021. This increase was primarily attributable to an increase in servicing fee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benefits and expenses were $355,275,000, or 91.2% of total revenues for 2022, as compared to $418,895,000, or 89.0% of total revenues for 2021.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Death benefits, surrenders and other policy benefits, and future policy benefits decreased by an aggregate of $556,000, or 0.6%, to $92,926,000 for 2022, from $93,482,000 for 2021. This decrease was primarily the result of a $3,870,000 decrease in death benefits ($4,296,000 for COVID-19 related deaths). This decrease was partially offset by a $2,596,000 increase in future policy benefits and a $718,000 increase in surrender and other policy benefits.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 acquired increased by $1,807,000, or 11.2%, to $17,950,000 for 2022, from $16,143,000 for 2021. This increase was primarily due to an increase in the average outstanding balance of deferred policy and pre-need acquisition costs.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by $66,590,000, or 22.3%, to $231,848,000 for 2022, from $298,438,000 for 2021. This decrease was primarily the result of a $54,965,000 decrease in commissions, a $7,268,000 decrease in other expenses, a $3,002,000 decrease in costs related to funding mortgage loans, a $928,000 decrease in advertising expenses, a $629,000 decrease in personnel expenses, and a $359,000 decrease in rent and rent related expenses. This decrease was partially offset by a $561,000 increase in depreciation on property and equipment.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by $703,000, or 9.9%, to $7,830,000 for 2022, from $7,127,000 for 2021. This increase was primarily due to a $1,587,000 increase in interest expense on bank loans, which was partially offset by a decrease of $884,000 in interest expense on mortgage warehouse lines for loans held for sale.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and services sold of the cemeteries and mortuaries increased by $1,017,000, or 27.5%, to $4,721,000 for 2022, from $3,704,000 for 2021. This increase was primarily due to a $1,196,000 increase in mortuary at-need sales and a $77,000 increase in cemetery at-need sales, which was partially offset by a $256,000 decrease in cemetery pre-need sales.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Income tax expense decreased by $3,595,000, or 29.3%, to $8,687,000 for 2022, from $12,282,000 for 2021. This decrease was primarily due to a decrease in earnings before income taxes for 2022 compared to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material risks facing the Company and how it mitigates those risks: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Legal and Regulatory Risks</w:t>
      </w:r>
      <w:r>
        <w:rPr>
          <w:rFonts w:ascii="Times New Roman" w:cs="Times New Roman" w:eastAsia="Times New Roman" w:hAnsi="Times New Roman"/>
          <w:sz w:val="18"/>
          <w:szCs w:val="18"/>
          <w:color w:val="auto"/>
        </w:rPr>
        <w:t>. Changes in the legal or regulatory environment in which the Company operates may create additional expenses and risks not anticipated by the Company in developing and pricing its products. Regulatory initiatives designed to reduce insurer profits, new legal theories or insurance company insolvencies through guaranty fund assessments may create costs for the insurer beyond those recorded in the consolidated financial statements. In addition, changes in tax law with respect to mortgage interest deductions or other public policy or legislative changes may affect the Company’s mortgage sales. Also, the Company may be subject to further regulations in the cemetery and mortuary business. The Company aims to mitigate these risks by offering a wide range of products and by diversifying its operations, thus reducing its exposure to any single product or jurisdiction, and also by employing underwriting practices that identify and minimize the adverse impact of such risks.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Mortgage Industry Risks</w:t>
      </w:r>
      <w:r>
        <w:rPr>
          <w:rFonts w:ascii="Times New Roman" w:cs="Times New Roman" w:eastAsia="Times New Roman" w:hAnsi="Times New Roman"/>
          <w:sz w:val="18"/>
          <w:szCs w:val="18"/>
          <w:color w:val="auto"/>
        </w:rPr>
        <w:t>. Developments in the mortgage industry and credit markets can adversely affect the Company’s ability to sell its mortgage loans to investors, which can impact the Company’s financial results by requiring it to assume the risk of holding and servicing any unsold loans.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mortgage loan loss reserve is an estimate of probable losses at the balance sheet date that the Company could realize in the future on mortgage loans sold to third-party investors. The Company’s mortgage subsidiary may be required to reimburse third-party investors for costs associated with early payoff of loans within the first six months of such loans and to repurchase loans where there is a default in any of the first four monthly payments to the investors or, in lieu of repurchase, to pay a negotiated fee to the investors. The Company’s estimates are based upon historical loss experience and the best estimate of the probable loan loss liabilities.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twelve months ended December 31, 2022 and 2021 the Company increased its loan loss reserve by $1,079,000 and $2,211,000, respectively, for loan originations, and the charges have been included in mortgage fee income. The estimated liability for indemnification losses is included in other liabilities and accrued expenses and, as of December 31, 2022 and 2021, the balances were $1,726,000 and $2,447,000, respectively. The Company believes the loan loss reserve represents probable loan losses incurred as of December 31, 2022. There is a risk, however, that future loan losses may exceed the loan loss reserve.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2022, the Company’s mortgage loans held for investment portfolio consisted of mortgage loans in an aggregate principal amount of $2,567,000 with delinquencies exceeding 90 days. Of this amount, loans with an aggregate principal amount of $1,281,000 were in foreclosure proceedings. The Company has not received or recognized any interest income on the $2,567,000 in mortgage loans with delinquencies exceeding 90 days. During the twelve months ended December 31, 2022 and 2021, the Company increased its allowance for loan losses by $270,000 and by $305,000, respectively, which was charged to bad debt expense and included in selling, general and administrative expenses for the period. The allowances for loan losses on the Company’s held for investment portfolio as of December 31, 2022 and 2021 were $1,970,000 and $1,700,000, respectively.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Interest Rate Risk</w:t>
      </w:r>
      <w:r>
        <w:rPr>
          <w:rFonts w:ascii="Times New Roman" w:cs="Times New Roman" w:eastAsia="Times New Roman" w:hAnsi="Times New Roman"/>
          <w:sz w:val="18"/>
          <w:szCs w:val="18"/>
          <w:color w:val="auto"/>
        </w:rPr>
        <w:t>. Fluctuations in interest rates may cause a decrease in the value of the Company’s investments or impair the ability of the Company to market its mortgage and cemetery and mortuary products. This change in rates may cause certain interest-sensitive products to become uncompetitive or may cause disintermediation. The Company aims to mitigate this risk by charging fees for non-conformance with certain policy provisions, by offering products that transfer this risk to the purchaser, and by attempting to match the maturity schedule of its assets with the expected payouts of its liabilities. To the extent that liabilities come due more quickly than assets mature, the Company might have to borrow funds or sell assets prior to maturity and potentially recognize a loss on the sale.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Mortality and Morbidity Risks</w:t>
      </w:r>
      <w:r>
        <w:rPr>
          <w:rFonts w:ascii="Times New Roman" w:cs="Times New Roman" w:eastAsia="Times New Roman" w:hAnsi="Times New Roman"/>
          <w:sz w:val="18"/>
          <w:szCs w:val="18"/>
          <w:color w:val="auto"/>
        </w:rPr>
        <w:t>. The Company’s actuarial assumptions differing from actual mortality and morbidity experienced may mean that the Company’s relevant products sold were underpriced, may require the Company to liquidate insurance or other claims earlier than planned, and have other potentially adverse consequences to the business. The Company aims to minimize this risk through sound underwriting practices, asset and liability duration matching, and sound actuarial practices.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Like most businesses, COVID-19 has impacted the Company, including the temporary adoption of work-from-home arrangements for employees and a restructuring of selling techniques for its products and services. Throughout 2021 and 2022, the Company continued to adapt to the impact of COVID-19 and its related economic effects. The Company experienced, like all life insurance companies, higher than expected death rates during the pandemic. Death rates in 2022 declined over 2021 and 2020, but remain higher than pre-COVID-19 levels.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Banking Environment</w:t>
      </w:r>
      <w:r>
        <w:rPr>
          <w:rFonts w:ascii="Times New Roman" w:cs="Times New Roman" w:eastAsia="Times New Roman" w:hAnsi="Times New Roman"/>
          <w:sz w:val="18"/>
          <w:szCs w:val="18"/>
          <w:color w:val="auto"/>
        </w:rPr>
        <w:t>. Item 7.01 Regulation FD Disclosure.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Silicon Valley Bank was placed in receivership with the Federal Deposit Insurance Corporation (“ FDIC “). On March 12, 2023, the FDIC announced that depositors of Silicon Valley Bank will have access to all of their funds starting Monday, March 13, 2023. On March 12, 2023, Signature Bank was placed in receivership with the FDIC. On March 12, 2023, the FDIC announced that banking activities will resume on Monday, March 13,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maintain any deposit or other accounts or credit facilities with Silicon Valley Bank or Signature Bank, or their successors. The Company holds one bond with a par value of $250,000 in the Company’s debt portfolio and is junior in priority to a debt investment of Silicon Valley Bank or its successors. The Company continues to monitor the banking industry.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Item 7.01 shall not be deemed “filed” for purposes of Section 18 of the Securities Exchange Act of 1934, as amended, and shall not be deemed incorporated by reference into any filing under the Securities Act of 1933, as amended, except as shall be expressly set forth by specific reference in such filing.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Estimates</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 affect the amounts reported in the consolidated financial statements and accompanying notes. Actual results could differ from those estimates.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those used in determining the liability for future policy benefits and unearned revenue; those used in determining the estimated future costs for pre-need sales; those used in determining the value of mortgage servicing rights; 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sale or maturity of investments. The mortgage subsidiaries realize cash flow from fees generated by originating and refinancing mortgage loans and fees on mortgage loans held for sale that are sold to investors into the secondary market. It should be noted that current conditions in the financial markets and economy caused by COVID-19 may affect the realization of these expected cash flows.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debt service, and to meet current operating expenses.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twelve months ended December 31, 2022 and 2021, the Company’s operations provided cash of $130,450,000 and of $144,638,000, respectively. The decrease in cash provided by operations was due primarily to decreased proceeds from the sale of loans held for sale.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liability for future policy benefits is expected to be paid out over the long-term due to the Company’s market niche of selling funeral plans. Funeral plans are small face value life insurance policies that payout upon a person’s death to cover funeral burial costs. Policyholders generally keep these policies in force and do not surrender them prior to death. Because of the long-term nature of these liabilities, the Company is able to hold to maturity its bonds, real estate, and mortgage loans thus reducing the risk of liquidating these long-term investments as a result of any sudden changes in their fair values.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attempts to match the duration of invested assets with its policyholder and cemetery and mortuary liabilities. The Company may sell investments other than those held to maturity in the portfolio to help in this timing matching. The Company purchases short-term investments on a temporary basis to meet the expectations of short-term requirements of the Company’s products. The Company’s investment philosophy is intended to provide a rate of return, which will persist during the expected duration of policyholder and cemetery and mortuary liabilities regardless of future interest rate movements.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investment policy is also to invest predominantly in fixed maturity securities, real estate, mortgage loans, and warehousing of mortgage loans held for sale on a short-term basis before selling the loans to investors in accordance with the requirements and laws governing the life insurance subsidiaries. Bonds owned by the insurance subsidiaries amounted to $345,598,000 (at estimated fair value) and $259,005,000 (at estimated fair value) as of December 31, 2022 and 2021, respectively. This represented 36.4% and 31.5% of the total investments as of December 31, 2022, and 2021, respectively. Generally, all bonds owned by the life insurance subsidiaries are rated by the National Association of Insurance Commissioners. Under this rating system, there are six categories used for rating bonds. At December 31, 2022, 2.2% (or $7,833,000) and at December 31, 2021, 3.9% (or $9,991,000) of the Company’s total bond investments were invested in bonds in rating categories three through six, which are considered non-investment grade.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of the Notes to Consolidated Financial Statements for the schedule of the maturity of fixed maturity securities available for sale and for the schedule of principal payments for mortgage loans held for investment.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of the Notes to Consolidated Financial Statements for a description of the Company’s sources of liquidity.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market conditions were to cause interest rates to change, the fair value of the Company’s fixed income portfolio (of approximately $653,982,000), which includes bonds, preferred stocks and mortgage loans held for investment, could change by the following amounts based on the respective basis point swing (the change in the fair values were calculated using a modeling technique):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-200 bps</w:t>
            </w:r>
          </w:p>
        </w:tc>
        <w:tc>
          <w:tcPr>
            <w:tcW w:w="260" w:type="dxa"/>
            <w:vAlign w:val="bottom"/>
          </w:tcPr>
          <w:p>
            <w:pPr>
              <w:spacing w:after="0"/>
              <w:rPr>
                <w:sz w:val="20"/>
                <w:szCs w:val="20"/>
                <w:color w:val="auto"/>
              </w:rPr>
            </w:pPr>
          </w:p>
        </w:tc>
        <w:tc>
          <w:tcPr>
            <w:tcW w:w="15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-100 bps</w:t>
            </w:r>
          </w:p>
        </w:tc>
        <w:tc>
          <w:tcPr>
            <w:tcW w:w="24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+100 bps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+200 bps</w:t>
            </w:r>
          </w:p>
        </w:tc>
      </w:tr>
      <w:tr>
        <w:trPr>
          <w:trHeight w:val="178"/>
        </w:trPr>
        <w:tc>
          <w:tcPr>
            <w:tcW w:w="29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Change in Fair Value</w:t>
            </w:r>
          </w:p>
        </w:tc>
        <w:tc>
          <w:tcPr>
            <w:tcW w:w="13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60,877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29,720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(32,592)</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(63,748)</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risk-based capital guidelines established by statutory regulators requiring minimum capital levels based on the perceived risk of assets, liabilities, disintermediation, and business risk. At December 31, 2022 and 2021, the life insurance subsidiaries were in compliance with the regulatory criteria.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total capitalization of stockholders’ equity, and bank loans and other loans payable was $454,499,000 as of December 31, 2022, as compared to $551,054,000 as of December 31, 2021. Stockholders’ equity as a percent of total capitalization was 64.4% and 54.4% as of December 31, 2022 and December 31, 2021, respectively. Bank loans and other loans payable decreased by $89,574,000 for the twelve months ended December 31, 2022 as compared to December 31, 2021, and stockholders’ equity decreased by $6,981,000 for the twelve months ended December 31, 2022 as compared to December 31, 2021, thus causing the increase in the stockholders’ equity percentage.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Lapse rates measure the amount of insurance terminated during a particular period. The Company’s lapse rate for life insurance was 4.3% in 2022 as compared to a rate of 4.8% for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statutory capital and surplus of the Company’s life insurance subsidiaries was $94,254,000 and $82,823,000 as of December 31, 2022 and 2021, respectively. The life insurance subsidiaries cannot pay a dividend to their parent company without the approval of state insurance regulatory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to encourage companies to provide prospective information about their businesses without fear of litigation so long as those statements are identified as forward-looking and are accompanied by meaningful cautionary statements identifying important factors that could cause actual results to differ materially from those projected in such statements. The Company desires to take advantage of the “safe harbor” provisions of the act.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together with related data and projections, about the Company’s projected financial results and its future plans and strategies. However, actual results and needs of the Company may vary materially from forward-looking statements and projections made from time to time by the Company on the basis of management’s then-current expectations. The business in which the Company is engaged involves changing and competitive markets, which may involve a high degree of risk, and there can be no assurance that forward-looking statements and projections will prove accurate.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Factors that may cause the Company’s actual results to differ materially from those contemplated or projected, forecast, estimated or budgeted in such forward looking statements include among others, the following possibilities: (i) heightened competition, including the intensification of price competition, the entry of new competitors, and the introduction of new products by new and existing competitors; (ii) adverse state and federal legislation or regulation, including decreases in rates, limitations on premium levels, increases in minimum capital and reserve requirements, benefit mandates and tax treatment of insurance products; (iii) fluctuations in interest rates causing a reduction of investment income or increase in interest expense and in the market value of interest rate sensitive investment; (iv) failure to obtain new customers, retain existing customers or reductions in policies in force by existing customers; (v) higher service, administrative, or general expenses due to the need for additional advertising, marketing, administrative or management information systems expenditures; (vi) loss or retirement of key executives or employees; (vii) increases in medical costs; (viii) changes in the Company’s liquidity due to changes in asset and liability matching; (ix) restrictions on insurance underwriting based on genetic testing and other criteria; (x) adverse changes in the ratings obtained by independent rating agencies; (xi) failure to maintain adequate reinsurance; (xii) possible claims relating to sales practices for insurance products and claim denials; (xiii) adverse trends in mortality and morbidity; (xiv) deterioration of real estate markets; and (xv) lawsuits in the ordinary course of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commitments to fund construction and land development loans and has also provided financing for land acquisition and development. As of December 31, 2022, the Company’s commitments were approximately $231,250,000 for these loans, of which $175,754,000 had been funded. The Company advances funds once the work has been completed and an inspection is made. The maximum loan commitment ranges between 50% and 80% of appraised value. The Company receives fees and interest for these loans and the interest rate is generally fixed 5.25% to 8.50% per annum. Maturities generally range between six and eighteen months.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the Company’s operations, the Company enters into certain contractual obligations. Such obligations include operating leases for office space, agreements with respect to borrowed funds and future policy benefits. See Notes 7, 22, 24 of the Notes to Consolidated Financial Statements for more information about these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Casualty Insurance Program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conjunction with the Company’s casualty insurance program, limited equity interests are held in a captive insurance entity. This program permits the Company to self-insure a portion of losses, to gain access to a wide array of safety-related services, to pool insurance risks and resources in order to obtain more competitive pricing for administration and reinsurance and to limit its risk of loss in any particular year. The maximum exposure to loss related to the Company’s involvement with this entity is limited to approximately $443,758, which is collateralized under a standby letter of credit issued on the insurance entity’s behalf. See Note 10, “Reinsurance, Commitments and Contingencies,” for additional discussion of commitments associated with the insurance program. The Company does not expect any material losses to result from the issuance of the standby letter of credit because claims are not expected to exceed premiums paid.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104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760" w:type="dxa"/>
            <w:vAlign w:val="bottom"/>
          </w:tcPr>
          <w:p>
            <w:pPr>
              <w:spacing w:after="0"/>
              <w:rPr>
                <w:sz w:val="20"/>
                <w:szCs w:val="20"/>
                <w:color w:val="auto"/>
              </w:rPr>
            </w:pPr>
          </w:p>
        </w:tc>
      </w:tr>
      <w:tr>
        <w:trPr>
          <w:trHeight w:val="432"/>
        </w:trPr>
        <w:tc>
          <w:tcPr>
            <w:tcW w:w="104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INDEX TO CONSOLIDATED FINANCIAL STATEMENTS</w:t>
            </w:r>
          </w:p>
        </w:tc>
        <w:tc>
          <w:tcPr>
            <w:tcW w:w="760" w:type="dxa"/>
            <w:vAlign w:val="bottom"/>
          </w:tcPr>
          <w:p>
            <w:pPr>
              <w:spacing w:after="0"/>
              <w:rPr>
                <w:sz w:val="24"/>
                <w:szCs w:val="24"/>
                <w:color w:val="auto"/>
              </w:rPr>
            </w:pPr>
          </w:p>
        </w:tc>
      </w:tr>
      <w:tr>
        <w:trPr>
          <w:trHeight w:val="446"/>
        </w:trPr>
        <w:tc>
          <w:tcPr>
            <w:tcW w:w="180" w:type="dxa"/>
            <w:vAlign w:val="bottom"/>
            <w:tcBorders>
              <w:bottom w:val="single" w:sz="8" w:color="CCEEFF"/>
            </w:tcBorders>
          </w:tcPr>
          <w:p>
            <w:pPr>
              <w:spacing w:after="0"/>
              <w:rPr>
                <w:sz w:val="24"/>
                <w:szCs w:val="24"/>
                <w:color w:val="auto"/>
              </w:rPr>
            </w:pPr>
          </w:p>
        </w:tc>
        <w:tc>
          <w:tcPr>
            <w:tcW w:w="31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9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Page No.</w:t>
            </w:r>
          </w:p>
        </w:tc>
      </w:tr>
      <w:tr>
        <w:trPr>
          <w:trHeight w:val="209"/>
        </w:trPr>
        <w:tc>
          <w:tcPr>
            <w:tcW w:w="1048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760" w:type="dxa"/>
            <w:vAlign w:val="bottom"/>
            <w:shd w:val="clear" w:color="auto" w:fill="CCEEFF"/>
          </w:tcPr>
          <w:p>
            <w:pPr>
              <w:spacing w:after="0"/>
              <w:rPr>
                <w:sz w:val="18"/>
                <w:szCs w:val="18"/>
                <w:color w:val="auto"/>
              </w:rPr>
            </w:pPr>
          </w:p>
        </w:tc>
      </w:tr>
      <w:tr>
        <w:trPr>
          <w:trHeight w:val="176"/>
        </w:trPr>
        <w:tc>
          <w:tcPr>
            <w:tcW w:w="180" w:type="dxa"/>
            <w:vAlign w:val="bottom"/>
          </w:tcPr>
          <w:p>
            <w:pPr>
              <w:spacing w:after="0"/>
              <w:rPr>
                <w:sz w:val="15"/>
                <w:szCs w:val="15"/>
                <w:color w:val="auto"/>
              </w:rPr>
            </w:pPr>
          </w:p>
        </w:tc>
        <w:tc>
          <w:tcPr>
            <w:tcW w:w="103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180" w:type="dxa"/>
            <w:vAlign w:val="bottom"/>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03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December 31, 2022 and 2021</w:t>
            </w:r>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103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Earnings for the Years Ended December 31, 2022 and 2021</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180" w:type="dxa"/>
            <w:vAlign w:val="bottom"/>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3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 for the Years Ended December 31, 2022 and 2021</w:t>
            </w:r>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175"/>
        </w:trPr>
        <w:tc>
          <w:tcPr>
            <w:tcW w:w="180" w:type="dxa"/>
            <w:vAlign w:val="bottom"/>
            <w:tcBorders>
              <w:top w:val="single" w:sz="8" w:color="CCEEFF"/>
            </w:tcBorders>
          </w:tcPr>
          <w:p>
            <w:pPr>
              <w:spacing w:after="0"/>
              <w:rPr>
                <w:sz w:val="15"/>
                <w:szCs w:val="15"/>
                <w:color w:val="auto"/>
              </w:rPr>
            </w:pPr>
          </w:p>
        </w:tc>
        <w:tc>
          <w:tcPr>
            <w:tcW w:w="738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2022 and 2021</w:t>
            </w:r>
          </w:p>
        </w:tc>
        <w:tc>
          <w:tcPr>
            <w:tcW w:w="292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180" w:type="dxa"/>
            <w:vAlign w:val="bottom"/>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65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2022 and 2021</w:t>
            </w:r>
          </w:p>
        </w:tc>
        <w:tc>
          <w:tcPr>
            <w:tcW w:w="3780" w:type="dxa"/>
            <w:vAlign w:val="bottom"/>
            <w:tcBorders>
              <w:bottom w:val="single" w:sz="8" w:color="CCEEFF"/>
            </w:tcBorders>
            <w:gridSpan w:val="3"/>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176"/>
        </w:trPr>
        <w:tc>
          <w:tcPr>
            <w:tcW w:w="180" w:type="dxa"/>
            <w:vAlign w:val="bottom"/>
          </w:tcPr>
          <w:p>
            <w:pPr>
              <w:spacing w:after="0"/>
              <w:rPr>
                <w:sz w:val="15"/>
                <w:szCs w:val="15"/>
                <w:color w:val="auto"/>
              </w:rPr>
            </w:pPr>
          </w:p>
        </w:tc>
        <w:tc>
          <w:tcPr>
            <w:tcW w:w="316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7140" w:type="dxa"/>
            <w:vAlign w:val="bottom"/>
            <w:gridSpan w:val="7"/>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459"/>
        </w:trPr>
        <w:tc>
          <w:tcPr>
            <w:tcW w:w="650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5" w:name="page36"/>
    <w:bookmarkEnd w:id="35"/>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Security National Financial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Security National Financial Corporation and subsidiaries (the “Company”) as of December 31, 2022 and 2021, the related consolidated statements of earnings, comprehensive income, stockholders’ equity, and cash flows for each of the years then ended, and the related notes and the schedules listed in the Index at Item 15 (collectively referred to as the “financial statements”). In our opinion, the financial statements present fairly, in all material respects, the financial position of the Company as of December 31, 2022 and 2021, and the results of its operations and its cash flows for each of the years then ended,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Future Policy Benefits and Amortization of Deferred Policy Acquisition Costs for Insurance Contracts and Value of Business Acquired - Refer to Notes 1 and 22 to the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 Description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sets assumptions in (1) estimating a liability for policy benefit payments that will be made in the future (future policy benefits) and (2) determining amortization of deferred policy acquisition costs for insurance contracts and value of business acquired. The most significant assumptions include mortality, lapse, and projected investment yield. Assumptions are determined based upon analysis of Company specific experience, industry standards, adjusted for changes in exposure and other relevant factors. Given the inherent uncertainty of these significant assumptions, auditing the development of such assumptions involved especially subjective judgment.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How the Critical Audit Matter Was Addressed in the Audit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management’s judgments regarding the assumptions used in the development of future policy benefits and the amortization of deferred policy acquisition costs for insurance contracts and value of business acquired, included the following, among others:</w:t>
      </w:r>
    </w:p>
    <w:p>
      <w:pPr>
        <w:spacing w:after="0" w:line="162" w:lineRule="exact"/>
        <w:rPr>
          <w:sz w:val="20"/>
          <w:szCs w:val="20"/>
          <w:color w:val="auto"/>
        </w:rPr>
      </w:pPr>
    </w:p>
    <w:p>
      <w:pPr>
        <w:ind w:firstLine="8"/>
        <w:spacing w:after="0" w:line="282" w:lineRule="auto"/>
        <w:tabs>
          <w:tab w:leader="none" w:pos="2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implementation of controls over the assumption development process, the valuation of future policy benefits, and the amortization of deferred policy acquisition costs for insurance contracts and value of business acquired.</w:t>
      </w:r>
    </w:p>
    <w:p>
      <w:pPr>
        <w:spacing w:after="0" w:line="16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actuarial specialists, we: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management’s selected actuarial assumptions, including testing the accuracy and completeness of the supporting experience studies,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management’s judgments regarding the assumptions used in the development of future policy benefits and the amortization of deferred policy acquisition costs and value of business acquired,</w:t>
      </w: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results of the Company’s annual premium deficiency tests.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cost of $362,750,511 and $236,303,310 for 2022 and 2021)</w:t>
            </w:r>
          </w:p>
        </w:tc>
        <w:tc>
          <w:tcPr>
            <w:tcW w:w="6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345,858,492</w:t>
            </w:r>
          </w:p>
        </w:tc>
        <w:tc>
          <w:tcPr>
            <w:tcW w:w="560" w:type="dxa"/>
            <w:vAlign w:val="bottom"/>
            <w:gridSpan w:val="2"/>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259,287,603</w:t>
            </w:r>
          </w:p>
        </w:tc>
        <w:tc>
          <w:tcPr>
            <w:tcW w:w="80" w:type="dxa"/>
            <w:vAlign w:val="bottom"/>
            <w:shd w:val="clear" w:color="auto" w:fill="CCEEFF"/>
          </w:tcPr>
          <w:p>
            <w:pPr>
              <w:spacing w:after="0"/>
              <w:rPr>
                <w:sz w:val="20"/>
                <w:szCs w:val="20"/>
                <w:color w:val="auto"/>
              </w:rPr>
            </w:pPr>
          </w:p>
        </w:tc>
      </w:tr>
      <w:tr>
        <w:trPr>
          <w:trHeight w:val="198"/>
        </w:trPr>
        <w:tc>
          <w:tcPr>
            <w:tcW w:w="6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securities at estimated fair value (cost of $9,942,265 and</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$8,275,772 for 2022 and 2021)</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11,682,526</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11,596,414</w:t>
            </w:r>
          </w:p>
        </w:tc>
        <w:tc>
          <w:tcPr>
            <w:tcW w:w="80" w:type="dxa"/>
            <w:vAlign w:val="bottom"/>
          </w:tcPr>
          <w:p>
            <w:pPr>
              <w:spacing w:after="0"/>
              <w:rPr>
                <w:sz w:val="20"/>
                <w:szCs w:val="20"/>
                <w:color w:val="auto"/>
              </w:rPr>
            </w:pPr>
          </w:p>
        </w:tc>
      </w:tr>
      <w:tr>
        <w:trPr>
          <w:trHeight w:val="198"/>
        </w:trPr>
        <w:tc>
          <w:tcPr>
            <w:tcW w:w="6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(net of allowances for loan losses</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$1,970,311 and $1,699,902 for 2022 and 2021)</w:t>
            </w: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308,123,927</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277,306,046</w:t>
            </w:r>
          </w:p>
        </w:tc>
        <w:tc>
          <w:tcPr>
            <w:tcW w:w="80" w:type="dxa"/>
            <w:vAlign w:val="bottom"/>
            <w:shd w:val="clear" w:color="auto" w:fill="CCEEFF"/>
          </w:tcPr>
          <w:p>
            <w:pPr>
              <w:spacing w:after="0"/>
              <w:rPr>
                <w:sz w:val="20"/>
                <w:szCs w:val="20"/>
                <w:color w:val="auto"/>
              </w:rPr>
            </w:pPr>
          </w:p>
        </w:tc>
      </w:tr>
      <w:tr>
        <w:trPr>
          <w:trHeight w:val="198"/>
        </w:trPr>
        <w:tc>
          <w:tcPr>
            <w:tcW w:w="6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(net of accumulated depreciation</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of $23,793,204 and $17,692,038 for 2022 and 2021)</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191,328,616</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197,365,797</w:t>
            </w:r>
          </w:p>
        </w:tc>
        <w:tc>
          <w:tcPr>
            <w:tcW w:w="80" w:type="dxa"/>
            <w:vAlign w:val="bottom"/>
          </w:tcPr>
          <w:p>
            <w:pPr>
              <w:spacing w:after="0"/>
              <w:rPr>
                <w:sz w:val="20"/>
                <w:szCs w:val="20"/>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11,161,582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3,731,300</w:t>
            </w:r>
          </w:p>
        </w:tc>
        <w:tc>
          <w:tcPr>
            <w:tcW w:w="80" w:type="dxa"/>
            <w:vAlign w:val="bottom"/>
            <w:shd w:val="clear" w:color="auto" w:fill="CCEEFF"/>
          </w:tcPr>
          <w:p>
            <w:pPr>
              <w:spacing w:after="0"/>
              <w:rPr>
                <w:sz w:val="18"/>
                <w:szCs w:val="18"/>
                <w:color w:val="auto"/>
              </w:rPr>
            </w:pPr>
          </w:p>
        </w:tc>
      </w:tr>
      <w:tr>
        <w:trPr>
          <w:trHeight w:val="198"/>
        </w:trPr>
        <w:tc>
          <w:tcPr>
            <w:tcW w:w="6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investments and policy loans (net of allowances for doubtful</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accounts of $1,609,951 and $1,686,218 for 2022 and 2021)</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70,508,156</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67,955,155</w:t>
            </w:r>
          </w:p>
        </w:tc>
        <w:tc>
          <w:tcPr>
            <w:tcW w:w="80" w:type="dxa"/>
            <w:vAlign w:val="bottom"/>
          </w:tcPr>
          <w:p>
            <w:pPr>
              <w:spacing w:after="0"/>
              <w:rPr>
                <w:sz w:val="20"/>
                <w:szCs w:val="20"/>
                <w:color w:val="auto"/>
              </w:rPr>
            </w:pPr>
          </w:p>
        </w:tc>
      </w:tr>
      <w:tr>
        <w:trPr>
          <w:trHeight w:val="22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10,299,826</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6,313,012</w:t>
            </w:r>
          </w:p>
        </w:tc>
        <w:tc>
          <w:tcPr>
            <w:tcW w:w="80" w:type="dxa"/>
            <w:vAlign w:val="bottom"/>
            <w:shd w:val="clear" w:color="auto" w:fill="CCEEFF"/>
          </w:tcPr>
          <w:p>
            <w:pPr>
              <w:spacing w:after="0"/>
              <w:rPr>
                <w:sz w:val="19"/>
                <w:szCs w:val="19"/>
                <w:color w:val="auto"/>
              </w:rPr>
            </w:pPr>
          </w:p>
        </w:tc>
      </w:tr>
      <w:tr>
        <w:trPr>
          <w:trHeight w:val="210"/>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948,963,125</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823,555,327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120,919,805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131,354,470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 at estimated fair value</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141,179,620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302,776,827</w:t>
            </w:r>
          </w:p>
        </w:tc>
        <w:tc>
          <w:tcPr>
            <w:tcW w:w="80" w:type="dxa"/>
            <w:vAlign w:val="bottom"/>
          </w:tcPr>
          <w:p>
            <w:pPr>
              <w:spacing w:after="0"/>
              <w:rPr>
                <w:sz w:val="18"/>
                <w:szCs w:val="18"/>
                <w:color w:val="auto"/>
              </w:rPr>
            </w:pPr>
          </w:p>
        </w:tc>
      </w:tr>
      <w:tr>
        <w:trPr>
          <w:trHeight w:val="198"/>
        </w:trPr>
        <w:tc>
          <w:tcPr>
            <w:tcW w:w="6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Receivables (net of allowances for doubtful accounts of $2,229,791 and</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$1,800,725 for 2022 and 2021)</w:t>
            </w: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28,573,092</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18,316,116</w:t>
            </w:r>
          </w:p>
        </w:tc>
        <w:tc>
          <w:tcPr>
            <w:tcW w:w="80" w:type="dxa"/>
            <w:vAlign w:val="bottom"/>
            <w:shd w:val="clear" w:color="auto" w:fill="CCEEFF"/>
          </w:tcPr>
          <w:p>
            <w:pPr>
              <w:spacing w:after="0"/>
              <w:rPr>
                <w:sz w:val="20"/>
                <w:szCs w:val="20"/>
                <w:color w:val="auto"/>
              </w:rPr>
            </w:pPr>
          </w:p>
        </w:tc>
      </w:tr>
      <w:tr>
        <w:trPr>
          <w:trHeight w:val="198"/>
        </w:trPr>
        <w:tc>
          <w:tcPr>
            <w:tcW w:w="6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assets (including $6,565,552 and $5,205,510 for 2022 and 2021</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at estimated fair value)</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18,935,055</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16,938,122</w:t>
            </w:r>
          </w:p>
        </w:tc>
        <w:tc>
          <w:tcPr>
            <w:tcW w:w="80" w:type="dxa"/>
            <w:vAlign w:val="bottom"/>
          </w:tcPr>
          <w:p>
            <w:pPr>
              <w:spacing w:after="0"/>
              <w:rPr>
                <w:sz w:val="20"/>
                <w:szCs w:val="20"/>
                <w:color w:val="auto"/>
              </w:rPr>
            </w:pPr>
          </w:p>
        </w:tc>
      </w:tr>
      <w:tr>
        <w:trPr>
          <w:trHeight w:val="198"/>
        </w:trPr>
        <w:tc>
          <w:tcPr>
            <w:tcW w:w="6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Cemetery perpetual care trust investments (including $3,859,893 and $4,087,245 for 2022</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2021 at estimated fair value)</w:t>
            </w: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7,276,210</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7,835,721</w:t>
            </w:r>
          </w:p>
        </w:tc>
        <w:tc>
          <w:tcPr>
            <w:tcW w:w="80" w:type="dxa"/>
            <w:vAlign w:val="bottom"/>
            <w:shd w:val="clear" w:color="auto" w:fill="CCEEFF"/>
          </w:tcPr>
          <w:p>
            <w:pPr>
              <w:spacing w:after="0"/>
              <w:rPr>
                <w:sz w:val="20"/>
                <w:szCs w:val="20"/>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reinsurers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15,033,938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14,850,608</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land and improvements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9,101,474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8,977,877</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Deferred policy and pre-need contract acquisition costs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108,655,128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105,049,983</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3,039,765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53,060,455</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20,579,649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21,517,598</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9,803,736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8,421,432</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5,253,783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5,253,783</w:t>
            </w:r>
          </w:p>
        </w:tc>
        <w:tc>
          <w:tcPr>
            <w:tcW w:w="80" w:type="dxa"/>
            <w:vAlign w:val="bottom"/>
          </w:tcPr>
          <w:p>
            <w:pPr>
              <w:spacing w:after="0"/>
              <w:rPr>
                <w:sz w:val="18"/>
                <w:szCs w:val="18"/>
                <w:color w:val="auto"/>
              </w:rPr>
            </w:pPr>
          </w:p>
        </w:tc>
      </w:tr>
      <w:tr>
        <w:trPr>
          <w:trHeight w:val="23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23,798,512</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29,684,987</w:t>
            </w:r>
          </w:p>
        </w:tc>
        <w:tc>
          <w:tcPr>
            <w:tcW w:w="80" w:type="dxa"/>
            <w:vAlign w:val="bottom"/>
            <w:shd w:val="clear" w:color="auto" w:fill="CCEEFF"/>
          </w:tcPr>
          <w:p>
            <w:pPr>
              <w:spacing w:after="0"/>
              <w:rPr>
                <w:sz w:val="19"/>
                <w:szCs w:val="19"/>
                <w:color w:val="auto"/>
              </w:rPr>
            </w:pP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1,461,112,892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1,547,593,306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 (Continued)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2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policy benefits and unpaid claims</w:t>
            </w:r>
          </w:p>
        </w:tc>
        <w:tc>
          <w:tcPr>
            <w:tcW w:w="11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889,327,303</w:t>
            </w:r>
          </w:p>
        </w:tc>
        <w:tc>
          <w:tcPr>
            <w:tcW w:w="560" w:type="dxa"/>
            <w:vAlign w:val="bottom"/>
            <w:gridSpan w:val="2"/>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863,274,693</w:t>
            </w:r>
          </w:p>
        </w:tc>
        <w:tc>
          <w:tcPr>
            <w:tcW w:w="8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Unearned premium reserve</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2,773,616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3,060,738</w:t>
            </w:r>
          </w:p>
        </w:tc>
        <w:tc>
          <w:tcPr>
            <w:tcW w:w="8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161,712,804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251,286,927</w:t>
            </w:r>
          </w:p>
        </w:tc>
        <w:tc>
          <w:tcPr>
            <w:tcW w:w="8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Deferred pre-need cemetery and mortuary contract revenues</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16,226,836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14,508,022</w:t>
            </w:r>
          </w:p>
        </w:tc>
        <w:tc>
          <w:tcPr>
            <w:tcW w:w="8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5,099,542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4,915,285</w:t>
            </w:r>
          </w:p>
        </w:tc>
        <w:tc>
          <w:tcPr>
            <w:tcW w:w="8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5,361,449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10,166,573</w:t>
            </w:r>
          </w:p>
        </w:tc>
        <w:tc>
          <w:tcPr>
            <w:tcW w:w="8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57,113,888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69,578,138</w:t>
            </w:r>
          </w:p>
        </w:tc>
        <w:tc>
          <w:tcPr>
            <w:tcW w:w="80" w:type="dxa"/>
            <w:vAlign w:val="bottom"/>
            <w:shd w:val="clear" w:color="auto" w:fill="CCEEFF"/>
          </w:tcPr>
          <w:p>
            <w:pPr>
              <w:spacing w:after="0"/>
              <w:rPr>
                <w:sz w:val="18"/>
                <w:szCs w:val="18"/>
                <w:color w:val="auto"/>
              </w:rPr>
            </w:pP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30,710,527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31,036,096</w:t>
            </w:r>
          </w:p>
        </w:tc>
        <w:tc>
          <w:tcPr>
            <w:tcW w:w="80" w:type="dxa"/>
            <w:vAlign w:val="bottom"/>
          </w:tcPr>
          <w:p>
            <w:pPr>
              <w:spacing w:after="0"/>
              <w:rPr>
                <w:sz w:val="19"/>
                <w:szCs w:val="19"/>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7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1,168,325,965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1,247,826,472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 non-voting-$1.00 par value; 5,000,000 shares authorized;</w:t>
            </w: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none issued or outstanding</w:t>
            </w: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 $2.00 par value; 40,000,000 shares authorized;</w:t>
            </w: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issued 18,758,031 shares in 2022 and 17,642,722 shares in 2021</w:t>
            </w: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37,516,062</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35,285,444</w:t>
            </w:r>
          </w:p>
        </w:tc>
        <w:tc>
          <w:tcPr>
            <w:tcW w:w="80" w:type="dxa"/>
            <w:vAlign w:val="bottom"/>
          </w:tcPr>
          <w:p>
            <w:pPr>
              <w:spacing w:after="0"/>
              <w:rPr>
                <w:sz w:val="20"/>
                <w:szCs w:val="20"/>
                <w:color w:val="auto"/>
              </w:rPr>
            </w:pPr>
          </w:p>
        </w:tc>
      </w:tr>
      <w:tr>
        <w:trPr>
          <w:trHeight w:val="198"/>
        </w:trPr>
        <w:tc>
          <w:tcPr>
            <w:tcW w:w="6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non-voting common stock - $1.00 par value; 5,000,000</w:t>
            </w: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authorized; none issued or outstanding</w:t>
            </w:r>
          </w:p>
        </w:tc>
        <w:tc>
          <w:tcPr>
            <w:tcW w:w="7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198"/>
        </w:trPr>
        <w:tc>
          <w:tcPr>
            <w:tcW w:w="6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C: convertible common stock - $2.00 par value; 6,000,000 shares</w:t>
            </w: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authorized; issued 2,889,859 shares in 2022 and 2,866,565 shares in 2021</w:t>
            </w: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5,779,718</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5,733,130</w:t>
            </w:r>
          </w:p>
        </w:tc>
        <w:tc>
          <w:tcPr>
            <w:tcW w:w="80" w:type="dxa"/>
            <w:vAlign w:val="bottom"/>
          </w:tcPr>
          <w:p>
            <w:pPr>
              <w:spacing w:after="0"/>
              <w:rPr>
                <w:sz w:val="20"/>
                <w:szCs w:val="20"/>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64,767,769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57,985,947</w:t>
            </w:r>
          </w:p>
        </w:tc>
        <w:tc>
          <w:tcPr>
            <w:tcW w:w="8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 net of taxes</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(13,070,277)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18,070,448</w:t>
            </w:r>
          </w:p>
        </w:tc>
        <w:tc>
          <w:tcPr>
            <w:tcW w:w="8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202,160,306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184,537,489</w:t>
            </w:r>
          </w:p>
        </w:tc>
        <w:tc>
          <w:tcPr>
            <w:tcW w:w="80" w:type="dxa"/>
            <w:vAlign w:val="bottom"/>
            <w:shd w:val="clear" w:color="auto" w:fill="CCEEFF"/>
          </w:tcPr>
          <w:p>
            <w:pPr>
              <w:spacing w:after="0"/>
              <w:rPr>
                <w:sz w:val="18"/>
                <w:szCs w:val="18"/>
                <w:color w:val="auto"/>
              </w:rPr>
            </w:pPr>
          </w:p>
        </w:tc>
      </w:tr>
      <w:tr>
        <w:trPr>
          <w:trHeight w:val="198"/>
        </w:trPr>
        <w:tc>
          <w:tcPr>
            <w:tcW w:w="6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- 525,870 Class A shares and 109,193 Class C shares</w:t>
            </w: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 2022; 34,016 Class A shares and 109,193 Class C shares in 2021</w:t>
            </w: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(4,366,651)</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(1,845,624)</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292,786,927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299,766,834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7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1,461,112,892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1,547,593,306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5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0"/>
        </w:trPr>
        <w:tc>
          <w:tcPr>
            <w:tcW w:w="5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17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173,499,681</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263,418,230</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premiums and other considerations</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105,001,640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100,254,573</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66,197,592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58,264,683</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mortuary and cemetery sales</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26,993,855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23,997,313</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(857,460)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6,265,134</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than temporary impairments on investments</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(39,502)</w:t>
            </w:r>
          </w:p>
        </w:tc>
      </w:tr>
      <w:tr>
        <w:trPr>
          <w:trHeight w:val="22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18,817,020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18,535,111</w:t>
            </w: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389,652,328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470,695,542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Death benefits</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59,377,962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63,247,616</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Surrenders and other policy benefits</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4,688,470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3,970,839</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28,858,969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26,263,312</w:t>
            </w:r>
          </w:p>
        </w:tc>
      </w:tr>
      <w:tr>
        <w:trPr>
          <w:trHeight w:val="198"/>
        </w:trPr>
        <w:tc>
          <w:tcPr>
            <w:tcW w:w="5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 acquisition</w:t>
            </w:r>
          </w:p>
        </w:tc>
        <w:tc>
          <w:tcPr>
            <w:tcW w:w="1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value of business acquired</w:t>
            </w:r>
          </w:p>
        </w:tc>
        <w:tc>
          <w:tcPr>
            <w:tcW w:w="1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17,950,202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16,142,970</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63,321,092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118,286,469</w:t>
            </w: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100,111,523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100,740,161</w:t>
            </w: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5,697,998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6,626,418</w:t>
            </w: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6,883,013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7,242,287</w:t>
            </w: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2,496,906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1,935,613</w:t>
            </w: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related to funding mortgage loans</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7,540,041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10,541,570</w:t>
            </w: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45,797,753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53,065,982</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7,830,443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7,127,516</w:t>
            </w:r>
          </w:p>
        </w:tc>
      </w:tr>
      <w:tr>
        <w:trPr>
          <w:trHeight w:val="22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and services sold – cemeteries and mortuaries</w:t>
            </w: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4,721,094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3,704,014</w:t>
            </w:r>
          </w:p>
        </w:tc>
      </w:tr>
      <w:tr>
        <w:trPr>
          <w:trHeight w:val="210"/>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13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355,275,466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418,894,767</w:t>
            </w:r>
          </w:p>
        </w:tc>
        <w:tc>
          <w:tcPr>
            <w:tcW w:w="100" w:type="dxa"/>
            <w:vAlign w:val="bottom"/>
            <w:tcBorders>
              <w:bottom w:val="single" w:sz="8" w:color="CCEEFF"/>
            </w:tcBorders>
          </w:tcPr>
          <w:p>
            <w:pPr>
              <w:spacing w:after="0"/>
              <w:rPr>
                <w:sz w:val="18"/>
                <w:szCs w:val="18"/>
                <w:color w:val="auto"/>
              </w:rPr>
            </w:pPr>
          </w:p>
        </w:tc>
      </w:tr>
      <w:tr>
        <w:trPr>
          <w:trHeight w:val="210"/>
        </w:trPr>
        <w:tc>
          <w:tcPr>
            <w:tcW w:w="56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34,376,862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51,800,775</w:t>
            </w:r>
          </w:p>
        </w:tc>
      </w:t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(8,686,560)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(12,281,785)</w:t>
            </w:r>
          </w:p>
        </w:tc>
      </w:tr>
      <w:tr>
        <w:trPr>
          <w:trHeight w:val="263"/>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32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25,690,302</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39,518,990</w:t>
            </w:r>
          </w:p>
        </w:tc>
        <w:tc>
          <w:tcPr>
            <w:tcW w:w="100" w:type="dxa"/>
            <w:vAlign w:val="bottom"/>
            <w:tcBorders>
              <w:bottom w:val="single" w:sz="8" w:color="CCEEFF"/>
            </w:tcBorders>
          </w:tcPr>
          <w:p>
            <w:pPr>
              <w:spacing w:after="0"/>
              <w:rPr>
                <w:sz w:val="22"/>
                <w:szCs w:val="22"/>
                <w:color w:val="auto"/>
              </w:rPr>
            </w:pPr>
          </w:p>
        </w:tc>
      </w:tr>
      <w:tr>
        <w:trPr>
          <w:trHeight w:val="197"/>
        </w:trPr>
        <w:tc>
          <w:tcPr>
            <w:tcW w:w="56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earnings per Class A equivalent common share (1)</w:t>
            </w:r>
          </w:p>
        </w:tc>
        <w:tc>
          <w:tcPr>
            <w:tcW w:w="17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r>
      <w:tr>
        <w:trPr>
          <w:trHeight w:val="196"/>
        </w:trPr>
        <w:tc>
          <w:tcPr>
            <w:tcW w:w="56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4"/>
        </w:trPr>
        <w:tc>
          <w:tcPr>
            <w:tcW w:w="56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earnings per Class A equivalent common share -</w:t>
            </w: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05"/>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assuming dilution (1)</w:t>
            </w:r>
          </w:p>
        </w:tc>
        <w:tc>
          <w:tcPr>
            <w:tcW w:w="17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r>
      <w:tr>
        <w:trPr>
          <w:trHeight w:val="197"/>
        </w:trPr>
        <w:tc>
          <w:tcPr>
            <w:tcW w:w="56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5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Class A equivalent common shares</w:t>
            </w: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(1)</w:t>
            </w:r>
          </w:p>
        </w:tc>
        <w:tc>
          <w:tcPr>
            <w:tcW w:w="1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21,137,941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21,146,713</w:t>
            </w:r>
          </w:p>
        </w:tc>
      </w:tr>
      <w:tr>
        <w:trPr>
          <w:trHeight w:val="216"/>
        </w:trPr>
        <w:tc>
          <w:tcPr>
            <w:tcW w:w="56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Class A equivalent common shares</w:t>
            </w: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outstanding-assuming dilution (1)</w:t>
            </w:r>
          </w:p>
        </w:tc>
        <w:tc>
          <w:tcPr>
            <w:tcW w:w="1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21,946,244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21,959,629</w:t>
            </w:r>
          </w:p>
        </w:tc>
      </w:tr>
    </w:tbl>
    <w:p>
      <w:pPr>
        <w:spacing w:after="0" w:line="198" w:lineRule="exact"/>
        <w:rPr>
          <w:sz w:val="20"/>
          <w:szCs w:val="20"/>
          <w:color w:val="auto"/>
        </w:rPr>
      </w:pPr>
    </w:p>
    <w:p>
      <w:pPr>
        <w:jc w:val="both"/>
        <w:ind w:left="360" w:hanging="292"/>
        <w:spacing w:after="0" w:line="266" w:lineRule="auto"/>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per share amounts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7"/>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58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25,690,302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39,518,990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losses on fixed maturity securities available for sale</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(39,331,688)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(6,517,731)</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losses on restricted assets</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(71,035)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(23,250)</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losses on cemetery perpetual care trust investments</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(20,446)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(11,114)</w:t>
            </w:r>
          </w:p>
        </w:tc>
      </w:tr>
      <w:tr>
        <w:trPr>
          <w:trHeight w:val="229"/>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80" w:type="dxa"/>
            <w:vAlign w:val="bottom"/>
          </w:tcPr>
          <w:p>
            <w:pPr>
              <w:spacing w:after="0"/>
              <w:rPr>
                <w:sz w:val="19"/>
                <w:szCs w:val="19"/>
                <w:color w:val="auto"/>
              </w:rPr>
            </w:pPr>
          </w:p>
        </w:tc>
      </w:tr>
      <w:tr>
        <w:trPr>
          <w:trHeight w:val="209"/>
        </w:trPr>
        <w:tc>
          <w:tcPr>
            <w:tcW w:w="58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before income tax</w:t>
            </w:r>
          </w:p>
        </w:tc>
        <w:tc>
          <w:tcPr>
            <w:tcW w:w="1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(39,423,169)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(6,549,260)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8,282,444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1,376,575</w:t>
            </w:r>
          </w:p>
        </w:tc>
        <w:tc>
          <w:tcPr>
            <w:tcW w:w="80" w:type="dxa"/>
            <w:vAlign w:val="bottom"/>
          </w:tcPr>
          <w:p>
            <w:pPr>
              <w:spacing w:after="0"/>
              <w:rPr>
                <w:sz w:val="19"/>
                <w:szCs w:val="19"/>
                <w:color w:val="auto"/>
              </w:rPr>
            </w:pPr>
          </w:p>
        </w:tc>
      </w:tr>
      <w:tr>
        <w:trPr>
          <w:trHeight w:val="209"/>
        </w:trPr>
        <w:tc>
          <w:tcPr>
            <w:tcW w:w="58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 tax</w:t>
            </w:r>
          </w:p>
        </w:tc>
        <w:tc>
          <w:tcPr>
            <w:tcW w:w="1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(31,140,725</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(5,172,685</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(5,450,423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34,346,305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2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Class C</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1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340" w:type="dxa"/>
            <w:vAlign w:val="bottom"/>
            <w:gridSpan w:val="3"/>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8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$33,191,566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$ 5,359,206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$50,287,253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23,243,133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$ 153,739,167</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(1,833,272)</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$ 263,987,053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39,518,990</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39,518,990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(5,172,685)</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(5,172,685)</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118,384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118,384</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320,564</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209,312</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547,549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1,077,425</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5,757,383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6,007,402</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(5,769,735)</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(5,769,735)</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1,674,820</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263,106</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6,782,742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(8,720,668)</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98,494</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(98,494)</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35,285,444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5,733,130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57,985,947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18,070,448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184,537,489</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(1,845,624)</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299,766,834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25,690,302</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25,690,302</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(31,140,725)</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(31,140,725)</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929,692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929,692</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219,174</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(75,742)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143,432</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(187,757)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5,249,054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5,061,297</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106,176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(7,770,081)</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(7,663,905)</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1,779,108</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278,924</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6,009,453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(8,067,485)</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232,336</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(232,336)</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37,516,062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$ 5,779,718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64,767,769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(13,070,277</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202,160,306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(4,366,651</w:t>
            </w:r>
          </w:p>
        </w:tc>
        <w:tc>
          <w:tcPr>
            <w:tcW w:w="26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292,786,927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67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25,690,302</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39,518,990</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earnings to net cash used in operating activities: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Losses (gains) on investments and other assets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857,460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(6,265,134)</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than temporary impairments on investments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39,502</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8,598,072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5,540,672</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loan losses and doubtful accounts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1,331,887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965,736</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amortization of deferred fees and costs, premiums and discounts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(1,018,200)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(1,154,604)</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(9,954,005)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11,308,436</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Policy and pre-need acquisition costs deferred</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(20,233,669)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(19,985,257)</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Policy and pre-need acquisition costs amortized</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16,685,871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15,027,841</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Value of business acquired amortized</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1,264,331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1,115,129</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Mortgage servicing rights, additions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(10,243,922)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(32,701,819)</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mortgage servicing rights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9,078,706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14,851,880</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gains on the sale of mortgage servicing rights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(34,051,938)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929,692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118,384</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plans funded with treasury stock</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5,061,297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6,007,402</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fair value of loans held for sale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8,834,797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8,783,376</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(3,373,554,484)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(5,611,189,587)</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of loans held for sale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3,549,405,402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5,900,076,766</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gains on sales of loans held for sale</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(74,779,721)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(177,876,915)</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 and improvements held for sale</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(123,597)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441,839</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 policy benefits and unpaid claims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27,487,657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22,104,116</w:t>
            </w:r>
          </w:p>
        </w:tc>
      </w:tr>
      <w:tr>
        <w:trPr>
          <w:trHeight w:val="230"/>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(815,484)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(32,088,511)</w:t>
            </w:r>
          </w:p>
        </w:tc>
      </w:tr>
      <w:tr>
        <w:trPr>
          <w:trHeight w:val="209"/>
        </w:trPr>
        <w:tc>
          <w:tcPr>
            <w:tcW w:w="67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130,450,454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144,638,242</w:t>
            </w:r>
          </w:p>
        </w:tc>
        <w:tc>
          <w:tcPr>
            <w:tcW w:w="100" w:type="dxa"/>
            <w:vAlign w:val="bottom"/>
            <w:tcBorders>
              <w:bottom w:val="single" w:sz="8" w:color="CCEEFF"/>
            </w:tcBorders>
          </w:tcPr>
          <w:p>
            <w:pPr>
              <w:spacing w:after="0"/>
              <w:rPr>
                <w:sz w:val="18"/>
                <w:szCs w:val="18"/>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fixed maturity securities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(151,581,252)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(18,857,131)</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calls and maturities of fixed maturity securities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25,163,141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48,015,753</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equity securities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(4,193,460)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(1,950,554)</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2,804,274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3,868,061</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changes in restricted assets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(862,654)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473,156</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changes in cemetery perpetual care trust investments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1,205,208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(143,379)</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loans held for investment, other investments and policy loans made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(752,301,471)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(838,524,150)</w:t>
            </w:r>
          </w:p>
        </w:tc>
      </w:tr>
      <w:tr>
        <w:trPr>
          <w:trHeight w:val="198"/>
        </w:trPr>
        <w:tc>
          <w:tcPr>
            <w:tcW w:w="67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Payments received for mortgage loans held for investment, other investments and policy</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759,243,828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818,108,666</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sale of mortage servicing rights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79,981,150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(1,600,195)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(5,219,928)</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of property and equipment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69,248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real estate</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(20,458,983)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(92,403,534)</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of real estate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25,369,430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35,644,576</w:t>
            </w:r>
          </w:p>
        </w:tc>
      </w:tr>
      <w:tr>
        <w:trPr>
          <w:trHeight w:val="23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purchase of subsidiaries, net of cash acquired</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(12,625,142)</w:t>
            </w:r>
          </w:p>
        </w:tc>
      </w:tr>
      <w:tr>
        <w:trPr>
          <w:trHeight w:val="210"/>
        </w:trPr>
        <w:tc>
          <w:tcPr>
            <w:tcW w:w="6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(37,161,736</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(63,613,606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32"/>
        </w:trPr>
        <w:tc>
          <w:tcPr>
            <w:tcW w:w="67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67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contract receipts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11,730,820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11,481,349</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contract withdrawals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(15,795,677)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(15,244,629)</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143,432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1,077,425</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(7,663,905)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(5,769,735)</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bank loans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(50,308,296)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(69,039,725)</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bank loans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59,618,050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106,995,930</w:t>
            </w:r>
          </w:p>
        </w:tc>
      </w:tr>
      <w:tr>
        <w:trPr>
          <w:trHeight w:val="22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warehouse line borrowings for loans held for sale</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(98,943,607)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(84,576,055)</w:t>
            </w:r>
          </w:p>
        </w:tc>
      </w:tr>
      <w:tr>
        <w:trPr>
          <w:trHeight w:val="210"/>
        </w:trPr>
        <w:tc>
          <w:tcPr>
            <w:tcW w:w="67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(101,219,183</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(55,075,440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restricted cash and restricted cash equivalents</w:t>
            </w:r>
          </w:p>
        </w:tc>
        <w:tc>
          <w:tcPr>
            <w:tcW w:w="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(7,930,465</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25,949,196</w:t>
            </w:r>
          </w:p>
        </w:tc>
        <w:tc>
          <w:tcPr>
            <w:tcW w:w="100" w:type="dxa"/>
            <w:vAlign w:val="bottom"/>
            <w:tcBorders>
              <w:bottom w:val="single" w:sz="8" w:color="CCEEFF"/>
            </w:tcBorders>
          </w:tcPr>
          <w:p>
            <w:pPr>
              <w:spacing w:after="0"/>
              <w:rPr>
                <w:sz w:val="18"/>
                <w:szCs w:val="18"/>
                <w:color w:val="auto"/>
              </w:rPr>
            </w:pPr>
          </w:p>
        </w:tc>
      </w:tr>
      <w:tr>
        <w:trPr>
          <w:trHeight w:val="20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at beginning of year</w:t>
            </w:r>
          </w:p>
        </w:tc>
        <w:tc>
          <w:tcPr>
            <w:tcW w:w="2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141,414,282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115,465,086</w:t>
            </w:r>
          </w:p>
        </w:tc>
        <w:tc>
          <w:tcPr>
            <w:tcW w:w="100" w:type="dxa"/>
            <w:vAlign w:val="bottom"/>
            <w:shd w:val="clear" w:color="auto" w:fill="CCEEFF"/>
          </w:tcPr>
          <w:p>
            <w:pPr>
              <w:spacing w:after="0"/>
              <w:rPr>
                <w:sz w:val="18"/>
                <w:szCs w:val="18"/>
                <w:color w:val="auto"/>
              </w:rPr>
            </w:pPr>
          </w:p>
        </w:tc>
      </w:tr>
      <w:tr>
        <w:trPr>
          <w:trHeight w:val="263"/>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at end of year</w:t>
            </w:r>
          </w:p>
        </w:tc>
        <w:tc>
          <w:tcPr>
            <w:tcW w:w="2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133,483,817</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141,414,282</w:t>
            </w:r>
          </w:p>
        </w:tc>
        <w:tc>
          <w:tcPr>
            <w:tcW w:w="100" w:type="dxa"/>
            <w:vAlign w:val="bottom"/>
            <w:tcBorders>
              <w:bottom w:val="single" w:sz="8" w:color="CCEEFF"/>
            </w:tcBorders>
          </w:tcPr>
          <w:p>
            <w:pPr>
              <w:spacing w:after="0"/>
              <w:rPr>
                <w:sz w:val="22"/>
                <w:szCs w:val="22"/>
                <w:color w:val="auto"/>
              </w:rPr>
            </w:pPr>
          </w:p>
        </w:tc>
      </w:tr>
      <w:tr>
        <w:trPr>
          <w:trHeight w:val="197"/>
        </w:trPr>
        <w:tc>
          <w:tcPr>
            <w:tcW w:w="6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6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7,697,921</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7,290,867</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729,687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5,127,913</w:t>
            </w:r>
          </w:p>
        </w:tc>
      </w:tr>
      <w:tr>
        <w:trPr>
          <w:trHeight w:val="216"/>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 Cash Investing and Financing Activities: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of loans held for sale to mortgage loans held for investment</w:t>
            </w:r>
          </w:p>
        </w:tc>
        <w:tc>
          <w:tcPr>
            <w:tcW w:w="6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51,691,213</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201,951</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loans held for investment foreclosed into real estate held for investment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10,998,485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931,079</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2,054,534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5,216,048</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real estate construction costs and retainage</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1,025,397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4,400,320</w:t>
            </w:r>
          </w:p>
        </w:tc>
      </w:tr>
      <w:tr>
        <w:trPr>
          <w:trHeight w:val="234"/>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of property and equipment to real estate held for investment</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3,108,681</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20 regarding non cash transactions included in the acquisitions of Rivera Funerals, Cremations and Memorial Gardens and Holbrook Mortuary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 of cash, cash equivalents, restricted cash and restricted cash equivalents as shown in the consolidated statements of cash flows is presented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74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120,919,805</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131,354,470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10,638,034</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9,000,293</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1,925,978</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1,059,519</w:t>
            </w:r>
          </w:p>
        </w:tc>
        <w:tc>
          <w:tcPr>
            <w:tcW w:w="80" w:type="dxa"/>
            <w:vAlign w:val="bottom"/>
            <w:shd w:val="clear" w:color="auto" w:fill="CCEEFF"/>
          </w:tcPr>
          <w:p>
            <w:pPr>
              <w:spacing w:after="0"/>
              <w:rPr>
                <w:sz w:val="19"/>
                <w:szCs w:val="19"/>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restricted cash and restricted cash equivalents</w:t>
            </w: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133,483,817</w:t>
            </w:r>
          </w:p>
        </w:tc>
        <w:tc>
          <w:tcPr>
            <w:tcW w:w="3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141,414,282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0" w:lineRule="exact"/>
        <w:rPr>
          <w:sz w:val="20"/>
          <w:szCs w:val="20"/>
          <w:color w:val="auto"/>
        </w:rPr>
      </w:pPr>
    </w:p>
    <w:p>
      <w:pPr>
        <w:spacing w:after="0" w:line="223" w:lineRule="exact"/>
        <w:rPr>
          <w:sz w:val="20"/>
          <w:szCs w:val="20"/>
          <w:color w:val="auto"/>
        </w:rPr>
      </w:pPr>
    </w:p>
    <w:p>
      <w:pPr>
        <w:ind w:left="200" w:hanging="192"/>
        <w:spacing w:after="0"/>
        <w:tabs>
          <w:tab w:leader="none" w:pos="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Overview of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Security National Financial Corporation and its wholly owned subsidiaries (the “Company”) operate in three reportable business segments: life insurance, cemetery and mortuary, and mortgages. The life insurance segment is engaged in the business of selling and servicing selected lines of life insurance, annuity products and accident and health insurance marketed primarily in the states located in western, mid-western and southern regions of the United States. The cemetery and mortuary segment of the Company consists of eight mortuaries and five cemeteries in Utah, one cemetery in California, and four mortuaries and one cemetery in New Mexico. The mortgage segment is an approved government and conventional lender that originates and underwrites residential and commercial loans for new construction, existing homes and real estate projects primarily in Florida, Nevada, Texas, and Utah.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include the financial statements of the Company and its majority owned subsidiaries. All intercompany transactions and accounts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of the Company has made a number of estimates and assumptions related to the reported amounts of assets and liabilities, reported amounts of revenues and expenses, and the disclosure of contingent assets and liabilities to prepare these financial statements in conformity with GAAP. Actual results could differ from those estimates.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those used in determining the liability for future policy benefits and unearned revenue; those used in determining the estimated future costs for pre-need sales; those used in determining the value of mortgage servicing rights; 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determines the appropriate classifications of investments in fixed maturity securities and equity securities at the acquisition date and re-evaluates the classifications at each balance sheet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Fixed maturity securities available for sale</w:t>
      </w:r>
      <w:r>
        <w:rPr>
          <w:rFonts w:ascii="Times New Roman" w:cs="Times New Roman" w:eastAsia="Times New Roman" w:hAnsi="Times New Roman"/>
          <w:sz w:val="18"/>
          <w:szCs w:val="18"/>
          <w:color w:val="auto"/>
        </w:rPr>
        <w:t xml:space="preserve"> are carried at estimated fair value. Changes in fair values are reported as unrealized gains or losses and are recorded in accumulated other comprehensive income.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xml:space="preserve"> are carried at estimated fair value. Changes in fair values are reported as unrealized gains or losses and are recorded through net earnings as a component of gains on investments and other assets.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Mortgage loans held for investment</w:t>
      </w:r>
      <w:r>
        <w:rPr>
          <w:rFonts w:ascii="Times New Roman" w:cs="Times New Roman" w:eastAsia="Times New Roman" w:hAnsi="Times New Roman"/>
          <w:sz w:val="18"/>
          <w:szCs w:val="18"/>
          <w:color w:val="auto"/>
        </w:rPr>
        <w:t xml:space="preserve"> are carried at their unpaid principal balances adjusted for net deferred fees, net discounts, charge-offs and the related allowance for loan losses. Interest income is included in net investment income on the consolidated statements of earnings and is recognized when earned. The Company defers related loan origination fees, net of related direct loan origination costs, and amortizes the net fees over the term of the loans. Origination fees are included in net investment income on the consolidated statements of earnings. Mortgage loans are secured by the underlying property and require an appraisal at the time of underwriting and funding. Generally, the Company will fund a loan not to exceed 80% of the loan’s collateral fair market value. Amounts over 80% will require additional collateral or mortgage insurance by an approved third-party insurer.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Real estate held for investment</w:t>
      </w:r>
      <w:r>
        <w:rPr>
          <w:rFonts w:ascii="Times New Roman" w:cs="Times New Roman" w:eastAsia="Times New Roman" w:hAnsi="Times New Roman"/>
          <w:sz w:val="18"/>
          <w:szCs w:val="18"/>
          <w:color w:val="auto"/>
        </w:rPr>
        <w:t xml:space="preserve"> is carried at cost, less accumulated depreciation provided on a straight-line basis over the estimated useful lives of the properties, or is adjusted to a new basis for impairment in value, if any. Included are foreclosed properties which the Company intends to hold for investment purposes. These properties are recorded at the lower of cost or fair value upon foreclosure. Also, included are residential subdivision land developments which are carried at cost.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Real estate held for sale</w:t>
      </w:r>
      <w:r>
        <w:rPr>
          <w:rFonts w:ascii="Times New Roman" w:cs="Times New Roman" w:eastAsia="Times New Roman" w:hAnsi="Times New Roman"/>
          <w:sz w:val="18"/>
          <w:szCs w:val="18"/>
          <w:color w:val="auto"/>
        </w:rPr>
        <w:t xml:space="preserve"> is carried at lower of cost or fair value. Depreciation is not recognized on real estate classified as held for sale.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investments and policy loans</w:t>
      </w:r>
      <w:r>
        <w:rPr>
          <w:rFonts w:ascii="Times New Roman" w:cs="Times New Roman" w:eastAsia="Times New Roman" w:hAnsi="Times New Roman"/>
          <w:sz w:val="18"/>
          <w:szCs w:val="18"/>
          <w:color w:val="auto"/>
        </w:rPr>
        <w:t xml:space="preserve"> are carried at the aggregate unpaid balances, less allowances for losses.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Accrued investment income</w:t>
      </w:r>
      <w:r>
        <w:rPr>
          <w:rFonts w:ascii="Times New Roman" w:cs="Times New Roman" w:eastAsia="Times New Roman" w:hAnsi="Times New Roman"/>
          <w:sz w:val="18"/>
          <w:szCs w:val="18"/>
          <w:color w:val="auto"/>
        </w:rPr>
        <w:t xml:space="preserve"> refers to earned income from investments that has not yet been received by the Company.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Gains and losses on investments (except for equity securities carried at fair value through net earnings)</w:t>
      </w:r>
      <w:r>
        <w:rPr>
          <w:rFonts w:ascii="Times New Roman" w:cs="Times New Roman" w:eastAsia="Times New Roman" w:hAnsi="Times New Roman"/>
          <w:sz w:val="18"/>
          <w:szCs w:val="18"/>
          <w:color w:val="auto"/>
        </w:rPr>
        <w:t xml:space="preserve"> arise when investments are sold (as determined on a specific identification basis) or are other than temporarily impaired. If in management’s judgment a decline in the value of an investment below cost is other than temporary, the cost of the investment is written down to fair value with a corresponding charge to earnings. Factors considered in judging whether an impairment is other than temporary include: the financial condition, business prospects and credit worthiness of the issuer, the length of time that fair value has been less than cost, the relative amount of the decline, and the Company’s ability and intent to hold the investment until the fair value recovers, which is not assured.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instruments purchased with an original maturity of three months or less to be cash equivalents. The Company maintains its cash in bank deposit accounts, which at times exceed federally insured limits. The Company has not experienced any losses in such accounts and believes it is not exposed to any significant credit risk on cash and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Sale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Accounting Standards Codification (“ASC”) No. 825, “Financial Instruments”, allows for the option to report certain financial assets and liabilities at fair value initially and at subsequent measurement dates with changes in fair value included in earnings. The option may be applied instrument by instrument, but it is irrevocable. The Company elected the fair value option for loans held for sale. The Company believes the fair value option most closely aligns the timing of the recognition of gains and costs. These loans are intended for sale and the Company believes that the fair value is the best indicator of the resolution of these loans. Electing fair value also reduces certain timing differences and better matches changes in the fair value of these assets with changes in the fair value of the related derivatives used for these assets. See Note 3 and Note 17 to Consolidated Financial Statements for additional disclosures regarding loans held for sale.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Fee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fee income consists of origination fees, processing fees, interest income and certain other income related to the origination of mortgage loans held for sale. All revenues and costs are recognized when the mortgage loan is funded and any changes in fair value are shown as a component of mortgage fee income. See Note 3 and Note 17 to Consolidated Financial Statements for additional disclosures regarding loans held for sale.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through its mortgage subsidiaries, sells mortgage loans to third-party investors without recourse unless defects are identified in the representations and warranties made at loan sale. It may be required, however, to repurchase a loan or pay a fee instead of repurchase under certain events, which include the following:</w:t>
      </w:r>
    </w:p>
    <w:p>
      <w:pPr>
        <w:spacing w:after="0" w:line="176" w:lineRule="exact"/>
        <w:rPr>
          <w:sz w:val="20"/>
          <w:szCs w:val="20"/>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original documents specified by the investor,</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misrepresentation or fraud in the origination of the loan,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becomes delinquent due to nonpayment during the first several months after it is sold,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pay-off of a loan, as defined by the agreements,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time to settle a loan,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declines purchase,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product and expired commitment.</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Loan purchase commitments generally specify a date 30 to 45 days after delivery upon which the underlying loans should be settled. Depending on market conditions, these commitment settlement dates can be extended at a cost to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the Company’s policy to cure any documentation problems regarding such loans at a minimal cost for up to a six-month time period and to pursue efforts to enforce loan purchase commitments from third-party investors concerning the loans. The Company believes that six months allows adequate time to remedy any documentation issues, to enforce purchase commitments, and to exhaust other alternatives. Remedial methods include the following:</w:t>
      </w:r>
    </w:p>
    <w:p>
      <w:pPr>
        <w:spacing w:after="0" w:line="176" w:lineRule="exact"/>
        <w:rPr>
          <w:sz w:val="20"/>
          <w:szCs w:val="20"/>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reasons for rejection,</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additional documents,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investor exceptions,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Appeal rejection decision to purchase committee,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to secondary investors.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purchase commitments have expired and other alternatives to remedy are exhausted, which could be earlier than the six-month time period, the loans are repurchased and transferred to the long-term investment portfolio at the lower of cost or fair value and previously recorded mortgage fee income that was to be received from a third-party investor is written off against the loan loss reserve.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Determining Fair Value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for loans held for sale is equal to the amount paid to the warehouse bank and the amount originally funded by the Company. Fair value is often difficult to determine and may contain significant unobservable inputs, but is based on the following:</w:t>
      </w:r>
    </w:p>
    <w:p>
      <w:pPr>
        <w:spacing w:after="0" w:line="162" w:lineRule="exact"/>
        <w:rPr>
          <w:sz w:val="20"/>
          <w:szCs w:val="20"/>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are committed, the Company uses the commitment price.</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are non-committed that have an active market, the Company uses the market price.</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are non-committed where there is no market but there is a similar product, the Company uses the market value for the similar product.</w:t>
      </w:r>
    </w:p>
    <w:p>
      <w:pPr>
        <w:jc w:val="both"/>
        <w:ind w:left="1300" w:hanging="320"/>
        <w:spacing w:after="0" w:line="255"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are non-committed where no active market exists, the Company determines that the unpaid principal balance best approximates the market value, after considering the fair value of the underlying real estate collateral, estimated future cash flows, and the loan interest rate.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appraised value of the real estate underlying the original mortgage loan adds support to the Company’s determination of fair value because if the loan becomes delinquent, the Company has sufficient value to collect the unpaid principal balance or the carrying value of the loan, thus minimizing credit losses.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majority of loans originated are sold to third-party investors. The amounts expected to be sold to investors are shown on the consolidated balance sheets as loans held for sale.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Loss Reserve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loan loss reserve is an estimate of probable losses at the balance sheet date that the Company will realize in the future on loans sold. The Company may be required to reimburse third-party investors for costs associated with early payoff of loans within six months of origination of such loans and to repurchase loans where there is a default in any of the first four monthly payments to the investors or, in lieu of repurchase, to pay a negotiated fee to the investors. The Company’s estimates are based upon historical loss experience and the best estimate of the probable loan loss liabilities.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completion of a transfer that satisfies the conditions to be accounted for as a sale, the Company initially measures at fair value liabilities incurred in a sale relating to any guarantee or recourse provisions. The Company accrues a monthly allowance for indemnification losses to investors based on total production. This estimate is based on the Company’s historical experience and is included as a component of mortgage fee income. Subsequent updates to the recorded liability from changes in assumptions are recorded in selling, general and administrative expenses as a component of provision for loan loss reserve. The estimated liability for indemnification losses is included in other liabilities and accrued expenses.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loan loss reserve analysis involves mortgage loans that have been sold to third-party investors, which were believed to have met investor underwriting guidelines at the time of sale, where the Company has received a demand from the investor. There are generally three types of demands: make whole, repurchase, or indemnification. These types of demands are further described as follows:</w:t>
      </w:r>
    </w:p>
    <w:p>
      <w:pPr>
        <w:spacing w:after="0" w:line="174"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Make whole demand </w:t>
      </w:r>
      <w:r>
        <w:rPr>
          <w:rFonts w:ascii="Times New Roman" w:cs="Times New Roman" w:eastAsia="Times New Roman" w:hAnsi="Times New Roman"/>
          <w:sz w:val="18"/>
          <w:szCs w:val="18"/>
          <w:color w:val="auto"/>
        </w:rPr>
        <w:t>— A make whole demand occurs when an investor forecloses on a property and then sells the property. The make whole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is calculated as the difference between the original unpaid principal balance, payments received, accrued interest and fees, less the sale proceeds.</w:t>
      </w:r>
    </w:p>
    <w:p>
      <w:pPr>
        <w:spacing w:after="0" w:line="173"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Repurchase demand </w:t>
      </w:r>
      <w:r>
        <w:rPr>
          <w:rFonts w:ascii="Times New Roman" w:cs="Times New Roman" w:eastAsia="Times New Roman" w:hAnsi="Times New Roman"/>
          <w:sz w:val="18"/>
          <w:szCs w:val="18"/>
          <w:color w:val="auto"/>
        </w:rPr>
        <w:t>— A repurchase demand usually occurs when there is a significant payment default, error in underwriting or detected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fraud.</w:t>
      </w:r>
    </w:p>
    <w:p>
      <w:pPr>
        <w:spacing w:after="0" w:line="158"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Indemnification demand </w:t>
      </w:r>
      <w:r>
        <w:rPr>
          <w:rFonts w:ascii="Times New Roman" w:cs="Times New Roman" w:eastAsia="Times New Roman" w:hAnsi="Times New Roman"/>
          <w:sz w:val="18"/>
          <w:szCs w:val="18"/>
          <w:color w:val="auto"/>
        </w:rPr>
        <w:t>— On certain loans the Company has negotiated a set fee that is to be paid in lieu of repurchase. The fee varies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 and by loan product type.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the allowance for loan losses and the loan loss reserve represent probable loan losses incurred as of the balance sheet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related to the Loan Loss Reserve is included in Note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Restricted assets are assets held in a trust account for future mortuary services and merchandise and consist of cash and cash equivalents; participations in mortgage loans held for investment with Security National Life Insurance Company (“Security National Life”); mutual funds carried at estimated fair value; equity securities carried at estimated fair value; and a surplus note with Security National Life (which is eliminated in consolidation). Restricted assets also include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funded its medical benefit safe-harbor limit based on the qualified direct costs, and has included this amount as a component of restricted cash.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Cemetery Perpetual Care Trust Investments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Cemetery endowment care trusts have been set up for five of the seven cemeteries owned by the Company. Under endowment care arrangements a portion of the price for each lot sold is withheld and invested in a portfolio of investments similar to those described in the prior paragraph. The earnings stream from the investments is designed to fund future maintenance and upkeep of the cemetery.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Cemetery Land and Improvements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development of a cemetery involves not only the initial acquisition of raw land but also the installation of roads, water lines, landscaping and other costs to establish a marketable cemetery lot. The costs of developing the cemetery are shown as an asset on the balance sheet. The amount on the balance sheet is reduced by the total cost assigned to the development of a particular lot when the criterion for recognizing a sale of that lot is met.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Policy Acquisition Costs and Value of Business Acquired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Commissions and other costs, net of commission and expense allowances for reinsurance ceded, that vary with and are primarily related to the production of new insurance business have been deferred. Deferred policy acquisition costs (“DAC”) for traditional life insurance are amortized over the premium paying period of the related policies using assumptions consistent with those used in computing policy benefit reserves. For interest-sensitive insurance products, deferred policy acquisition costs are amortized generally in proportion to the present value of expected gross profits from surrender charges, investment, mortality and expense margins. This amortization is adjusted when estimates of current or future gross profits to be realized from a group of products are reevaluated. Deferred acquisition costs are written off when policies lapse or are surrendered.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accounting for DAC, the Company considers internal replacements of insurance and investment contracts. An internal replacement is a modification in product benefits, features, rights or coverage that occurs by the exchange of a contract for a new contract, or by amendment, endorsement, or rider to contract, or by the election of a feature or coverage within a contract. Modifications that result in a replacement contract that is substantially changed from the replaced contract are accounted for as an extinguishment of the replaced contract. Unamortized DAC, unearned revenue liabilities and deferred sales inducements from the replaced contract are written-off. Modifications that result in a contract that is substantially unchanged from the replaced contract are accounted for as a continuation of the replaced contract.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Value of business acquired (“VOBA”) is the present value of estimated future profits of the acquired business and is amortized similar to deferred policy acquisition costs.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Premium Deficiency and Loss Recognition Testing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least annually, the Company tests the adequacy of the net benefit reserves (liability for future policy benefits, net of DAC and VOBA) recorded for life insurance and annuity products. The Company tests for recoverability by using the Company’s current best-estimate assumptions as to policyholder mortality, persistency, maintenance expenses and invested asset returns. These tests evaluate whether the present value of future contract-related cash flows will support the capitalized DAC and VOBA assets. These cash flows consist primarily of premium income, less benefits and expenses. If the current contract liabilities plus the present value of future premiums is greater than the sum of the present values of future policy benefits, commissions, and expenses plus the current DAC and VOBA less unearned premium reserve balances, then the capitalized assets are deemed recoverable. The present values are calculated using the best estimate of the after tax net investment earned 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Servicing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Mortgage Servicing Rights (“MSR”) arise from contractual agreements between the Company and third-party investors (or their agents) when mortgage loans are sold. Under these contracts, the Company is obligated to retain and provide loan servicing functions on loans sold, in exchange for fees and other remuneration. The servicing functions typically performed include, among other responsibilities, collecting and remitting loan payments; responding to borrower inquiries; accounting for principal and interest, holding custodial (impound) funds for payment of property taxes and insurance premiums; counseling delinquent mortgagors; and supervising the acquisition of real estate owned and property dispositions.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residential mortgage loans serviced for others consist primarily of agency conforming fixed-rate mortgage loans. The value of MSRs is derived from the net cash flows associated with the servicing contracts. The Company receives a servicing fee of generally about 0.25% annually on the remaining outstanding principal balances of the loans. Based on the result of the cash flow analysis, an asset or liability is recorded for mortgage servicing rights. The servicing fees are collected from the monthly payments made by the mortgagors. The Company generally receives other remuneration including rights to various mortgagor-contracted fees such as late charges, and collateral reconveyance charges and the Company is generally entitled to retain the interest earned on funds held pending remittance of mortgagor principal, interest, tax and insurance payments. Contractual servicing fees and late fees are included in other revenues on the consolidated statements of earnings.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subsequent accounting for MSRs is based on the class of MSRs. The Company has identified two classes of MSRs: MSRs backed by mortgage loans with initial term of 30 years and MSRs backed by mortgage loans with initial term of 15 years. The Company distinguishes between these classes of MSRs due to their differing sensitivities to change in value as the result of changes in market. 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rate risk, prepayment risk, and default risk are inherent risks in MSR valuation. Interest rate changes largely drive prepayment rates. Refinance activity generally increases as rates decline. A significant decrease in rates beyond expectation could cause a decline in the value of the MSR. On the contrary, if rates increase borrowers are less likely to refinance or prepay their mortgage, which extends the duration of the loan and MSR values are likely to rise. Because of these risks, discount rates and prepayment speeds are used to estimate the fair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 period earnings and the carrying value of the MSRs is adjusted through a valuation allowance.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periodically reviews the various loan strata to determine whether the value of the MSRs in a given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calculated principally on the straight-line method over the estimated useful lives of the assets which range from three to forty years. Leasehold improvements paid for by the Company as a lessee are amortized over the lesser of the useful life or remaining lease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to be held and used, including property and equipment and real estate held for investment, are reviewed for impairment whenever events or changes in circumstances indicate that the related carrying amount may not be recoverable. When required, impairment losses on assets to be held and used are recognized based on the fair value of the asset, and long-lived assets to be disposed of are reported at the lower of carrying amount or fair value less costs to sell. No impairment of long-lived assets has been recognized in the accompanying financial statements except for certain impairments of real estate held for sale as disclosed in Note 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Mortgage Banking Derivatives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Commitments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a number of factors, particularly the change, if any, in mortgage rates following the issuance of the loan commitment.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take into account all of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and is shown net of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right="7840" w:firstLine="8"/>
        <w:spacing w:after="0" w:line="500" w:lineRule="auto"/>
        <w:tabs>
          <w:tab w:leader="none" w:pos="1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Forward Sale Commitments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 and Put Option Derivatives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uses a strategy of selling “out of the money” call options on its equity securities as a source of revenue. The options give the purchaser the right to buy from the Company specified equity securities at a set price up to a pre-determined date in the future. The Company uses the strategy of selling put options as a means of generating cash or purchasing equity securities at lower than current market prices. The Company receives an immediate payment of cash for the value of the option and establishes a liability for the fair value of the option. The liability for options is adjusted to fair value at each reporting date. In the event a call option is exercised, the Company sells the equity security at a favorable price enhanced by the value of the option that was sold. If the option expires unexercised, the Company recognizes a gain from the expired option. In the event a put option is exercised, the Company acquires an equity security at the strike price of the option reduced by the value received from the sale of the put option. The equity security is then treated as a normal equity security in the Company’s portfolio. The net changes in the fair value of call and put options are shown in current earnings as a component of gains (losses) on investments and other assets. Call and put options are shown in other liabilities and accrued expenses on the consolidated balance sheets.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 and Loan Losses and Impaired Loans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records an allowance and recognizes an expense for potential losses from mortgage loans held for investment, other investments and receivables in accordance with GAAP.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Receivables are the result of cemetery and mortuary operations, mortgage loan operations and life insurance operations. The allowance is based upon the Company’s historical experience for collectively evaluated impairment. Other allowances are based upon receivables individually evaluated for impairment. Collectability of the cemetery and mortuary receivables is significantly influenced by current economic conditions. The critical issues that impact recovery of mortgage loan operations are interest rate risk, loan underwriting, new regulations and the overall economy.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provides for losses on its mortgage loans held for investment through an allowance for loan losses (a contra-asset account).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 As a practical expedient, upon determining impairment, the Company establishes an individual impairment allowance based upon an assessment of the fair value of the underlying collateral. See the schedules in Note 2 for additional information. In addition, when a mortgage loan is past due more than 90 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or held for sale.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losses on mortgage loans held for investment could change based on changes in the value of the underlying collateral, the performance status of the loans, or the Company’s actual collection experience. The actual losses could change, in the near term, from the established allowance, based upon the occurrence or non-occurrence of these events.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determining the allowance for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Commercial</w:t>
      </w:r>
      <w:r>
        <w:rPr>
          <w:rFonts w:ascii="Times New Roman" w:cs="Times New Roman" w:eastAsia="Times New Roman" w:hAnsi="Times New Roman"/>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secondary on the borrower’s (or guarantors) ability to repay.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Residential</w:t>
      </w:r>
      <w:r>
        <w:rPr>
          <w:rFonts w:ascii="Times New Roman" w:cs="Times New Roman" w:eastAsia="Times New Roman" w:hAnsi="Times New Roman"/>
          <w:sz w:val="18"/>
          <w:szCs w:val="18"/>
          <w:color w:val="auto"/>
        </w:rPr>
        <w:t xml:space="preserve"> — Secured by family dwelling units. These loans are secured by first and second mortgages on the unit. The borrower’s ability to repay is sensitive to the life events and general economic condition of the region. Where loan to values exceed 80%, the loan is generally guaranteed by private mortgage insurance, FHA or VA.</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Residential construction (including land acquisition and development)</w:t>
      </w:r>
      <w:r>
        <w:rPr>
          <w:rFonts w:ascii="Times New Roman" w:cs="Times New Roman" w:eastAsia="Times New Roman" w:hAnsi="Times New Roman"/>
          <w:sz w:val="18"/>
          <w:szCs w:val="18"/>
          <w:color w:val="auto"/>
        </w:rPr>
        <w:t xml:space="preserve"> — Underwritten in accordance with the Company’s underwriting policies which include a financial analysis of the builders, borrowers (guarantors), construction cost estimates, and independent appraisal valuations. These loans will rely on the value associated with the project upon completion. These cost and valuation estimates may be inaccurate. Construction loans generally involve the disbursement of substantial funds over a short period of time with repayment substantially dependent upon the success of the completed project and the ability of the borrower to secure long-term financing. Additionally, land is underwritten according to the Company’s policies, which include independent appraisal valuations as well as the estimated value associated with the land upon completion of development into finished lots. These cost and valuation estimates may be inaccurate. These loans are considered to be of a higher risk than other mortgage loans due to their ultimate repayment being sensitive to general economic conditions, availability of long-term or construction financing, and interest rate sensitivity.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Policy Benefits and Unpaid Claims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Future policy benefit reserves for traditional life insurance are computed using a net level method, including assumptions as to investment yields, mortality, morbidity, withdrawals, and other assumptions based on the life insurance subsidiaries’ experience, modified as necessary to give effect to anticipated trends and to include provisions for possible unfavorable deviations. Such liabilities are, for some plans, graded to equal statutory values or cash values at or prior to maturity, which are deemed a reasonable equivalent for GAAP. The range of assumed interest rates for all traditional life insurance policy reserves was 4% to 10%. Benefit reserves for traditional limited-payment life insurance policies include the deferred portion of the premiums received during the premium-paying period. Deferred premiums are recognized as income over the life of the policies. Policy benefit claims are charged to expense in the period the claims are incurred. Increases in future policy benefits are charged to expense.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policy benefit reserves for interest-sensitive insurance products are computed under a 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3% to 6.5%.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an unpaid claims liability for claims in the course of settlement equal to the death benefit amount less any reinsurance recoverable amount for claims reported. There is also an unpaid claims liability for claims incurred but not reported. This liability is based on the historical experience of the net amount of claims that were reported in reporting periods subsequent to the reporting period when claims were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Participating Insurance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Participating business constituted 2% of insurance in force for the years ended 2022 and 2021. The provision for policyholders’ dividends included in policyholder obligations is based on dividend scales anticipated by management. Amounts to be paid are determined by the Board of Directors. The expense recognized for policyholder dividends is included in surrenders and other policy benefits on the consolidated statements of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Recognition of Insurance Premiums and Other Considerations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Premiums and other consideration for traditional life insurance products (which include those products with fixed and guaranteed premiums and benefits and consist principally of whole life insurance policies, limited payment life insurance policies, and certain annuities with life contingencies) are recognized as revenues when due from policyholders. Premiums and other consideration for interest-sensitive insurance policies (which include universal life policies, interest-sensitive life policies, deferred annuities, and annuities without life contingencies) are recognized when earned and consist of amounts assessed against policyholder account balances during the period for policy administration charges and surrender charges.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follows the procedure of reinsuring risks in excess of $100,000 to provide for greater diversification of business to allow management to control exposure to potential losses arising from large risks, and provide additional capacity for growth. The Company remains liable for amounts ceded in the event the reinsurers are unable to meet their obligations.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entered into coinsurance agreements with unaffiliated insurance companies under which the Company assumed 100% of the risk for certain life insurance policies and certain other policy-related liabilities of the insurance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Reinsurance premiums, commissions, expense reimbursements, and reserves related to reinsured business are accounted for on a basis consistent with those used in accounting for the original policies issued and the terms of the reinsurance contracts. Expense allowances received in connection with reinsurance ceded are accounted for as a reduction of the related policy acquisition costs and are deferred and amortized accordingly.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Pre-need Sales and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Pre-need contract sales of funeral services and caskets</w:t>
      </w:r>
      <w:r>
        <w:rPr>
          <w:rFonts w:ascii="Times New Roman" w:cs="Times New Roman" w:eastAsia="Times New Roman" w:hAnsi="Times New Roman"/>
          <w:sz w:val="18"/>
          <w:szCs w:val="18"/>
          <w:color w:val="auto"/>
        </w:rPr>
        <w:t xml:space="preserve"> - revenue and costs associated with the sales of pre-need funeral services and caskets are deferred until the performance obligations are fulfilled (services are performed or the caskets are delivered).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Sales of cemetery interment rights (cemetery burial property)</w:t>
      </w:r>
      <w:r>
        <w:rPr>
          <w:rFonts w:ascii="Times New Roman" w:cs="Times New Roman" w:eastAsia="Times New Roman" w:hAnsi="Times New Roman"/>
          <w:sz w:val="18"/>
          <w:szCs w:val="18"/>
          <w:color w:val="auto"/>
        </w:rPr>
        <w:t xml:space="preserve"> - revenue and costs associated with the sale of cemetery interment rights are deferred until 10% of the sales price has been collected.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Pre-need contract sales of cemetery merchandise (primarily markers and vaults)</w:t>
      </w:r>
      <w:r>
        <w:rPr>
          <w:rFonts w:ascii="Times New Roman" w:cs="Times New Roman" w:eastAsia="Times New Roman" w:hAnsi="Times New Roman"/>
          <w:sz w:val="18"/>
          <w:szCs w:val="18"/>
          <w:color w:val="auto"/>
        </w:rPr>
        <w:t xml:space="preserve"> - revenue and costs associated with the sale of pre-need cemetery merchandise is deferred until the merchandise is delivered to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Pre-need contract sales of cemetery services (primarily merchandise delivery, installation fees and burial opening and closing fees)</w:t>
      </w:r>
      <w:r>
        <w:rPr>
          <w:rFonts w:ascii="Times New Roman" w:cs="Times New Roman" w:eastAsia="Times New Roman" w:hAnsi="Times New Roman"/>
          <w:sz w:val="18"/>
          <w:szCs w:val="18"/>
          <w:color w:val="auto"/>
        </w:rPr>
        <w:t xml:space="preserve"> - revenue and costs associated with the sales of pre-need cemetery services are deferred until the services are performed.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Prearranged funeral and pre-need cemetery customer acquisition costs</w:t>
      </w:r>
      <w:r>
        <w:rPr>
          <w:rFonts w:ascii="Times New Roman" w:cs="Times New Roman" w:eastAsia="Times New Roman" w:hAnsi="Times New Roman"/>
          <w:sz w:val="18"/>
          <w:szCs w:val="18"/>
          <w:color w:val="auto"/>
        </w:rPr>
        <w:t xml:space="preserve"> - costs incurred related to obtaining new pre-need contract cemetery and prearranged funeral services, which include only costs that vary with and are primarily related to the acquisition of new pre-need cemetery and prearranged funeral services, are deferred until the merchandise is delivered or services are performed.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and costs for at-need sales are recorded when a valid contract exists, the services are performed, collection is reasonably assured and there are no significant performance obligations remaining.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through its cemetery and mortuary operations, provides guaranteed funeral arrangements wherein a prospective customer can receive future goods and services at guaranteed prices. To accomplish this, the Company, through its life insurance operations, sells to the customer an increasing benefit life insurance policy that is assigned to the mortuaries. If, at the time of need, the policyholder/potential mortuary customer utilizes one of the Company’s facilities, the guaranteed funeral arrangement contract that has been assigned will provide the funeral goods and services at the contracted price. The increasing life insurance policy will cover the difference between the original contract prices and current prices. Risks may arise if the difference cannot be fully met by the life insurance policy. However, management believes that given current inflation rates and related price increases of goods and services, the risk of exposure is minimal.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Previous acquisitions have been accounted for as purchases under which assets acquired and liabilities assumed were recorded at their fair values with the excess purchase price recognized as goodwill. The Company evaluates annually or when changes in circumstances warrant the recoverability of goodwill and if there is a decrease in value, the related impairment is recognized as a charge against income. No impairment of goodwill has been recognized in the accompanying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intangibles are recognized apart from goodwill whenever an acquired intangible asset arises from contractual or other legal rights, or whenever it is capable of being separated or divided from the acquired entity and sold, transferred, licensed, rented, or exchanged, either individually or in combination with a related contract, asset, or liability. The Company engages a third-party valuation firm to analyze the value of the intangible assets that result from significant acquisitions. The value of the intangible assets that result from these acquisitions are included in Other Assets and are determined using the income approach, relying on a relief from the royalty method.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taxes include taxes currently payable plus deferred taxes. Deferred tax assets and liabilities are recognized for the future tax consequences attributable to the temporary differences in the financial reporting basis and tax basis of assets and liabilities and operating loss carry-forwards. Deferred tax assets are measured using enacted tax rates expected to apply to taxable income in the years in which these temporary differences are expected to be recovered or settled.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Liabilities are established for uncertain tax positions expected to be taken in income tax returns when such positions are judged to meet the “more-likely-than-not” threshold based on the technical merits of the positions. Estimated interest and penalties related to uncertain tax penalties are included as a component of income tax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computes earnings per share which requires presentation of basic and diluted earnings per share. Basic earnings per equivalent Class A common share are computed by dividing net earnings by the weighted-average number of Class A common shares outstanding during each year presented, after the effect of the assumed conversion of Class C common stock to Class A common stock. Diluted earnings per share is computed by dividing net earnings by the weighted-average number of common shares outstanding during the year used to compute basic earnings per share plus dilutive potential incremental shares by application of the treasury stock method. Basic and diluted earnings per share amounts have been adjusted retroactively for the effect of annual stock dividends.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of employee services received in exchange for an award of equity instruments is recognized in the financial statements and is measured based on the fair value on the grant date of the award. The fair value of stock options is calculated using the Black Scholes Option Pricing Model. Stock option compensation expense is recognized over the period during which an employee is required to provide service in exchange for the award and is included in personnel expenses on the consolidated statements of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description of the concentration risk regarding available for sale debt securities, mortgage loans held for investment and real estate held for investment, refer to Note 2, and for receivables from reinsurers, refer to Note 10 of the 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expenses advertising costs as incurred.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Adopted in 2023</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2016-13: “Financial Instruments – Credit Losses (Topic 326)”</w:t>
      </w:r>
      <w:r>
        <w:rPr>
          <w:rFonts w:ascii="Times New Roman" w:cs="Times New Roman" w:eastAsia="Times New Roman" w:hAnsi="Times New Roman"/>
          <w:sz w:val="18"/>
          <w:szCs w:val="18"/>
          <w:color w:val="auto"/>
        </w:rPr>
        <w:t xml:space="preserve"> — Issued in September 2016, ASU 2016-13 amends guidance on reporting credit losses for assets held at amortized cost basis (such as mortgage loans held for investment and held to maturity debt securities)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are measured in a manner similar to current GAAP; however, Topic 326 requires that credit losses be presented as an allowance rather than as a write-down. The Company adopted this standard on January 1, 2023, and after a review of the affected assets, determined that it would decrease the opening balance of retained earnings in stockholders’ equity by $671,505 on January 1, 2023. The allowances for credit losses increased (decreased) by the following amounts.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Amount</w:t>
            </w:r>
          </w:p>
        </w:tc>
      </w:tr>
      <w:tr>
        <w:trPr>
          <w:trHeight w:val="210"/>
        </w:trPr>
        <w:tc>
          <w:tcPr>
            <w:tcW w:w="7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(192,607)</w:t>
            </w:r>
          </w:p>
        </w:tc>
      </w:tr>
      <w:tr>
        <w:trPr>
          <w:trHeight w:val="216"/>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301,830</w:t>
            </w:r>
          </w:p>
        </w:tc>
      </w:tr>
      <w:tr>
        <w:trPr>
          <w:trHeight w:val="229"/>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555,806</w:t>
            </w:r>
          </w:p>
        </w:tc>
      </w:tr>
      <w:tr>
        <w:trPr>
          <w:trHeight w:val="210"/>
        </w:trPr>
        <w:tc>
          <w:tcPr>
            <w:tcW w:w="7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665,029</w:t>
            </w: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Restriced assets - mortgage loans held for investment: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3,463</w:t>
            </w:r>
          </w:p>
        </w:tc>
      </w:tr>
      <w:tr>
        <w:trPr>
          <w:trHeight w:val="210"/>
        </w:trPr>
        <w:tc>
          <w:tcPr>
            <w:tcW w:w="7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 mortgage loans held for investment:</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3,013</w:t>
            </w:r>
          </w:p>
        </w:tc>
      </w:tr>
      <w:tr>
        <w:trPr>
          <w:trHeight w:val="210"/>
        </w:trPr>
        <w:tc>
          <w:tcPr>
            <w:tcW w:w="7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Grand Total</w:t>
            </w:r>
          </w:p>
        </w:tc>
        <w:tc>
          <w:tcPr>
            <w:tcW w:w="2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671,505</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Issued But Not Yet Adopted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2018-12: “Financial Services – Insurance (Topic 944): Targeted Improvements to the Accounting for Long-Duration Contracts”</w:t>
      </w:r>
      <w:r>
        <w:rPr>
          <w:rFonts w:ascii="Times New Roman" w:cs="Times New Roman" w:eastAsia="Times New Roman" w:hAnsi="Times New Roman"/>
          <w:sz w:val="18"/>
          <w:szCs w:val="18"/>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ASU will improve the accounting for certain market-based options or guarantees associated with deposit or account balance contracts, simplify amortization of deferred acquisition costs while improving and expanding required disclosures. In November 2020, the FASB issued an update to ASU No. 2018-12 that made the ASU effective for the Company on January 1, 2025. The Company has made progress in the implementation of the new standard, including the involvement of actuaries, accountants, and systems specialists. However, the Company has not yet estimated the impact the new guidance will have on the consolidated financial statements.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reviewed other recent accounting pronouncements and has determined that they will not significantly impact the Company’s results of operations or financial position.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December 31, 2022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Gross Unrealized</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Gross 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14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Amortized Cost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Gains</w:t>
            </w:r>
          </w:p>
        </w:tc>
        <w:tc>
          <w:tcPr>
            <w:tcW w:w="26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89"/>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2022:</w:t>
            </w:r>
          </w:p>
        </w:tc>
        <w:tc>
          <w:tcPr>
            <w:tcW w:w="32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4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7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93,182,210</w:t>
            </w:r>
          </w:p>
        </w:tc>
        <w:tc>
          <w:tcPr>
            <w:tcW w:w="2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180,643</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(2,685,277)</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90,677,576</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6,675,071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13,869</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(458,137)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6,230,803</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229,141,544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1,909,630</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(11,930,773)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219,120,401</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33,501,686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168,700</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(4,100,674)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29,569,712</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260,000</w:t>
            </w:r>
          </w:p>
        </w:tc>
      </w:tr>
      <w:tr>
        <w:trPr>
          <w:trHeight w:val="209"/>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362,750,511</w:t>
            </w:r>
          </w:p>
        </w:tc>
        <w:tc>
          <w:tcPr>
            <w:tcW w:w="2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2,282,842</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(19,174,861)</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345,858,492</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9,942,265</w:t>
            </w:r>
          </w:p>
        </w:tc>
        <w:tc>
          <w:tcPr>
            <w:tcW w:w="2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2,688,375</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(948,114)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11,682,526</w:t>
            </w:r>
          </w:p>
        </w:tc>
      </w:tr>
      <w:tr>
        <w:trPr>
          <w:trHeight w:val="210"/>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9,942,265</w:t>
            </w:r>
          </w:p>
        </w:tc>
        <w:tc>
          <w:tcPr>
            <w:tcW w:w="2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2,688,375</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(948,114)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11,682,526</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93,355,623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172,516,125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46,311,955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(1,746,605)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1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(1,970,311)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discounts</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(342,860)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308,123,927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  net  of  accumulated</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38,437,960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152,890,656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191,328,616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11,010,029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11,161,582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Policy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13,095,473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assignments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46,942,536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 Home Loan Bank stock (1)</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2,600,300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9,479,798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(1,609,951)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148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policy loans and other investments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70,508,156</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7"/>
        </w:trPr>
        <w:tc>
          <w:tcPr>
            <w:tcW w:w="14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10,299,826</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7"/>
        </w:trPr>
        <w:tc>
          <w:tcPr>
            <w:tcW w:w="14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948,963,125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688" w:right="339" w:bottom="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(1) Includes $938,500 of Membership stock and $1,661,800 of Activity stock due to short-term advances and letters of credit.</w:t>
      </w:r>
    </w:p>
    <w:p>
      <w:pPr>
        <w:sectPr>
          <w:pgSz w:w="11900" w:h="16838" w:orient="portrait"/>
          <w:cols w:equalWidth="0" w:num="1">
            <w:col w:w="10079"/>
          </w:cols>
          <w:pgMar w:left="380" w:top="337" w:right="1440" w:bottom="1440" w:gutter="0" w:footer="0" w:header="0"/>
        </w:sectPr>
      </w:pPr>
    </w:p>
    <w:p>
      <w:pPr>
        <w:spacing w:after="0" w:line="33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337" w:right="1440" w:bottom="144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December 31, 2021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Gross Unrealized</w:t>
            </w:r>
          </w:p>
        </w:tc>
        <w:tc>
          <w:tcPr>
            <w:tcW w:w="15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Gross 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14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w w:val="97"/>
              </w:rPr>
              <w:t>Amortized Cost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Gains</w:t>
            </w:r>
          </w:p>
        </w:tc>
        <w:tc>
          <w:tcPr>
            <w:tcW w:w="260" w:type="dxa"/>
            <w:vAlign w:val="bottom"/>
          </w:tcPr>
          <w:p>
            <w:pPr>
              <w:spacing w:after="0"/>
              <w:rPr>
                <w:sz w:val="20"/>
                <w:szCs w:val="20"/>
                <w:color w:val="auto"/>
              </w:rPr>
            </w:pPr>
          </w:p>
        </w:tc>
        <w:tc>
          <w:tcPr>
            <w:tcW w:w="126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0"/>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2021:</w:t>
            </w:r>
          </w:p>
        </w:tc>
        <w:tc>
          <w:tcPr>
            <w:tcW w:w="32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4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7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22,307,736</w:t>
            </w:r>
          </w:p>
        </w:tc>
        <w:tc>
          <w:tcPr>
            <w:tcW w:w="1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578,567</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22,886,303</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4,649,917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212,803</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4,860,731</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174,711,061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21,791,370</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(353,668)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196,148,763</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34,365,382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905,159</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(161,332)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35,109,209</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269,214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13,383</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282,597</w:t>
            </w:r>
          </w:p>
        </w:tc>
      </w:tr>
      <w:tr>
        <w:trPr>
          <w:trHeight w:val="229"/>
        </w:trPr>
        <w:tc>
          <w:tcPr>
            <w:tcW w:w="148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47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236,303,310</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23,501,282</w:t>
            </w:r>
          </w:p>
        </w:tc>
        <w:tc>
          <w:tcPr>
            <w:tcW w:w="3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(516,989</w:t>
            </w: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259,287,603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8,275,772</w:t>
            </w:r>
          </w:p>
        </w:tc>
        <w:tc>
          <w:tcPr>
            <w:tcW w:w="1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3,626,444</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(305,802)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11,596,414</w:t>
            </w:r>
          </w:p>
        </w:tc>
      </w:tr>
      <w:tr>
        <w:trPr>
          <w:trHeight w:val="210"/>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8,275,772</w:t>
            </w:r>
          </w:p>
        </w:tc>
        <w:tc>
          <w:tcPr>
            <w:tcW w:w="1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3,626,444</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(305,802)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11,596,414</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53,533,712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175,117,783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51,683,022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(918,586)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100" w:type="dxa"/>
            <w:vAlign w:val="bottom"/>
          </w:tcPr>
          <w:p>
            <w:pPr>
              <w:spacing w:after="0"/>
              <w:rPr>
                <w:sz w:val="18"/>
                <w:szCs w:val="18"/>
                <w:color w:val="auto"/>
              </w:rPr>
            </w:pP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(1,699,902)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discounts</w:t>
            </w:r>
          </w:p>
        </w:tc>
        <w:tc>
          <w:tcPr>
            <w:tcW w:w="1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(409,983)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277,306,046</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  net  of  accumulated</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41,972,462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155,393,335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197,365,797</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1,190,602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2,540,698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3,731,300</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Policy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13,478,214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assignments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48,632,808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 Home Loan Bank stock (1)</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2,547,100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4,983,251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00" w:type="dxa"/>
            <w:vAlign w:val="bottom"/>
          </w:tcPr>
          <w:p>
            <w:pPr>
              <w:spacing w:after="0"/>
              <w:rPr>
                <w:sz w:val="19"/>
                <w:szCs w:val="19"/>
                <w:color w:val="auto"/>
              </w:rPr>
            </w:pP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(1,686,218)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148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policy loans and other investments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67,955,155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3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6,313,012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3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823,555,327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688" w:right="339" w:bottom="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(1) Includes $905,700 of Membership stock and $1,641,400 of Activity stock due to short-term advances and letters of credit.</w:t>
      </w:r>
    </w:p>
    <w:p>
      <w:pPr>
        <w:sectPr>
          <w:pgSz w:w="11900" w:h="16838" w:orient="portrait"/>
          <w:cols w:equalWidth="0" w:num="1">
            <w:col w:w="10079"/>
          </w:cols>
          <w:pgMar w:left="380" w:top="364" w:right="1440" w:bottom="1440" w:gutter="0" w:footer="0" w:header="0"/>
        </w:sectPr>
      </w:pPr>
    </w:p>
    <w:p>
      <w:pPr>
        <w:spacing w:after="0" w:line="33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364" w:right="1440" w:bottom="144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Maturity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unrealized losses on fixed maturities securities available for sale that were carried at estimated fair value at December 31, 2022 and at December 31, 2021. The unrealized losses were primarily related to interest rate fluctuations and inflation. The tables set forth unrealized losses by duration with the fair value of the related fixed maturity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Losses for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Losses for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Less than</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More than</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4"/>
              </w:rPr>
              <w:t>Total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6"/>
              </w:rPr>
              <w:t>Twelve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Twelve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Unrealized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6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Months</w:t>
            </w:r>
          </w:p>
        </w:tc>
        <w:tc>
          <w:tcPr>
            <w:tcW w:w="10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Months</w:t>
            </w:r>
          </w:p>
        </w:tc>
        <w:tc>
          <w:tcPr>
            <w:tcW w:w="140" w:type="dxa"/>
            <w:vAlign w:val="bottom"/>
          </w:tcPr>
          <w:p>
            <w:pPr>
              <w:spacing w:after="0"/>
              <w:rPr>
                <w:sz w:val="20"/>
                <w:szCs w:val="20"/>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Loss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Fair Value</w:t>
            </w:r>
          </w:p>
        </w:tc>
      </w:tr>
      <w:tr>
        <w:trPr>
          <w:trHeight w:val="169"/>
        </w:trPr>
        <w:tc>
          <w:tcPr>
            <w:tcW w:w="356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At December 31, 2022</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1"/>
        </w:trPr>
        <w:tc>
          <w:tcPr>
            <w:tcW w:w="1640" w:type="dxa"/>
            <w:vAlign w:val="bottom"/>
            <w:tcBorders>
              <w:top w:val="single" w:sz="8" w:color="auto"/>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3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2,685,277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79,400,753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2,685,277</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79,400,753</w:t>
            </w:r>
          </w:p>
        </w:tc>
        <w:tc>
          <w:tcPr>
            <w:tcW w:w="80" w:type="dxa"/>
            <w:vAlign w:val="bottom"/>
          </w:tcPr>
          <w:p>
            <w:pPr>
              <w:spacing w:after="0"/>
              <w:rPr>
                <w:sz w:val="20"/>
                <w:szCs w:val="20"/>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378,067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5,467,910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80,070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429,020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458,137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5,896,930</w:t>
            </w:r>
          </w:p>
        </w:tc>
        <w:tc>
          <w:tcPr>
            <w:tcW w:w="80" w:type="dxa"/>
            <w:vAlign w:val="bottom"/>
            <w:shd w:val="clear" w:color="auto" w:fill="CCEEFF"/>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10,935,114</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162,995,969</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995,659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5,781,822</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11,930,773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168,777,791</w:t>
            </w:r>
          </w:p>
        </w:tc>
        <w:tc>
          <w:tcPr>
            <w:tcW w:w="80" w:type="dxa"/>
            <w:vAlign w:val="bottom"/>
          </w:tcPr>
          <w:p>
            <w:pPr>
              <w:spacing w:after="0"/>
              <w:rPr>
                <w:sz w:val="18"/>
                <w:szCs w:val="18"/>
                <w:color w:val="auto"/>
              </w:rPr>
            </w:pPr>
          </w:p>
        </w:tc>
      </w:tr>
      <w:tr>
        <w:trPr>
          <w:trHeight w:val="229"/>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2,884,731</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19,909,907</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1,215,943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6,978,745</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4,100,674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26,888,652</w:t>
            </w:r>
          </w:p>
        </w:tc>
        <w:tc>
          <w:tcPr>
            <w:tcW w:w="80" w:type="dxa"/>
            <w:vAlign w:val="bottom"/>
            <w:shd w:val="clear" w:color="auto" w:fill="CCEEFF"/>
          </w:tcPr>
          <w:p>
            <w:pPr>
              <w:spacing w:after="0"/>
              <w:rPr>
                <w:sz w:val="19"/>
                <w:szCs w:val="19"/>
                <w:color w:val="auto"/>
              </w:rPr>
            </w:pPr>
          </w:p>
        </w:tc>
      </w:tr>
      <w:tr>
        <w:trPr>
          <w:trHeight w:val="263"/>
        </w:trPr>
        <w:tc>
          <w:tcPr>
            <w:tcW w:w="3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unrealized losses</w:t>
            </w:r>
          </w:p>
        </w:tc>
        <w:tc>
          <w:tcPr>
            <w:tcW w:w="14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16,883,189</w:t>
            </w:r>
          </w:p>
        </w:tc>
        <w:tc>
          <w:tcPr>
            <w:tcW w:w="2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267,774,539</w:t>
            </w:r>
          </w:p>
        </w:tc>
        <w:tc>
          <w:tcPr>
            <w:tcW w:w="2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2,291,672</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13,189,587</w:t>
            </w:r>
          </w:p>
        </w:tc>
        <w:tc>
          <w:tcPr>
            <w:tcW w:w="2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19,174,861</w:t>
            </w:r>
          </w:p>
        </w:tc>
        <w:tc>
          <w:tcPr>
            <w:tcW w:w="2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280,964,126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16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76"/>
        </w:trPr>
        <w:tc>
          <w:tcPr>
            <w:tcW w:w="35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At December 31, 2021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64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548,715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548,715</w:t>
            </w:r>
          </w:p>
        </w:tc>
        <w:tc>
          <w:tcPr>
            <w:tcW w:w="80" w:type="dxa"/>
            <w:vAlign w:val="bottom"/>
            <w:shd w:val="clear" w:color="auto" w:fill="CCEEFF"/>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73,507</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4,638,750</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280,161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3,771,813</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353,668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8,410,563</w:t>
            </w:r>
          </w:p>
        </w:tc>
        <w:tc>
          <w:tcPr>
            <w:tcW w:w="80" w:type="dxa"/>
            <w:vAlign w:val="bottom"/>
          </w:tcPr>
          <w:p>
            <w:pPr>
              <w:spacing w:after="0"/>
              <w:rPr>
                <w:sz w:val="18"/>
                <w:szCs w:val="18"/>
                <w:color w:val="auto"/>
              </w:rPr>
            </w:pPr>
          </w:p>
        </w:tc>
      </w:tr>
      <w:tr>
        <w:trPr>
          <w:trHeight w:val="229"/>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72,952</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7,934,760</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88,380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1,582,804</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161,332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9,517,564</w:t>
            </w:r>
          </w:p>
        </w:tc>
        <w:tc>
          <w:tcPr>
            <w:tcW w:w="80" w:type="dxa"/>
            <w:vAlign w:val="bottom"/>
            <w:shd w:val="clear" w:color="auto" w:fill="CCEEFF"/>
          </w:tcPr>
          <w:p>
            <w:pPr>
              <w:spacing w:after="0"/>
              <w:rPr>
                <w:sz w:val="19"/>
                <w:szCs w:val="19"/>
                <w:color w:val="auto"/>
              </w:rPr>
            </w:pPr>
          </w:p>
        </w:tc>
      </w:tr>
      <w:tr>
        <w:trPr>
          <w:trHeight w:val="223"/>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unrealized losses</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148,448</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13,122,225</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368,541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5,354,617</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516,989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18,476,842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713 securities with fair value of 93.6% of amortized cost at December 31, 2022. There were 55 securities with fair value of 97.3% of amortized cost at December 31, 2021. Credit losses of nil and $39,502 have been recognized for the years ended December 31, 2022 and 2021, respectively.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 quarterly basis, the Company evaluates its fixed maturity securities classified as available for sale. This evaluation includes a review of current ratings by the National Association of Insurance Commissions (“NAIC”). Securities with a rating of 1 or 2 are considered investment grade and are not reviewed for impairment, unless current market or recent company news could lead to a credit downgrade. Securities with ratings of 3 to 5 are evaluated for impairment. Securities with a rating of 6 are automatically determined to be impaired and are written down. The evaluation involves an analysis of the securities in relation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If it is unlikely that the security will meet contractual obligations, the loss is considered to be other than temporary, the security is written down to the new anticipated market value and an impairment loss is recognized.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of the Company’s cumulative other than temporary credit impairments (“OTTI”) recognized in earnings on fixed maturity securities available for sale.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20"/>
                <w:szCs w:val="20"/>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credit-related OTTI at January 1</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264,977</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370,975</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credit impairments recognized on:</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not previously impaired</w:t>
            </w:r>
          </w:p>
        </w:tc>
        <w:tc>
          <w:tcPr>
            <w:tcW w:w="9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39,502</w:t>
            </w: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previously impaired</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credit impairments previously recognized on:</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that matured or were sold during the period (realized)</w:t>
            </w:r>
          </w:p>
        </w:tc>
        <w:tc>
          <w:tcPr>
            <w:tcW w:w="9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(39,502)</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(145,500)</w:t>
            </w:r>
          </w:p>
        </w:tc>
      </w:tr>
      <w:tr>
        <w:trPr>
          <w:trHeight w:val="229"/>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due to an increase in expected cash flows</w:t>
            </w:r>
          </w:p>
        </w:tc>
        <w:tc>
          <w:tcPr>
            <w:tcW w:w="9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credit-related OTTI at December 31</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225,475</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264,977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amortized cost and estimated fair value of fixed maturity securities available for sale at December 31, 2022, by contractual maturity. Expected maturities may differ from contractual maturities because certain borrowers may have the right to call or prepay obligations with or without call or prepayment penalties.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Amortized</w:t>
            </w:r>
          </w:p>
        </w:tc>
        <w:tc>
          <w:tcPr>
            <w:tcW w:w="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3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Cost</w:t>
            </w:r>
          </w:p>
        </w:tc>
        <w:tc>
          <w:tcPr>
            <w:tcW w:w="80" w:type="dxa"/>
            <w:vAlign w:val="bottom"/>
          </w:tcPr>
          <w:p>
            <w:pPr>
              <w:spacing w:after="0"/>
              <w:rPr>
                <w:sz w:val="20"/>
                <w:szCs w:val="20"/>
                <w:color w:val="auto"/>
              </w:rPr>
            </w:pP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Value</w:t>
            </w: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1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Due in 2-5 years</w:t>
            </w: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139,431,212</w:t>
            </w:r>
          </w:p>
        </w:tc>
        <w:tc>
          <w:tcPr>
            <w:tcW w:w="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135,093,083</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5-10 years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87,552,213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84,011,366</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Due in more than 10 years</w:t>
            </w: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102,015,400</w:t>
            </w:r>
          </w:p>
        </w:tc>
        <w:tc>
          <w:tcPr>
            <w:tcW w:w="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96,924,331</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33,501,686</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29,569,712</w:t>
            </w: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260,000</w:t>
            </w:r>
          </w:p>
        </w:tc>
      </w:tr>
      <w:tr>
        <w:trPr>
          <w:trHeight w:val="223"/>
        </w:trPr>
        <w:tc>
          <w:tcPr>
            <w:tcW w:w="39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362,750,511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345,858,492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member of the Federal Home Loan Bank of Des Moines and Dallas (“FHLB”). The Company pledged a total of $93,034,880, at estimated fair value, of fixed maturity securities with the FHLB at December 31, 2022. These securities are used as collateral on any cash borrowings from the FHLB. As of December 31, 2022, the Company owed nil to the FHLB and its estimated maximum borrowing capacity was $86,032,116.</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Related Earnings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net realized gains and losses from sales, calls, and maturities, unrealized gains and losses on equity securities, and other than temporary impairments from investments and other 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56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19"/>
                <w:szCs w:val="19"/>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205,949</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984,740</w:t>
            </w: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(43,776)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(139,728)</w:t>
            </w: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than temporary impairments</w:t>
            </w:r>
          </w:p>
        </w:tc>
        <w:tc>
          <w:tcPr>
            <w:tcW w:w="340" w:type="dxa"/>
            <w:vAlign w:val="bottom"/>
          </w:tcPr>
          <w:p>
            <w:pPr>
              <w:spacing w:after="0"/>
              <w:rPr>
                <w:sz w:val="18"/>
                <w:szCs w:val="18"/>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(39,502)</w:t>
            </w:r>
          </w:p>
        </w:tc>
      </w:tr>
      <w:tr>
        <w:trPr>
          <w:trHeight w:val="216"/>
        </w:trPr>
        <w:tc>
          <w:tcPr>
            <w:tcW w:w="5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(losses) on securities sold</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(10,519)</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390,597</w:t>
            </w: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gains (losses) on securities held at the</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 of the period</w:t>
            </w:r>
          </w:p>
        </w:tc>
        <w:tc>
          <w:tcPr>
            <w:tcW w:w="340" w:type="dxa"/>
            <w:vAlign w:val="bottom"/>
          </w:tcPr>
          <w:p>
            <w:pPr>
              <w:spacing w:after="0"/>
              <w:rPr>
                <w:sz w:val="20"/>
                <w:szCs w:val="20"/>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(2,109,556)</w:t>
            </w:r>
          </w:p>
        </w:tc>
        <w:tc>
          <w:tcPr>
            <w:tcW w:w="34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2,732,130</w:t>
            </w:r>
          </w:p>
        </w:tc>
      </w:tr>
      <w:tr>
        <w:trPr>
          <w:trHeight w:val="216"/>
        </w:trPr>
        <w:tc>
          <w:tcPr>
            <w:tcW w:w="5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1,890,826</w:t>
            </w: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340" w:type="dxa"/>
            <w:vAlign w:val="bottom"/>
          </w:tcPr>
          <w:p>
            <w:pPr>
              <w:spacing w:after="0"/>
              <w:rPr>
                <w:sz w:val="18"/>
                <w:szCs w:val="18"/>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(4,190)</w:t>
            </w:r>
          </w:p>
        </w:tc>
      </w:tr>
      <w:tr>
        <w:trPr>
          <w:trHeight w:val="216"/>
        </w:trPr>
        <w:tc>
          <w:tcPr>
            <w:tcW w:w="5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1,239,332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2,347,924</w:t>
            </w: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34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(825,593)</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(2,426,428)</w:t>
            </w:r>
          </w:p>
        </w:tc>
      </w:tr>
      <w:tr>
        <w:trPr>
          <w:trHeight w:val="216"/>
        </w:trPr>
        <w:tc>
          <w:tcPr>
            <w:tcW w:w="5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including call and put option derivatives: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686,703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547,785</w:t>
            </w:r>
          </w:p>
        </w:tc>
      </w:tr>
      <w:tr>
        <w:trPr>
          <w:trHeight w:val="230"/>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340" w:type="dxa"/>
            <w:vAlign w:val="bottom"/>
          </w:tcPr>
          <w:p>
            <w:pPr>
              <w:spacing w:after="0"/>
              <w:rPr>
                <w:sz w:val="19"/>
                <w:szCs w:val="19"/>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(58,522)</w:t>
            </w:r>
          </w:p>
        </w:tc>
      </w:tr>
      <w:tr>
        <w:trPr>
          <w:trHeight w:val="223"/>
        </w:trPr>
        <w:tc>
          <w:tcPr>
            <w:tcW w:w="5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(857,460</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6,225,632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net realized gains and losses on the sale of securities are recorded on the trade date, and the cost of the securities sold is determined using the specific identification method.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realized gains and losses includes gains and losses by the restricted assets and cemetery perpetual care trust investments of the cemeteries and mortuaries of $817,000 in net losses and $933,045 in net gains for the years ended December 31, 2022 and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sales of fixed maturity securities available for sale is presented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Years Ended December 31</w:t>
            </w:r>
          </w:p>
        </w:tc>
        <w:tc>
          <w:tcPr>
            <w:tcW w:w="3380" w:type="dxa"/>
            <w:vAlign w:val="bottom"/>
          </w:tcPr>
          <w:p>
            <w:pPr>
              <w:spacing w:after="0"/>
              <w:rPr>
                <w:sz w:val="20"/>
                <w:szCs w:val="20"/>
                <w:color w:val="auto"/>
              </w:rPr>
            </w:pPr>
          </w:p>
        </w:tc>
      </w:tr>
      <w:tr>
        <w:trPr>
          <w:trHeight w:val="223"/>
        </w:trPr>
        <w:tc>
          <w:tcPr>
            <w:tcW w:w="48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3380" w:type="dxa"/>
            <w:vAlign w:val="bottom"/>
          </w:tcPr>
          <w:p>
            <w:pPr>
              <w:spacing w:after="0"/>
              <w:rPr>
                <w:sz w:val="19"/>
                <w:szCs w:val="19"/>
                <w:color w:val="auto"/>
              </w:rPr>
            </w:pPr>
          </w:p>
        </w:tc>
      </w:tr>
      <w:tr>
        <w:trPr>
          <w:trHeight w:val="20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3,091,105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2,896,351</w:t>
            </w:r>
          </w:p>
        </w:tc>
        <w:tc>
          <w:tcPr>
            <w:tcW w:w="3380" w:type="dxa"/>
            <w:vAlign w:val="bottom"/>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24,281</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208,698</w:t>
            </w:r>
          </w:p>
        </w:tc>
        <w:tc>
          <w:tcPr>
            <w:tcW w:w="338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(32,976)</w:t>
            </w:r>
          </w:p>
        </w:tc>
        <w:tc>
          <w:tcPr>
            <w:tcW w:w="30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3380" w:type="dxa"/>
            <w:vAlign w:val="bottom"/>
          </w:tcPr>
          <w:p>
            <w:pPr>
              <w:spacing w:after="0"/>
              <w:rPr>
                <w:sz w:val="18"/>
                <w:szCs w:val="18"/>
                <w:color w:val="auto"/>
              </w:rPr>
            </w:pPr>
          </w:p>
        </w:tc>
      </w:tr>
      <w:tr>
        <w:trPr>
          <w:trHeight w:val="439"/>
        </w:trPr>
        <w:tc>
          <w:tcPr>
            <w:tcW w:w="4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 Investments (Continued)</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Major categories of net investment income were as follows: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5"/>
        </w:trPr>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34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Borders>
              <w:bottom w:val="single" w:sz="8" w:color="CCEEFF"/>
            </w:tcBorders>
          </w:tcPr>
          <w:p>
            <w:pPr>
              <w:spacing w:after="0"/>
              <w:rPr>
                <w:sz w:val="19"/>
                <w:szCs w:val="19"/>
                <w:color w:val="auto"/>
              </w:rPr>
            </w:pPr>
          </w:p>
        </w:tc>
      </w:tr>
      <w:tr>
        <w:trPr>
          <w:trHeight w:val="209"/>
        </w:trPr>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12,395,764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10,769,979</w:t>
            </w:r>
          </w:p>
        </w:tc>
        <w:tc>
          <w:tcPr>
            <w:tcW w:w="60" w:type="dxa"/>
            <w:vAlign w:val="bottom"/>
            <w:shd w:val="clear" w:color="auto" w:fill="CCEEFF"/>
          </w:tcPr>
          <w:p>
            <w:pPr>
              <w:spacing w:after="0"/>
              <w:rPr>
                <w:sz w:val="18"/>
                <w:szCs w:val="18"/>
                <w:color w:val="auto"/>
              </w:rPr>
            </w:pPr>
          </w:p>
        </w:tc>
      </w:tr>
      <w:tr>
        <w:trPr>
          <w:trHeight w:val="216"/>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511,118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446,337</w:t>
            </w:r>
          </w:p>
        </w:tc>
      </w:tr>
      <w:tr>
        <w:trPr>
          <w:trHeight w:val="216"/>
        </w:trPr>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34,949,763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28,758,614</w:t>
            </w:r>
          </w:p>
        </w:tc>
      </w:tr>
      <w:tr>
        <w:trPr>
          <w:trHeight w:val="216"/>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14,563,269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12,334,989</w:t>
            </w:r>
          </w:p>
        </w:tc>
      </w:tr>
      <w:tr>
        <w:trPr>
          <w:trHeight w:val="216"/>
        </w:trPr>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932,362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940,890</w:t>
            </w:r>
          </w:p>
        </w:tc>
      </w:tr>
      <w:tr>
        <w:trPr>
          <w:trHeight w:val="216"/>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Insurance assignments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18,112,840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19,062,052</w:t>
            </w:r>
          </w:p>
        </w:tc>
      </w:tr>
      <w:tr>
        <w:trPr>
          <w:trHeight w:val="216"/>
        </w:trPr>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518,865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131,145</w:t>
            </w:r>
          </w:p>
        </w:tc>
      </w:tr>
      <w:tr>
        <w:trPr>
          <w:trHeight w:val="230"/>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1,666,945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235,470</w:t>
            </w:r>
          </w:p>
        </w:tc>
      </w:tr>
      <w:tr>
        <w:trPr>
          <w:trHeight w:val="209"/>
        </w:trPr>
        <w:tc>
          <w:tcPr>
            <w:tcW w:w="46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investment income</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83,650,926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72,679,476</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(17,453,334)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(14,414,793)</w:t>
            </w:r>
          </w:p>
        </w:tc>
      </w:tr>
      <w:tr>
        <w:trPr>
          <w:trHeight w:val="223"/>
        </w:trPr>
        <w:tc>
          <w:tcPr>
            <w:tcW w:w="46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66,197,592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58,264,683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investment income includes income earned by the restricted assets and cemetery perpetual care trust investments of the cemeteries and mortuaries of $2,404,277 and $1,472,295 for the years ended December 31, 2022 and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investment income on real estate consists primarily of rental revenue.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Investment expenses consist primarily of depreciation, property taxes, operating expenses of real estate and an estimated portion of administrative expenses relating to investment activities.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Securities on deposit for regulatory authorities as required by law amounted to $11,032,165 and $10,168,853 at December 31, 2022 and 2021, respectively (the December 31, 2021 amount has been corrected from that previously reported due to a typographical error). The restricted securities are included in various assets under investments on the accompanying consolidated balance sheets.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investments, aggregated by issuer, in excess of 10% of shareholders’ equity (before net unrealized gains and losses) at December 31, 2022, other than investments issued or guaranteed by the United States Government.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Held for Investment and Held for Sale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strategically deploys resources into real estate to match the income and yield durations of its primary obligations. The sources for these real estate assets come through its various business segments in the form of acquisition, development and mortgage foreclosures. The Company reports real estate held for investment and held for sale pursuant to the accounting policy discussed in Note 1 of the 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Real Estate Held for Investment and Held for Sale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reports. Geographic locations and asset classes of the investment activity is determined by senior management under the direction of the Board of Directors.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employs full-time employees to attend to the day-to-day operations of those assets within the greater Salt Lake area and close surrounding markets. The Company utilizes third-party property managers when the geographic boundary does not warrant full-time staff or through strategic lease-up periods. The Company generally looks to acquire assets in regions that are high growth regions for employment and population and assets that provide operational efficiencies.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currently owns and operates nine commercial properties in three states. These properties include office buildings, flex office space, and includes the redevelopment and expansion of its corporate campus (“Center53”) in Salt Lake City, Utah. The Company does use debt in strategic cases to leverage established yields or to acquire a higher quality or different class of asset.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aggregated net ending balance of commercial real estate that serves as collateral for bank loans was $129,330,119 and $134,251,205 as of December 31, 2022 and 2021, respectively. The associated bank loan carrying values totaled $97,112,131 and $85,663,148 as of December 31, 2022 and 2021,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recorded impairment losses on commercial real estate held for sale of nil and $2,028,378, respectively. Impairment losses are included in gains (losses) on investments and other assets on the consolidated statements of earnings.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recorded depreciation expense on commercial real estate held for investment of $6,090,575 and $3,592,207, respectively. Commercial real estate held for investment is stated at cost and is depreciated over the estimated useful life, primarily using the straight-line method. Depreciation is included in net investment income on the consolidated statements of earnings.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leases arise from the leasing of the Company’s commercial real estate held for investment. Initial lease terms generally range from three to ten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investment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9"/>
              </w:rPr>
              <w:t>Net Ending Balance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Total Square Footage</w:t>
            </w:r>
          </w:p>
        </w:tc>
        <w:tc>
          <w:tcPr>
            <w:tcW w:w="3380" w:type="dxa"/>
            <w:vAlign w:val="bottom"/>
          </w:tcPr>
          <w:p>
            <w:pPr>
              <w:spacing w:after="0"/>
              <w:rPr>
                <w:sz w:val="19"/>
                <w:szCs w:val="19"/>
                <w:color w:val="auto"/>
              </w:rPr>
            </w:pPr>
          </w:p>
        </w:tc>
      </w:tr>
      <w:tr>
        <w:trPr>
          <w:trHeight w:val="234"/>
        </w:trPr>
        <w:tc>
          <w:tcPr>
            <w:tcW w:w="2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9"/>
              </w:rPr>
              <w:t>December 31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color w:val="auto"/>
              </w:rPr>
              <w:t>December 31</w:t>
            </w:r>
          </w:p>
        </w:tc>
        <w:tc>
          <w:tcPr>
            <w:tcW w:w="3380" w:type="dxa"/>
            <w:vAlign w:val="bottom"/>
          </w:tcPr>
          <w:p>
            <w:pPr>
              <w:spacing w:after="0"/>
              <w:rPr>
                <w:sz w:val="20"/>
                <w:szCs w:val="20"/>
                <w:color w:val="auto"/>
              </w:rPr>
            </w:pPr>
          </w:p>
        </w:tc>
      </w:tr>
      <w:tr>
        <w:trPr>
          <w:trHeight w:val="223"/>
        </w:trPr>
        <w:tc>
          <w:tcPr>
            <w:tcW w:w="28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2021</w:t>
            </w:r>
          </w:p>
        </w:tc>
        <w:tc>
          <w:tcPr>
            <w:tcW w:w="3380" w:type="dxa"/>
            <w:vAlign w:val="bottom"/>
          </w:tcPr>
          <w:p>
            <w:pPr>
              <w:spacing w:after="0"/>
              <w:rPr>
                <w:sz w:val="19"/>
                <w:szCs w:val="19"/>
                <w:color w:val="auto"/>
              </w:rPr>
            </w:pPr>
          </w:p>
        </w:tc>
      </w:tr>
      <w:tr>
        <w:trPr>
          <w:trHeight w:val="209"/>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$ 147,627,946</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$ 150,105,948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625,920</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625,920</w:t>
            </w:r>
          </w:p>
        </w:tc>
        <w:tc>
          <w:tcPr>
            <w:tcW w:w="3380" w:type="dxa"/>
            <w:vAlign w:val="bottom"/>
          </w:tcPr>
          <w:p>
            <w:pPr>
              <w:spacing w:after="0"/>
              <w:rPr>
                <w:sz w:val="18"/>
                <w:szCs w:val="18"/>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Louisiana</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2,380,847</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2,426,612</w:t>
            </w:r>
          </w:p>
        </w:tc>
        <w:tc>
          <w:tcPr>
            <w:tcW w:w="13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31,778</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31,778</w:t>
            </w:r>
          </w:p>
        </w:tc>
        <w:tc>
          <w:tcPr>
            <w:tcW w:w="3380" w:type="dxa"/>
            <w:vAlign w:val="bottom"/>
          </w:tcPr>
          <w:p>
            <w:pPr>
              <w:spacing w:after="0"/>
              <w:rPr>
                <w:sz w:val="18"/>
                <w:szCs w:val="18"/>
                <w:color w:val="auto"/>
              </w:rPr>
            </w:pPr>
          </w:p>
        </w:tc>
      </w:tr>
      <w:tr>
        <w:trPr>
          <w:trHeight w:val="229"/>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Mississippi</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2,881,863</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2,860,775</w:t>
            </w:r>
          </w:p>
        </w:tc>
        <w:tc>
          <w:tcPr>
            <w:tcW w:w="13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19,694</w:t>
            </w: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19,694</w:t>
            </w:r>
          </w:p>
        </w:tc>
        <w:tc>
          <w:tcPr>
            <w:tcW w:w="3380" w:type="dxa"/>
            <w:vAlign w:val="bottom"/>
          </w:tcPr>
          <w:p>
            <w:pPr>
              <w:spacing w:after="0"/>
              <w:rPr>
                <w:sz w:val="19"/>
                <w:szCs w:val="19"/>
                <w:color w:val="auto"/>
              </w:rPr>
            </w:pPr>
          </w:p>
        </w:tc>
      </w:tr>
      <w:tr>
        <w:trPr>
          <w:trHeight w:val="210"/>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380" w:type="dxa"/>
            <w:vAlign w:val="bottom"/>
          </w:tcPr>
          <w:p>
            <w:pPr>
              <w:spacing w:after="0"/>
              <w:rPr>
                <w:sz w:val="18"/>
                <w:szCs w:val="18"/>
                <w:color w:val="auto"/>
              </w:rPr>
            </w:pPr>
          </w:p>
        </w:tc>
      </w:tr>
      <w:tr>
        <w:trPr>
          <w:trHeight w:val="243"/>
        </w:trPr>
        <w:tc>
          <w:tcPr>
            <w:tcW w:w="2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$ 152,890,656</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$ 155,393,335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677,392</w:t>
            </w: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677,392</w:t>
            </w:r>
          </w:p>
        </w:tc>
        <w:tc>
          <w:tcPr>
            <w:tcW w:w="3380" w:type="dxa"/>
            <w:vAlign w:val="bottom"/>
          </w:tcPr>
          <w:p>
            <w:pPr>
              <w:spacing w:after="0"/>
              <w:rPr>
                <w:sz w:val="21"/>
                <w:szCs w:val="2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97"/>
        </w:trPr>
        <w:tc>
          <w:tcPr>
            <w:tcW w:w="2820" w:type="dxa"/>
            <w:vAlign w:val="bottom"/>
            <w:tcBorders>
              <w:bottom w:val="single" w:sz="8" w:color="auto"/>
            </w:tcBorders>
          </w:tcPr>
          <w:p>
            <w:pPr>
              <w:spacing w:after="0"/>
              <w:rPr>
                <w:sz w:val="17"/>
                <w:szCs w:val="17"/>
                <w:color w:val="auto"/>
              </w:rPr>
            </w:pPr>
          </w:p>
        </w:tc>
        <w:tc>
          <w:tcPr>
            <w:tcW w:w="1480" w:type="dxa"/>
            <w:vAlign w:val="bottom"/>
            <w:gridSpan w:val="3"/>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28"/>
        </w:trPr>
        <w:tc>
          <w:tcPr>
            <w:tcW w:w="4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(1) Includes Center53 phase 1 and phase 2</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542"/>
        </w:trPr>
        <w:tc>
          <w:tcPr>
            <w:tcW w:w="2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maturity analysis of the annual undiscounted cash flows of the operating lease payments to be received.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$11,650,181</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10,310,144</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9,933,831</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8,282,769</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6,720,796</w:t>
            </w:r>
          </w:p>
        </w:tc>
      </w:tr>
      <w:tr>
        <w:trPr>
          <w:trHeight w:val="229"/>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50,530,849</w:t>
            </w:r>
          </w:p>
        </w:tc>
      </w:tr>
      <w:tr>
        <w:trPr>
          <w:trHeight w:val="223"/>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97,428,570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sale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Net Ending Balance</w:t>
            </w:r>
          </w:p>
        </w:tc>
        <w:tc>
          <w:tcPr>
            <w:tcW w:w="228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color w:val="auto"/>
                <w:w w:val="99"/>
              </w:rPr>
              <w:t>Total Square Footage</w:t>
            </w:r>
          </w:p>
        </w:tc>
      </w:tr>
      <w:tr>
        <w:trPr>
          <w:trHeight w:val="234"/>
        </w:trPr>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December 31</w:t>
            </w:r>
          </w:p>
        </w:tc>
        <w:tc>
          <w:tcPr>
            <w:tcW w:w="228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30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Borders>
              <w:bottom w:val="single" w:sz="8" w:color="CCEEFF"/>
            </w:tcBorders>
          </w:tcPr>
          <w:p>
            <w:pPr>
              <w:spacing w:after="0"/>
              <w:rPr>
                <w:sz w:val="19"/>
                <w:szCs w:val="19"/>
                <w:color w:val="auto"/>
              </w:rPr>
            </w:pPr>
          </w:p>
        </w:tc>
      </w:tr>
      <w:tr>
        <w:trPr>
          <w:trHeight w:val="21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Kansas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222,679</w:t>
            </w:r>
          </w:p>
        </w:tc>
        <w:tc>
          <w:tcPr>
            <w:tcW w:w="6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Louisiana</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389,145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2,872</w:t>
            </w:r>
          </w:p>
        </w:tc>
      </w:tr>
      <w:tr>
        <w:trPr>
          <w:trHeight w:val="22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Mississippi (1)</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151,553</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151,553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0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30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151,553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2,540,698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225,551</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Approximately 93 acres of undeveloped land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property is being marketed with the assistance of commercial real estate brokers in the markets where the property is located.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Residential Real Estate Held for Investment and Held for Sale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occasionally owns a small portfolio of residential homes primarily as a result of loan foreclosures. The Company has the option to sell them or to continue to hold them for cash flow and acceptable returns. The Company also invests in residential subdivision land developments.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established Security National Real Estate Services (“SNRE”) to manage the residential portfolio. SNRE cultivates and maintains the preferred vendor relationships necessary to manage costs and quality of work performed on the residential portfolio across the country.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recorded impairment losses on residential real estate held for sale of $94,400 and nil, respectively. These impairment losses are included in gains (losses) on investments and other assets on the consolidated statements of earnings.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recorded depreciation expense on residential real estate held for investment of $10,592 and $12,850, respectively. Residential real estate held for investment is stated at cost and is depreciated over the estimated useful life, primarily using the straight-line method. Depreciation is included in net investment income on the consolidated statements of earnings.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net ending balance of foreclosed residential real estate included in residential real estate held for investment or sale was $11,010,029 and $1,190,602 as of December 31, 2022 and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investment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Net Ending Balance</w:t>
            </w:r>
          </w:p>
        </w:tc>
      </w:tr>
      <w:tr>
        <w:trPr>
          <w:trHeight w:val="234"/>
        </w:trPr>
        <w:tc>
          <w:tcPr>
            <w:tcW w:w="4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December 31</w:t>
            </w:r>
          </w:p>
        </w:tc>
      </w:tr>
      <w:tr>
        <w:trPr>
          <w:trHeight w:val="223"/>
        </w:trPr>
        <w:tc>
          <w:tcPr>
            <w:tcW w:w="42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Borders>
              <w:bottom w:val="single" w:sz="8" w:color="CCEEFF"/>
            </w:tcBorders>
          </w:tcPr>
          <w:p>
            <w:pPr>
              <w:spacing w:after="0"/>
              <w:rPr>
                <w:sz w:val="19"/>
                <w:szCs w:val="19"/>
                <w:color w:val="auto"/>
              </w:rPr>
            </w:pPr>
          </w:p>
        </w:tc>
      </w:tr>
      <w:tr>
        <w:trPr>
          <w:trHeight w:val="20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38,437,960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41,686,281</w:t>
            </w:r>
          </w:p>
        </w:tc>
        <w:tc>
          <w:tcPr>
            <w:tcW w:w="40" w:type="dxa"/>
            <w:vAlign w:val="bottom"/>
            <w:shd w:val="clear" w:color="auto" w:fill="CCEEFF"/>
          </w:tcPr>
          <w:p>
            <w:pPr>
              <w:spacing w:after="0"/>
              <w:rPr>
                <w:sz w:val="18"/>
                <w:szCs w:val="18"/>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Washington (2)</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286,181</w:t>
            </w:r>
          </w:p>
        </w:tc>
      </w:tr>
      <w:tr>
        <w:trPr>
          <w:trHeight w:val="223"/>
        </w:trPr>
        <w:tc>
          <w:tcPr>
            <w:tcW w:w="4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38,437,960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41,972,462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60" w:hanging="29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subdivision land developments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residential lots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regarding the Company’s subdivision land developments in Utah.</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December 31</w:t>
            </w:r>
          </w:p>
        </w:tc>
        <w:tc>
          <w:tcPr>
            <w:tcW w:w="9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24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Borders>
              <w:bottom w:val="single" w:sz="8" w:color="CCEEFF"/>
            </w:tcBorders>
          </w:tcPr>
          <w:p>
            <w:pPr>
              <w:spacing w:after="0"/>
              <w:rPr>
                <w:sz w:val="19"/>
                <w:szCs w:val="19"/>
                <w:color w:val="auto"/>
              </w:rPr>
            </w:pP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Lots available for sale</w:t>
            </w: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Lots to be developed</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548</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38,241,705</w:t>
            </w: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41,479,434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sale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Net Ending Balance</w:t>
            </w:r>
          </w:p>
        </w:tc>
      </w:tr>
      <w:tr>
        <w:trPr>
          <w:trHeight w:val="234"/>
        </w:trPr>
        <w:tc>
          <w:tcPr>
            <w:tcW w:w="4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7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9"/>
              </w:rPr>
              <w:t>2021</w:t>
            </w:r>
          </w:p>
        </w:tc>
        <w:tc>
          <w:tcPr>
            <w:tcW w:w="40" w:type="dxa"/>
            <w:vAlign w:val="bottom"/>
            <w:tcBorders>
              <w:bottom w:val="single" w:sz="8" w:color="CCEEFF"/>
            </w:tcBorders>
          </w:tcPr>
          <w:p>
            <w:pPr>
              <w:spacing w:after="0"/>
              <w:rPr>
                <w:sz w:val="19"/>
                <w:szCs w:val="19"/>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11,010,029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979,640</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200,962</w:t>
            </w: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r>
      <w:tr>
        <w:trPr>
          <w:trHeight w:val="223"/>
        </w:trPr>
        <w:tc>
          <w:tcPr>
            <w:tcW w:w="4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11,010,029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1,190,602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properties are all actively being marketed with the assistance of residential real estate brokers. The Company expects these properties to sell within the coming 12 months.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Real Estate Owned and Occupied by the Company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primary business units of the Company occupy a portion of the commercial real estate owned by the Company. As of December 31, 2022, real estate owned and occupied by the Company is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Square Footage</w:t>
            </w: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Approximate</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Occupied by the</w:t>
            </w:r>
          </w:p>
        </w:tc>
      </w:tr>
      <w:tr>
        <w:trPr>
          <w:trHeight w:val="234"/>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Location</w:t>
            </w:r>
          </w:p>
        </w:tc>
        <w:tc>
          <w:tcPr>
            <w:tcW w:w="3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Business Segment</w:t>
            </w:r>
          </w:p>
        </w:tc>
        <w:tc>
          <w:tcPr>
            <w:tcW w:w="17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Square Footage</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Company</w:t>
            </w:r>
          </w:p>
        </w:tc>
      </w:tr>
      <w:tr>
        <w:trPr>
          <w:trHeight w:val="191"/>
        </w:trPr>
        <w:tc>
          <w:tcPr>
            <w:tcW w:w="3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433</w:t>
            </w:r>
          </w:p>
        </w:tc>
        <w:tc>
          <w:tcPr>
            <w:tcW w:w="4200" w:type="dxa"/>
            <w:vAlign w:val="bottom"/>
            <w:tcBorders>
              <w:top w:val="single" w:sz="8" w:color="auto"/>
            </w:tcBorders>
            <w:gridSpan w:val="3"/>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Ascension Way, Floors 4, 5 and 6, Salt Lake City, UT -</w:t>
            </w:r>
          </w:p>
        </w:tc>
        <w:tc>
          <w:tcPr>
            <w:tcW w:w="240" w:type="dxa"/>
            <w:vAlign w:val="bottom"/>
            <w:tcBorders>
              <w:top w:val="single" w:sz="8" w:color="CCEEFF"/>
            </w:tcBorders>
            <w:shd w:val="clear" w:color="auto" w:fill="CCEEFF"/>
          </w:tcPr>
          <w:p>
            <w:pPr>
              <w:spacing w:after="0"/>
              <w:rPr>
                <w:sz w:val="16"/>
                <w:szCs w:val="16"/>
                <w:color w:val="auto"/>
              </w:rPr>
            </w:pPr>
          </w:p>
        </w:tc>
        <w:tc>
          <w:tcPr>
            <w:tcW w:w="29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Corporate Offices, Life Insurance,</w:t>
            </w:r>
          </w:p>
        </w:tc>
        <w:tc>
          <w:tcPr>
            <w:tcW w:w="2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Center53 Building 2</w:t>
            </w: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Cemetery/Mortuary Operations, and</w:t>
            </w: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Operations and Sales</w:t>
            </w: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221,000</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1044</w:t>
            </w:r>
          </w:p>
        </w:tc>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River Oaks Dr., Flowood, MS</w:t>
            </w: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Operations</w:t>
            </w: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19,694</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1818</w:t>
            </w:r>
          </w:p>
        </w:tc>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Marshall Street, Shreveport, LA (1)</w:t>
            </w: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Operations</w:t>
            </w: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12,274</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909</w:t>
            </w:r>
          </w:p>
        </w:tc>
        <w:tc>
          <w:tcPr>
            <w:tcW w:w="4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Foisy Street, Alexandria, LA (1)</w:t>
            </w: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Sales</w:t>
            </w: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8,059</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812</w:t>
            </w:r>
          </w:p>
        </w:tc>
        <w:tc>
          <w:tcPr>
            <w:tcW w:w="4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Sheppard Street, Minden, LA (1)</w:t>
            </w: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Sales</w:t>
            </w: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1,560</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1550</w:t>
            </w:r>
          </w:p>
        </w:tc>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 3rd Street, Jena, LA (1)</w:t>
            </w: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Sales</w:t>
            </w: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1,737</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198"/>
        </w:trPr>
        <w:tc>
          <w:tcPr>
            <w:tcW w:w="300" w:type="dxa"/>
            <w:vAlign w:val="bottom"/>
          </w:tcPr>
          <w:p>
            <w:pPr>
              <w:spacing w:after="0"/>
              <w:rPr>
                <w:sz w:val="17"/>
                <w:szCs w:val="17"/>
                <w:color w:val="auto"/>
              </w:rPr>
            </w:pPr>
          </w:p>
        </w:tc>
        <w:tc>
          <w:tcPr>
            <w:tcW w:w="7560" w:type="dxa"/>
            <w:vAlign w:val="bottom"/>
            <w:gridSpan w:val="6"/>
          </w:tcPr>
          <w:p>
            <w:pPr>
              <w:spacing w:after="0"/>
              <w:rPr>
                <w:sz w:val="17"/>
                <w:szCs w:val="17"/>
                <w:color w:val="auto"/>
              </w:rPr>
            </w:pP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8"/>
        </w:trPr>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25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94"/>
              </w:rPr>
              <w:t>Included in property and equipment</w:t>
            </w:r>
          </w:p>
        </w:tc>
        <w:tc>
          <w:tcPr>
            <w:tcW w:w="50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on the consolidated balance sheets</w:t>
            </w: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 Held for Investment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reports mortgage loans held for investment pursuant to the accounting policy discussed in Note 1 of the Notes to Consolidated Financial Statements.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Mortgage loans consist of first and second mortgages. The mortgage loans bear interest at rates ranging from 2.0 % to 10.5%, maturity dates range from nine months to 30 years and are secured by real estate. 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its debtors’ ability to honor obligations is reliant on the economic stability of the geographic region in which the debtors do business. At December 31, 2022, the Company had 64%, 10%, 5%, 5%, 3% and 3% of its mortgage loans from borrowers located in the states of Utah, Florida, California, Texas, Nevada and Arizona, respectively. At December 31, 2021, the Company had 70%, 7%, 5%, 4%, 4% and 2% of its mortgage loans from borrowers located in the states of Utah, Florida, California, Texas, Nevada and Arizona, respectively.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establishes a valuation allowance for credit losses in its mortgage loans held for investment portfolio. The following table presents the valuation allowance for loan losses as a contra-asset account.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Residential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14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Construction</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r>
      <w:tr>
        <w:trPr>
          <w:trHeight w:val="169"/>
        </w:trPr>
        <w:tc>
          <w:tcPr>
            <w:tcW w:w="514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r>
      <w:tr>
        <w:trPr>
          <w:trHeight w:val="21"/>
        </w:trPr>
        <w:tc>
          <w:tcPr>
            <w:tcW w:w="1460" w:type="dxa"/>
            <w:vAlign w:val="bottom"/>
            <w:tcBorders>
              <w:top w:val="single" w:sz="8" w:color="auto"/>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187,129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1,469,571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43,202</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1,699,902</w:t>
            </w:r>
          </w:p>
        </w:tc>
      </w:tr>
      <w:tr>
        <w:trPr>
          <w:trHeight w:val="216"/>
        </w:trPr>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270,409</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270,409</w:t>
            </w:r>
          </w:p>
        </w:tc>
      </w:tr>
      <w:tr>
        <w:trPr>
          <w:trHeight w:val="263"/>
        </w:trPr>
        <w:tc>
          <w:tcPr>
            <w:tcW w:w="5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1,739,980</w:t>
            </w:r>
          </w:p>
        </w:tc>
        <w:tc>
          <w:tcPr>
            <w:tcW w:w="3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1,970,311</w:t>
            </w:r>
          </w:p>
        </w:tc>
        <w:tc>
          <w:tcPr>
            <w:tcW w:w="220" w:type="dxa"/>
            <w:vAlign w:val="bottom"/>
            <w:tcBorders>
              <w:bottom w:val="single" w:sz="8" w:color="CCEEFF"/>
            </w:tcBorders>
          </w:tcPr>
          <w:p>
            <w:pPr>
              <w:spacing w:after="0"/>
              <w:rPr>
                <w:sz w:val="22"/>
                <w:szCs w:val="22"/>
                <w:color w:val="auto"/>
              </w:rPr>
            </w:pPr>
          </w:p>
        </w:tc>
      </w:tr>
      <w:tr>
        <w:trPr>
          <w:trHeight w:val="196"/>
        </w:trPr>
        <w:tc>
          <w:tcPr>
            <w:tcW w:w="146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83"/>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 individually evaluated for impairment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225,667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225,667</w:t>
            </w:r>
          </w:p>
        </w:tc>
      </w:tr>
      <w:tr>
        <w:trPr>
          <w:trHeight w:val="197"/>
        </w:trPr>
        <w:tc>
          <w:tcPr>
            <w:tcW w:w="1460" w:type="dxa"/>
            <w:vAlign w:val="bottom"/>
            <w:tcBorders>
              <w:top w:val="single" w:sz="8" w:color="CCEEFF"/>
            </w:tcBorders>
            <w:shd w:val="clear" w:color="auto" w:fill="CCEEFF"/>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83"/>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 collectively evaluated for impairment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187,129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1,514,313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43,202</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1,744,644</w:t>
            </w:r>
          </w:p>
        </w:tc>
      </w:tr>
      <w:tr>
        <w:trPr>
          <w:trHeight w:val="197"/>
        </w:trPr>
        <w:tc>
          <w:tcPr>
            <w:tcW w:w="1460" w:type="dxa"/>
            <w:vAlign w:val="bottom"/>
            <w:tcBorders>
              <w:top w:val="single" w:sz="8" w:color="CCEEFF"/>
            </w:tcBorders>
            <w:shd w:val="clear" w:color="auto" w:fill="CCEEFF"/>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3"/>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46,311,955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93,355,623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172,516,125</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312,183,703</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3"/>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individually evaluated for impairment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405,000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2,162,385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2,567,385</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7"/>
        </w:trPr>
        <w:tc>
          <w:tcPr>
            <w:tcW w:w="14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3"/>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collectively evaluated for impairment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45,906,955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91,193,238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172,516,125</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309,616,318</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7"/>
        </w:trPr>
        <w:tc>
          <w:tcPr>
            <w:tcW w:w="14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75"/>
        </w:trPr>
        <w:tc>
          <w:tcPr>
            <w:tcW w:w="5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0"/>
        </w:trPr>
        <w:tc>
          <w:tcPr>
            <w:tcW w:w="1460" w:type="dxa"/>
            <w:vAlign w:val="bottom"/>
            <w:tcBorders>
              <w:top w:val="single" w:sz="8" w:color="auto"/>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187,129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1,774,796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43,202</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2,005,127</w:t>
            </w:r>
          </w:p>
        </w:tc>
      </w:tr>
      <w:tr>
        <w:trPr>
          <w:trHeight w:val="216"/>
        </w:trPr>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(305,225)</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(305,225)</w:t>
            </w:r>
          </w:p>
        </w:tc>
      </w:tr>
      <w:tr>
        <w:trPr>
          <w:trHeight w:val="263"/>
        </w:trPr>
        <w:tc>
          <w:tcPr>
            <w:tcW w:w="5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1,469,571</w:t>
            </w:r>
          </w:p>
        </w:tc>
        <w:tc>
          <w:tcPr>
            <w:tcW w:w="3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1,699,902</w:t>
            </w:r>
          </w:p>
        </w:tc>
        <w:tc>
          <w:tcPr>
            <w:tcW w:w="220" w:type="dxa"/>
            <w:vAlign w:val="bottom"/>
            <w:tcBorders>
              <w:bottom w:val="single" w:sz="8" w:color="CCEEFF"/>
            </w:tcBorders>
          </w:tcPr>
          <w:p>
            <w:pPr>
              <w:spacing w:after="0"/>
              <w:rPr>
                <w:sz w:val="22"/>
                <w:szCs w:val="22"/>
                <w:color w:val="auto"/>
              </w:rPr>
            </w:pPr>
          </w:p>
        </w:tc>
      </w:tr>
      <w:tr>
        <w:trPr>
          <w:trHeight w:val="196"/>
        </w:trPr>
        <w:tc>
          <w:tcPr>
            <w:tcW w:w="146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83"/>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 individually evaluated for impairment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105,384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105,384</w:t>
            </w:r>
          </w:p>
        </w:tc>
      </w:tr>
      <w:tr>
        <w:trPr>
          <w:trHeight w:val="196"/>
        </w:trPr>
        <w:tc>
          <w:tcPr>
            <w:tcW w:w="1460" w:type="dxa"/>
            <w:vAlign w:val="bottom"/>
            <w:tcBorders>
              <w:top w:val="single" w:sz="8" w:color="CCEEFF"/>
            </w:tcBorders>
            <w:shd w:val="clear" w:color="auto" w:fill="CCEEFF"/>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83"/>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 collectively evaluated for impairment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187,129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1,364,187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43,202</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1,594,518</w:t>
            </w:r>
          </w:p>
        </w:tc>
      </w:tr>
      <w:tr>
        <w:trPr>
          <w:trHeight w:val="197"/>
        </w:trPr>
        <w:tc>
          <w:tcPr>
            <w:tcW w:w="1460" w:type="dxa"/>
            <w:vAlign w:val="bottom"/>
            <w:tcBorders>
              <w:top w:val="single" w:sz="8" w:color="CCEEFF"/>
            </w:tcBorders>
            <w:shd w:val="clear" w:color="auto" w:fill="CCEEFF"/>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3"/>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51,683,022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53,533,712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175,117,783</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280,334,517</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7"/>
        </w:trPr>
        <w:tc>
          <w:tcPr>
            <w:tcW w:w="14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3"/>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individually evaluated for impairment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1,723,372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2,548,656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4,272,028</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7"/>
        </w:trPr>
        <w:tc>
          <w:tcPr>
            <w:tcW w:w="14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3"/>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collectively evaluated for impairment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49,959,650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50,985,056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175,117,783</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276,062,489(1)</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5540" w:right="5360" w:hanging="5532"/>
        <w:spacing w:after="0" w:line="409" w:lineRule="auto"/>
        <w:tabs>
          <w:tab w:leader="none" w:pos="33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corrected from that previously reported due to a typographical error.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mortgage loans held for investment.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4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169"/>
        </w:trPr>
        <w:tc>
          <w:tcPr>
            <w:tcW w:w="520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
        </w:trPr>
        <w:tc>
          <w:tcPr>
            <w:tcW w:w="1460" w:type="dxa"/>
            <w:vAlign w:val="bottom"/>
            <w:tcBorders>
              <w:top w:val="single" w:sz="8" w:color="auto"/>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30-59 Days Past Due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3,553,390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4,553,390</w:t>
            </w:r>
          </w:p>
        </w:tc>
      </w:tr>
      <w:tr>
        <w:trPr>
          <w:trHeight w:val="216"/>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60-89 Days Past Due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814,184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814,184</w:t>
            </w:r>
          </w:p>
        </w:tc>
      </w:tr>
      <w:tr>
        <w:trPr>
          <w:trHeight w:val="216"/>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Greater Than 90 Days (1)</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1,286,211</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1,286,211</w:t>
            </w:r>
          </w:p>
        </w:tc>
      </w:tr>
      <w:tr>
        <w:trPr>
          <w:trHeight w:val="23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405,000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876,174</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1,281,174</w:t>
            </w:r>
          </w:p>
        </w:tc>
      </w:tr>
      <w:tr>
        <w:trPr>
          <w:trHeight w:val="209"/>
        </w:trPr>
        <w:tc>
          <w:tcPr>
            <w:tcW w:w="52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Past Due</w:t>
            </w: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1,405,000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6,529,959</w:t>
            </w:r>
          </w:p>
        </w:tc>
        <w:tc>
          <w:tcPr>
            <w:tcW w:w="3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7,934,959</w:t>
            </w:r>
          </w:p>
        </w:tc>
        <w:tc>
          <w:tcPr>
            <w:tcW w:w="100" w:type="dxa"/>
            <w:vAlign w:val="bottom"/>
            <w:tcBorders>
              <w:bottom w:val="single" w:sz="8" w:color="CCEEFF"/>
            </w:tcBorders>
          </w:tcPr>
          <w:p>
            <w:pPr>
              <w:spacing w:after="0"/>
              <w:rPr>
                <w:sz w:val="18"/>
                <w:szCs w:val="18"/>
                <w:color w:val="auto"/>
              </w:rPr>
            </w:pPr>
          </w:p>
        </w:tc>
      </w:tr>
      <w:tr>
        <w:trPr>
          <w:trHeight w:val="21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44,906,955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86,825,664</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172,516,125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304,248,744</w:t>
            </w:r>
          </w:p>
        </w:tc>
        <w:tc>
          <w:tcPr>
            <w:tcW w:w="100" w:type="dxa"/>
            <w:vAlign w:val="bottom"/>
            <w:shd w:val="clear" w:color="auto" w:fill="CCEEFF"/>
          </w:tcPr>
          <w:p>
            <w:pPr>
              <w:spacing w:after="0"/>
              <w:rPr>
                <w:sz w:val="18"/>
                <w:szCs w:val="18"/>
                <w:color w:val="auto"/>
              </w:rPr>
            </w:pPr>
          </w:p>
        </w:tc>
      </w:tr>
      <w:tr>
        <w:trPr>
          <w:trHeight w:val="209"/>
        </w:trPr>
        <w:tc>
          <w:tcPr>
            <w:tcW w:w="52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Mortgage Loans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46,311,955</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93,355,623</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172,516,125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312,183,703</w:t>
            </w:r>
          </w:p>
        </w:tc>
        <w:tc>
          <w:tcPr>
            <w:tcW w:w="100" w:type="dxa"/>
            <w:vAlign w:val="bottom"/>
            <w:tcBorders>
              <w:bottom w:val="single" w:sz="8" w:color="CCEEFF"/>
            </w:tcBorders>
          </w:tcPr>
          <w:p>
            <w:pPr>
              <w:spacing w:after="0"/>
              <w:rPr>
                <w:sz w:val="18"/>
                <w:szCs w:val="18"/>
                <w:color w:val="auto"/>
              </w:rPr>
            </w:pPr>
          </w:p>
        </w:tc>
      </w:tr>
      <w:tr>
        <w:trPr>
          <w:trHeight w:val="209"/>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(1,739,980)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(1,970,311)</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Unamortized deferred loan fees, net</w:t>
            </w: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(199,765)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(1,212,994)</w:t>
            </w: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(333,846)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(1,746,605)</w:t>
            </w:r>
          </w:p>
        </w:tc>
      </w:tr>
      <w:tr>
        <w:trPr>
          <w:trHeight w:val="229"/>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Unamortized discounts, net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(230,987)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(111,873)</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(342,860)</w:t>
            </w:r>
          </w:p>
        </w:tc>
      </w:tr>
      <w:tr>
        <w:trPr>
          <w:trHeight w:val="263"/>
        </w:trPr>
        <w:tc>
          <w:tcPr>
            <w:tcW w:w="52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Mortgage Loans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45,694,074</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90,290,776</w:t>
            </w:r>
          </w:p>
        </w:tc>
        <w:tc>
          <w:tcPr>
            <w:tcW w:w="3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172,139,077</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308,123,927</w:t>
            </w:r>
          </w:p>
        </w:tc>
        <w:tc>
          <w:tcPr>
            <w:tcW w:w="100" w:type="dxa"/>
            <w:vAlign w:val="bottom"/>
            <w:tcBorders>
              <w:bottom w:val="single" w:sz="8" w:color="CCEEFF"/>
            </w:tcBorders>
          </w:tcPr>
          <w:p>
            <w:pPr>
              <w:spacing w:after="0"/>
              <w:rPr>
                <w:sz w:val="22"/>
                <w:szCs w:val="22"/>
                <w:color w:val="auto"/>
              </w:rPr>
            </w:pPr>
          </w:p>
        </w:tc>
      </w:tr>
      <w:tr>
        <w:trPr>
          <w:trHeight w:val="197"/>
        </w:trPr>
        <w:tc>
          <w:tcPr>
            <w:tcW w:w="1460" w:type="dxa"/>
            <w:vAlign w:val="bottom"/>
            <w:shd w:val="clear" w:color="auto" w:fill="CCEEFF"/>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6"/>
        </w:trPr>
        <w:tc>
          <w:tcPr>
            <w:tcW w:w="52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30-59 Days Past Due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3,117,826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1,363,127</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4,480,953</w:t>
            </w:r>
          </w:p>
        </w:tc>
      </w:tr>
      <w:tr>
        <w:trPr>
          <w:trHeight w:val="216"/>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60-89 Days Past Due</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100,204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580,815</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681,019</w:t>
            </w:r>
          </w:p>
        </w:tc>
      </w:tr>
      <w:tr>
        <w:trPr>
          <w:trHeight w:val="216"/>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Greater Than 90 Days (1)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1,723,372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2,052,062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3,775,434</w:t>
            </w:r>
          </w:p>
        </w:tc>
      </w:tr>
      <w:tr>
        <w:trPr>
          <w:trHeight w:val="23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496,594</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496,594</w:t>
            </w:r>
          </w:p>
        </w:tc>
      </w:tr>
      <w:tr>
        <w:trPr>
          <w:trHeight w:val="209"/>
        </w:trPr>
        <w:tc>
          <w:tcPr>
            <w:tcW w:w="520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Past Due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1,823,576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6,247,297</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1,363,127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2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49,859,446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47,286,415</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173,754,656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270,900,517</w:t>
            </w:r>
          </w:p>
        </w:tc>
        <w:tc>
          <w:tcPr>
            <w:tcW w:w="100" w:type="dxa"/>
            <w:vAlign w:val="bottom"/>
            <w:tcBorders>
              <w:bottom w:val="single" w:sz="8" w:color="CCEEFF"/>
            </w:tcBorders>
          </w:tcPr>
          <w:p>
            <w:pPr>
              <w:spacing w:after="0"/>
              <w:rPr>
                <w:sz w:val="18"/>
                <w:szCs w:val="18"/>
                <w:color w:val="auto"/>
              </w:rPr>
            </w:pPr>
          </w:p>
        </w:tc>
      </w:tr>
      <w:tr>
        <w:trPr>
          <w:trHeight w:val="21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Mortgage Loans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51,683,022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53,533,712</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175,117,783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280,334,517</w:t>
            </w: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88" w:right="33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Allowance for Loan Losses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Unamortized deferred loan fees,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Unamortized discounts,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60" w:type="dxa"/>
            <w:vAlign w:val="bottom"/>
          </w:tcPr>
          <w:p>
            <w:pPr>
              <w:spacing w:after="0"/>
              <w:rPr>
                <w:sz w:val="17"/>
                <w:szCs w:val="17"/>
                <w:color w:val="auto"/>
              </w:rPr>
            </w:pPr>
          </w:p>
        </w:tc>
        <w:tc>
          <w:tcPr>
            <w:tcW w:w="1340" w:type="dxa"/>
            <w:vAlign w:val="bottom"/>
            <w:gridSpan w:val="2"/>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(187,129)</w:t>
            </w:r>
          </w:p>
        </w:tc>
        <w:tc>
          <w:tcPr>
            <w:tcW w:w="260" w:type="dxa"/>
            <w:vAlign w:val="bottom"/>
          </w:tcPr>
          <w:p>
            <w:pPr>
              <w:spacing w:after="0"/>
              <w:rPr>
                <w:sz w:val="17"/>
                <w:szCs w:val="17"/>
                <w:color w:val="auto"/>
              </w:rPr>
            </w:pPr>
          </w:p>
        </w:tc>
        <w:tc>
          <w:tcPr>
            <w:tcW w:w="130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(1,469,571)</w:t>
            </w:r>
          </w:p>
        </w:tc>
        <w:tc>
          <w:tcPr>
            <w:tcW w:w="154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(43,202)</w:t>
            </w:r>
          </w:p>
        </w:tc>
        <w:tc>
          <w:tcPr>
            <w:tcW w:w="130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(1,699,902)</w:t>
            </w:r>
          </w:p>
        </w:tc>
      </w:tr>
      <w:tr>
        <w:trPr>
          <w:trHeight w:val="216"/>
        </w:trPr>
        <w:tc>
          <w:tcPr>
            <w:tcW w:w="26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(36,813)</w:t>
            </w:r>
          </w:p>
        </w:tc>
        <w:tc>
          <w:tcPr>
            <w:tcW w:w="2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(498,600)</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(383,173)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(918,586)</w:t>
            </w:r>
          </w:p>
        </w:tc>
      </w:tr>
      <w:tr>
        <w:trPr>
          <w:trHeight w:val="248"/>
        </w:trPr>
        <w:tc>
          <w:tcPr>
            <w:tcW w:w="26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(240,614)</w:t>
            </w:r>
          </w:p>
        </w:tc>
        <w:tc>
          <w:tcPr>
            <w:tcW w:w="26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(169,369)</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(409,983)</w:t>
            </w:r>
          </w:p>
        </w:tc>
      </w:tr>
      <w:tr>
        <w:trPr>
          <w:trHeight w:val="223"/>
        </w:trPr>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51,218,466</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51,396,172</w:t>
            </w:r>
          </w:p>
        </w:tc>
        <w:tc>
          <w:tcPr>
            <w:tcW w:w="3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174,691,408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277,306,046</w:t>
            </w:r>
          </w:p>
        </w:tc>
        <w:tc>
          <w:tcPr>
            <w:tcW w:w="60" w:type="dxa"/>
            <w:vAlign w:val="bottom"/>
          </w:tcPr>
          <w:p>
            <w:pPr>
              <w:spacing w:after="0"/>
              <w:rPr>
                <w:sz w:val="19"/>
                <w:szCs w:val="19"/>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-462280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-179070</wp:posOffset>
            </wp:positionV>
            <wp:extent cx="7132320"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688" w:right="339" w:bottom="1440" w:gutter="0" w:footer="0" w:header="0"/>
          <w:type w:val="continuous"/>
        </w:sectPr>
      </w:pPr>
    </w:p>
    <w:p>
      <w:pPr>
        <w:spacing w:after="0" w:line="25" w:lineRule="exact"/>
        <w:rPr>
          <w:sz w:val="20"/>
          <w:szCs w:val="20"/>
          <w:color w:val="auto"/>
        </w:rPr>
      </w:pPr>
    </w:p>
    <w:p>
      <w:pPr>
        <w:ind w:left="5540" w:right="4460" w:hanging="5532"/>
        <w:spacing w:after="0" w:line="532" w:lineRule="auto"/>
        <w:tabs>
          <w:tab w:leader="none" w:pos="33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not recognized on loans past due greater than 90 days or in foreclosure.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Impaired Mortgage Loans Held for Investment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Impaired mortgage loans held for investment include loans with a related specific valuation allowance or loans whose carrying amount has been reduced to the expected collectible amount because the impairment has been considered other than temporary. The recorded investment in and unpaid principal balance of impaired loans along with the related loan specific allowance for losses, if any, for each reporting period and the average recorded investment and interest income recognized during the time the loans were impaired are summarized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Unpaid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Average</w:t>
            </w: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Recorded</w:t>
            </w:r>
          </w:p>
        </w:tc>
        <w:tc>
          <w:tcPr>
            <w:tcW w:w="14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Principal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Related</w:t>
            </w: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Recorded</w:t>
            </w: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Investment</w:t>
            </w:r>
          </w:p>
        </w:tc>
        <w:tc>
          <w:tcPr>
            <w:tcW w:w="14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Balance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9"/>
              </w:rPr>
              <w:t>Allowance</w:t>
            </w:r>
          </w:p>
        </w:tc>
        <w:tc>
          <w:tcPr>
            <w:tcW w:w="10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Investment</w:t>
            </w:r>
          </w:p>
        </w:tc>
        <w:tc>
          <w:tcPr>
            <w:tcW w:w="1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Recognized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69"/>
        </w:trPr>
        <w:tc>
          <w:tcPr>
            <w:tcW w:w="318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December 31, 2022</w:t>
            </w:r>
          </w:p>
        </w:tc>
        <w:tc>
          <w:tcPr>
            <w:tcW w:w="5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1"/>
        </w:trPr>
        <w:tc>
          <w:tcPr>
            <w:tcW w:w="1460" w:type="dxa"/>
            <w:vAlign w:val="bottom"/>
            <w:tcBorders>
              <w:top w:val="single" w:sz="8" w:color="auto"/>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405,000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762,175</w:t>
            </w:r>
          </w:p>
        </w:tc>
        <w:tc>
          <w:tcPr>
            <w:tcW w:w="10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1,142,494</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1,142,494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998,798</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103,976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1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an allowance recorded: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1,019,891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1,019,891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225,667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683,922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1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405,000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762,175</w:t>
            </w:r>
          </w:p>
        </w:tc>
        <w:tc>
          <w:tcPr>
            <w:tcW w:w="10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2,162,385</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2,162,385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225,667</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1,682,720</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103,976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1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6"/>
        </w:trPr>
        <w:tc>
          <w:tcPr>
            <w:tcW w:w="31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December 31, 2021</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
        </w:trPr>
        <w:tc>
          <w:tcPr>
            <w:tcW w:w="1460" w:type="dxa"/>
            <w:vAlign w:val="bottom"/>
            <w:tcBorders>
              <w:top w:val="single" w:sz="8" w:color="auto"/>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1,723,372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1,723,372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1,053,865</w:t>
            </w:r>
          </w:p>
        </w:tc>
        <w:tc>
          <w:tcPr>
            <w:tcW w:w="10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1,591,368</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1,591,368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2,731,421</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100,481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1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an allowance recorded: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957,288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957,288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105,384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726,449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1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1,723,372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1,723,372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1,053,865</w:t>
            </w:r>
          </w:p>
        </w:tc>
        <w:tc>
          <w:tcPr>
            <w:tcW w:w="10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2,548,656</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2,548,656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105,384</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3,457,870</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100,481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Risk Profile Based on Performance Status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mortgage loans held for investment portfolio is monitored based on performance of the loans. Monitoring a mortgage loan increases when the loan is delinquent or earlier if there is an indication of impairment. The Company defines non-performing mortgage loans as loans 90 days or greater delinquent or on non-accrual status.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performing and non-performing mortgage loans held for investment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0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8"/>
              </w:rPr>
              <w:t>Commercial</w:t>
            </w:r>
          </w:p>
        </w:tc>
        <w:tc>
          <w:tcPr>
            <w:tcW w:w="80" w:type="dxa"/>
            <w:vAlign w:val="bottom"/>
          </w:tcPr>
          <w:p>
            <w:pPr>
              <w:spacing w:after="0"/>
              <w:rPr>
                <w:sz w:val="20"/>
                <w:szCs w:val="20"/>
                <w:color w:val="auto"/>
              </w:rPr>
            </w:pPr>
          </w:p>
        </w:tc>
        <w:tc>
          <w:tcPr>
            <w:tcW w:w="206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Residential</w:t>
            </w:r>
          </w:p>
        </w:tc>
        <w:tc>
          <w:tcPr>
            <w:tcW w:w="80" w:type="dxa"/>
            <w:vAlign w:val="bottom"/>
          </w:tcPr>
          <w:p>
            <w:pPr>
              <w:spacing w:after="0"/>
              <w:rPr>
                <w:sz w:val="20"/>
                <w:szCs w:val="20"/>
                <w:color w:val="auto"/>
              </w:rPr>
            </w:pPr>
          </w:p>
        </w:tc>
        <w:tc>
          <w:tcPr>
            <w:tcW w:w="2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80" w:type="dxa"/>
            <w:vAlign w:val="bottom"/>
          </w:tcPr>
          <w:p>
            <w:pPr>
              <w:spacing w:after="0"/>
              <w:rPr>
                <w:sz w:val="20"/>
                <w:szCs w:val="20"/>
                <w:color w:val="auto"/>
              </w:rPr>
            </w:pPr>
          </w:p>
        </w:tc>
        <w:tc>
          <w:tcPr>
            <w:tcW w:w="222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1300" w:type="dxa"/>
            <w:vAlign w:val="bottom"/>
          </w:tcPr>
          <w:p>
            <w:pPr>
              <w:spacing w:after="0"/>
              <w:rPr>
                <w:sz w:val="18"/>
                <w:szCs w:val="18"/>
                <w:color w:val="auto"/>
              </w:rPr>
            </w:pPr>
          </w:p>
        </w:tc>
        <w:tc>
          <w:tcPr>
            <w:tcW w:w="196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December 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Borders>
              <w:top w:val="single" w:sz="8" w:color="auto"/>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Borders>
              <w:top w:val="single" w:sz="8" w:color="auto"/>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Borders>
              <w:top w:val="single" w:sz="8" w:color="auto"/>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December 31</w:t>
            </w:r>
          </w:p>
        </w:tc>
        <w:tc>
          <w:tcPr>
            <w:tcW w:w="60" w:type="dxa"/>
            <w:vAlign w:val="bottom"/>
            <w:gridSpan w:val="2"/>
          </w:tcPr>
          <w:p>
            <w:pPr>
              <w:spacing w:after="0"/>
              <w:rPr>
                <w:sz w:val="18"/>
                <w:szCs w:val="18"/>
                <w:color w:val="auto"/>
              </w:rPr>
            </w:pPr>
          </w:p>
        </w:tc>
      </w:tr>
      <w:tr>
        <w:trPr>
          <w:trHeight w:val="223"/>
        </w:trPr>
        <w:tc>
          <w:tcPr>
            <w:tcW w:w="130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9"/>
                <w:szCs w:val="19"/>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9"/>
        </w:trPr>
        <w:tc>
          <w:tcPr>
            <w:tcW w:w="13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$45,906,955</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$49,959,650</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$91,193,238</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$50,985,056</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$172,516,125</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$175,117,783</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$309,616,318</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$276,062,489</w:t>
            </w:r>
          </w:p>
        </w:tc>
        <w:tc>
          <w:tcPr>
            <w:tcW w:w="40" w:type="dxa"/>
            <w:vAlign w:val="bottom"/>
            <w:shd w:val="clear" w:color="auto" w:fill="CCEEFF"/>
          </w:tcPr>
          <w:p>
            <w:pPr>
              <w:spacing w:after="0"/>
              <w:rPr>
                <w:sz w:val="18"/>
                <w:szCs w:val="18"/>
                <w:color w:val="auto"/>
              </w:rPr>
            </w:pP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405,000</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1,723,372</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2,162,385</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2,548,656</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2,567,385</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4,272,028</w:t>
            </w:r>
          </w:p>
        </w:tc>
        <w:tc>
          <w:tcPr>
            <w:tcW w:w="40" w:type="dxa"/>
            <w:vAlign w:val="bottom"/>
          </w:tcPr>
          <w:p>
            <w:pPr>
              <w:spacing w:after="0"/>
              <w:rPr>
                <w:sz w:val="19"/>
                <w:szCs w:val="19"/>
                <w:color w:val="auto"/>
              </w:rPr>
            </w:pPr>
          </w:p>
        </w:tc>
      </w:tr>
      <w:tr>
        <w:trPr>
          <w:trHeight w:val="223"/>
        </w:trPr>
        <w:tc>
          <w:tcPr>
            <w:tcW w:w="13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r>
      <w:tr>
        <w:trPr>
          <w:trHeight w:val="24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46,311,955</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51,683,022</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93,355,623</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53,533,712</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172,516,125</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175,117,783</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312,183,703</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280,334,517</w:t>
            </w:r>
          </w:p>
        </w:tc>
        <w:tc>
          <w:tcPr>
            <w:tcW w:w="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Non-Accrual Mortgage Loans Held for Investment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Once a loan is past due 90 days, it is the policy of the Company to end the accrual of interest income on the loan and write off any income that had been accrued. Payments received for loans on a non-accrual status are recognized on a cash basis. Interest income recognized from any payments received for loans on a non-accrual status was immaterial. Accrual of interest resumes if a loan is brought current. Interest not accrued on these loans totals approximately $226,000 and $236,000 as of December 31, 2022 and 2021,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Principal Amounts Due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amortized cost and contractual payments on mortgage loans held for investment by category as of December 31, 2022. Expected principal payments may differ from contractual obligations because certain borrowers may elect to pay off mortgage obligations with or without early payment penalties.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Principal</w:t>
            </w:r>
          </w:p>
        </w:tc>
        <w:tc>
          <w:tcPr>
            <w:tcW w:w="12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Principal</w:t>
            </w:r>
          </w:p>
        </w:tc>
        <w:tc>
          <w:tcPr>
            <w:tcW w:w="1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Principal</w:t>
            </w:r>
          </w:p>
        </w:tc>
        <w:tc>
          <w:tcPr>
            <w:tcW w:w="22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Amounts</w:t>
            </w:r>
          </w:p>
        </w:tc>
        <w:tc>
          <w:tcPr>
            <w:tcW w:w="12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Amounts</w:t>
            </w:r>
          </w:p>
        </w:tc>
        <w:tc>
          <w:tcPr>
            <w:tcW w:w="1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Amounts</w:t>
            </w:r>
          </w:p>
        </w:tc>
        <w:tc>
          <w:tcPr>
            <w:tcW w:w="2260" w:type="dxa"/>
            <w:vAlign w:val="bottom"/>
          </w:tcPr>
          <w:p>
            <w:pPr>
              <w:spacing w:after="0"/>
              <w:rPr>
                <w:sz w:val="18"/>
                <w:szCs w:val="18"/>
                <w:color w:val="auto"/>
              </w:rPr>
            </w:pPr>
          </w:p>
        </w:tc>
      </w:tr>
      <w:tr>
        <w:trPr>
          <w:trHeight w:val="230"/>
        </w:trPr>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Due in</w:t>
            </w:r>
          </w:p>
        </w:tc>
        <w:tc>
          <w:tcPr>
            <w:tcW w:w="12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Due in</w:t>
            </w:r>
          </w:p>
        </w:tc>
        <w:tc>
          <w:tcPr>
            <w:tcW w:w="100" w:type="dxa"/>
            <w:vAlign w:val="bottom"/>
          </w:tcPr>
          <w:p>
            <w:pPr>
              <w:spacing w:after="0"/>
              <w:rPr>
                <w:sz w:val="19"/>
                <w:szCs w:val="19"/>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Due</w:t>
            </w:r>
          </w:p>
        </w:tc>
        <w:tc>
          <w:tcPr>
            <w:tcW w:w="2260" w:type="dxa"/>
            <w:vAlign w:val="bottom"/>
          </w:tcPr>
          <w:p>
            <w:pPr>
              <w:spacing w:after="0"/>
              <w:rPr>
                <w:sz w:val="19"/>
                <w:szCs w:val="19"/>
                <w:color w:val="auto"/>
              </w:rPr>
            </w:pPr>
          </w:p>
        </w:tc>
      </w:tr>
      <w:tr>
        <w:trPr>
          <w:trHeight w:val="234"/>
        </w:trPr>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1 Year</w:t>
            </w:r>
          </w:p>
        </w:tc>
        <w:tc>
          <w:tcPr>
            <w:tcW w:w="120" w:type="dxa"/>
            <w:vAlign w:val="bottom"/>
          </w:tcPr>
          <w:p>
            <w:pPr>
              <w:spacing w:after="0"/>
              <w:rPr>
                <w:sz w:val="20"/>
                <w:szCs w:val="20"/>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2-5 Years</w:t>
            </w:r>
          </w:p>
        </w:tc>
        <w:tc>
          <w:tcPr>
            <w:tcW w:w="10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Thereafter</w:t>
            </w:r>
          </w:p>
        </w:tc>
        <w:tc>
          <w:tcPr>
            <w:tcW w:w="2260" w:type="dxa"/>
            <w:vAlign w:val="bottom"/>
          </w:tcPr>
          <w:p>
            <w:pPr>
              <w:spacing w:after="0"/>
              <w:rPr>
                <w:sz w:val="20"/>
                <w:szCs w:val="20"/>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93,355,623</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1,332,862</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10,000,042</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82,022,719</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172,516,125</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167,805,559</w:t>
            </w: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4,710,566</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8"/>
                <w:szCs w:val="18"/>
                <w:color w:val="auto"/>
              </w:rPr>
            </w:pPr>
          </w:p>
        </w:tc>
      </w:tr>
      <w:tr>
        <w:trPr>
          <w:trHeight w:val="22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46,311,955</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9,405,903</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28,597,132</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8,308,920</w:t>
            </w:r>
          </w:p>
        </w:tc>
        <w:tc>
          <w:tcPr>
            <w:tcW w:w="2260" w:type="dxa"/>
            <w:vAlign w:val="bottom"/>
          </w:tcPr>
          <w:p>
            <w:pPr>
              <w:spacing w:after="0"/>
              <w:rPr>
                <w:sz w:val="19"/>
                <w:szCs w:val="19"/>
                <w:color w:val="auto"/>
              </w:rPr>
            </w:pP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312,183,703</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178,544,324</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43,307,740</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90,331,639</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20"/>
        </w:trPr>
        <w:tc>
          <w:tcPr>
            <w:tcW w:w="3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68</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Held for Sale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elected the fair value option for loans held for sale. Changes in the fair value of the loans are included in mortgage fee income. Interest income is recorded based on the contractual terms of the loan and in accordance with the Company’s policy on mortgage loans held for investment and is included in mortgage fee income on the consolidated statement of earnings. There aren’t any loans that are 90 or more days past due and on a nonaccrual status as of December 31, 2022. See Note 17 of the Notes to Consolidated Financial Statements for additional disclosures regarding loans held for sale.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aggregate fair value and the aggregate unpaid principal balance of loans held for sale.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56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30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19"/>
                <w:szCs w:val="19"/>
                <w:color w:val="auto"/>
              </w:rPr>
            </w:pPr>
          </w:p>
        </w:tc>
      </w:tr>
      <w:tr>
        <w:trPr>
          <w:trHeight w:val="209"/>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fair value</w:t>
            </w:r>
          </w:p>
        </w:tc>
        <w:tc>
          <w:tcPr>
            <w:tcW w:w="1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141,179,620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302,776,827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Unpaid principal balance</w:t>
            </w:r>
          </w:p>
        </w:tc>
        <w:tc>
          <w:tcPr>
            <w:tcW w:w="2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141,337,811</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294,481,503</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gain</w:t>
            </w:r>
          </w:p>
        </w:tc>
        <w:tc>
          <w:tcPr>
            <w:tcW w:w="2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(158,191)</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8,295,324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Fee Income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Mortgage fee income consists of origination fees, processing fees, interest income and certain other income related to the origination and sale of mortgage loans held for sale.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categories of mortgage fee income for loans held for sale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47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Borders>
              <w:bottom w:val="single" w:sz="8" w:color="CCEEFF"/>
            </w:tcBorders>
          </w:tcPr>
          <w:p>
            <w:pPr>
              <w:spacing w:after="0"/>
              <w:rPr>
                <w:sz w:val="19"/>
                <w:szCs w:val="19"/>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fees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24,184,972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37,723,433</w:t>
            </w:r>
          </w:p>
        </w:tc>
        <w:tc>
          <w:tcPr>
            <w:tcW w:w="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9,666,149</w:t>
            </w: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9,385,469</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gains</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153,870,807(1)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230,417,029</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26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(4,308,638)</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(3,113,095)</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(8,834,797)</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(8,783,376)</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 reserve</w:t>
            </w:r>
          </w:p>
        </w:tc>
        <w:tc>
          <w:tcPr>
            <w:tcW w:w="26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(1,078,812)</w:t>
            </w: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(2,211,230)</w:t>
            </w: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173,499,681</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263,418,230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Includes a net gain of $34,051,938 for the sale of mortgage servicing rights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Loss Reserve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a repurchase demand corresponding to a mortgage loan previously held for sale and sold to a third-party investor is received from a third-party investor, the relevant data is reviewed and captured so that an estimated future loss can be calculated. The key factors that are used in the estimated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is able to resolve the issues relating to the repurchase demand by the third-party investor without having to make any payments to the investor.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Held for Sale</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 loss reserve, which is included in other liabilities and accrued expenses, is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4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2,447,139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20,583,618</w:t>
            </w:r>
          </w:p>
        </w:tc>
        <w:tc>
          <w:tcPr>
            <w:tcW w:w="60" w:type="dxa"/>
            <w:vAlign w:val="bottom"/>
            <w:gridSpan w:val="2"/>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current loan originations (1)</w:t>
            </w:r>
          </w:p>
        </w:tc>
        <w:tc>
          <w:tcPr>
            <w:tcW w:w="24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1,078,812</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2,211,230</w:t>
            </w:r>
          </w:p>
        </w:tc>
        <w:tc>
          <w:tcPr>
            <w:tcW w:w="40" w:type="dxa"/>
            <w:vAlign w:val="bottom"/>
          </w:tcPr>
          <w:p>
            <w:pPr>
              <w:spacing w:after="0"/>
              <w:rPr>
                <w:sz w:val="18"/>
                <w:szCs w:val="18"/>
                <w:color w:val="auto"/>
              </w:rPr>
            </w:pPr>
          </w:p>
        </w:tc>
      </w:tr>
      <w:tr>
        <w:trPr>
          <w:trHeight w:val="22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Charge-offs, net of recaptured amounts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(1,800,284)</w:t>
            </w:r>
          </w:p>
        </w:tc>
        <w:tc>
          <w:tcPr>
            <w:tcW w:w="1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(20,347,709)</w:t>
            </w: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7"/>
              </w:rPr>
              <w:t>1,725,667</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2,447,139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Included in Mortgage fee income</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maintains reserves for estimated losses on current production volumes. For the year ended December 31, 2022, $1,078,812 in reserves were added at a rate of 3.19 basis points per loan, the equivalent of $319 per $1,000,000 in loans originated. This is a decrease over the year ended December 31, 2021, when $2,211,230 in reserves were added at a rate of 3.9 basis points per loan originated, the equivalent of $390 per $1,000,000 in loans originated. In February 2021, SecurityNational Mortgage executed a settlement agreement with Lehman Holdings in relation to two adversary proceedings wherein all mortgage loan related claims were resolved, thereby ending all liabilities asserted by Lehman Holdings and conclusively ending all proceedings between SecurityNational Mortgage and Lehman Holdings. The full amount of SecurityNational Mortgage’s settlement payment was accounted for in the Company’s loan loss reserve as of December 31, 2020 and was paid during the first quarter 2021. The unique nature of COVID-19 creates significant difficulty for forecasting potential future losses. The Company will continue to monitor data and economic conditions in order to maintain adequate loss reserves on current production. Thus, the Company believes that the final loan loss reserve as of December 31, 2022, represents its best estimate for adequate loss reserves on loans sold.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 Receivables</w:t>
            </w: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consist of the following:</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6"/>
        </w:trPr>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7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10"/>
        </w:trPr>
        <w:tc>
          <w:tcPr>
            <w:tcW w:w="3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contracts</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5,392,779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5,298,636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from sales agents</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2,209,185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2,360,807</w:t>
            </w:r>
          </w:p>
        </w:tc>
        <w:tc>
          <w:tcPr>
            <w:tcW w:w="40" w:type="dxa"/>
            <w:vAlign w:val="bottom"/>
          </w:tcPr>
          <w:p>
            <w:pPr>
              <w:spacing w:after="0"/>
              <w:rPr>
                <w:sz w:val="18"/>
                <w:szCs w:val="18"/>
                <w:color w:val="auto"/>
              </w:rPr>
            </w:pPr>
          </w:p>
        </w:tc>
      </w:tr>
      <w:tr>
        <w:trPr>
          <w:trHeight w:val="229"/>
        </w:trPr>
        <w:tc>
          <w:tcPr>
            <w:tcW w:w="3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23,200,919</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12,457,398</w:t>
            </w:r>
          </w:p>
        </w:tc>
        <w:tc>
          <w:tcPr>
            <w:tcW w:w="40" w:type="dxa"/>
            <w:vAlign w:val="bottom"/>
            <w:shd w:val="clear" w:color="auto" w:fill="CCEEFF"/>
          </w:tcPr>
          <w:p>
            <w:pPr>
              <w:spacing w:after="0"/>
              <w:rPr>
                <w:sz w:val="19"/>
                <w:szCs w:val="19"/>
                <w:color w:val="auto"/>
              </w:rPr>
            </w:pPr>
          </w:p>
        </w:tc>
      </w:tr>
      <w:tr>
        <w:trPr>
          <w:trHeight w:val="210"/>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1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30,802,883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20,116,841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3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(2,229,791)</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(1,800,725)</w:t>
            </w:r>
          </w:p>
        </w:tc>
      </w:tr>
      <w:tr>
        <w:trPr>
          <w:trHeight w:val="223"/>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receivables</w:t>
            </w:r>
          </w:p>
        </w:tc>
        <w:tc>
          <w:tcPr>
            <w:tcW w:w="1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28,573,092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18,316,116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6220" w:firstLine="8"/>
        <w:spacing w:after="0" w:line="538" w:lineRule="auto"/>
        <w:tabs>
          <w:tab w:leader="none" w:pos="19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Value of Business Acquired, Goodwill and Other Intangible Assets </w:t>
      </w:r>
      <w:r>
        <w:rPr>
          <w:rFonts w:ascii="Times New Roman" w:cs="Times New Roman" w:eastAsia="Times New Roman" w:hAnsi="Times New Roman"/>
          <w:sz w:val="17"/>
          <w:szCs w:val="17"/>
          <w:color w:val="auto"/>
        </w:rPr>
        <w:t>Information with regard to value of business acquired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December 31</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CCEEFF"/>
            </w:tcBorders>
          </w:tcPr>
          <w:p>
            <w:pPr>
              <w:spacing w:after="0"/>
              <w:rPr>
                <w:sz w:val="19"/>
                <w:szCs w:val="19"/>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8,421,432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8,955,249</w:t>
            </w:r>
          </w:p>
        </w:tc>
        <w:tc>
          <w:tcPr>
            <w:tcW w:w="340" w:type="dxa"/>
            <w:vAlign w:val="bottom"/>
            <w:shd w:val="clear" w:color="auto" w:fill="CCEEFF"/>
          </w:tcPr>
          <w:p>
            <w:pPr>
              <w:spacing w:after="0"/>
              <w:rPr>
                <w:sz w:val="18"/>
                <w:szCs w:val="18"/>
                <w:color w:val="auto"/>
              </w:rPr>
            </w:pPr>
          </w:p>
        </w:tc>
      </w:tr>
      <w:tr>
        <w:trPr>
          <w:trHeight w:val="20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2,136,085</w:t>
            </w:r>
          </w:p>
        </w:tc>
        <w:tc>
          <w:tcPr>
            <w:tcW w:w="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586,840</w:t>
            </w:r>
          </w:p>
        </w:tc>
        <w:tc>
          <w:tcPr>
            <w:tcW w:w="34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 at 7% included in earnings</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642,919(1)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613,028(1)</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included in earnings</w:t>
            </w:r>
          </w:p>
        </w:tc>
        <w:tc>
          <w:tcPr>
            <w:tcW w:w="300" w:type="dxa"/>
            <w:vAlign w:val="bottom"/>
          </w:tcPr>
          <w:p>
            <w:pPr>
              <w:spacing w:after="0"/>
              <w:rPr>
                <w:sz w:val="18"/>
                <w:szCs w:val="18"/>
                <w:color w:val="auto"/>
              </w:rPr>
            </w:pPr>
          </w:p>
        </w:tc>
        <w:tc>
          <w:tcPr>
            <w:tcW w:w="14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(1,907,250)(1)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(1,728,157)(1)</w:t>
            </w: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Shadow amortization included in other comprehensive income</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510,550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(5,528)</w:t>
            </w:r>
          </w:p>
        </w:tc>
      </w:tr>
      <w:tr>
        <w:trPr>
          <w:trHeight w:val="210"/>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amortization</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(753,781</w:t>
            </w:r>
          </w:p>
        </w:tc>
        <w:tc>
          <w:tcPr>
            <w:tcW w:w="400" w:type="dxa"/>
            <w:vAlign w:val="bottom"/>
            <w:tcBorders>
              <w:bottom w:val="single" w:sz="8" w:color="CCEEFF"/>
            </w:tcBorders>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(1,120,657</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9,803,736</w:t>
            </w: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8,421,432</w:t>
            </w:r>
          </w:p>
        </w:tc>
        <w:tc>
          <w:tcPr>
            <w:tcW w:w="340" w:type="dxa"/>
            <w:vAlign w:val="bottom"/>
            <w:tcBorders>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Included in Amortization of deferred policy and pre-need acquistion costs and value of business acquired on the consolidated statements of earnings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Presuming no additional acquisitions, net amortization charged to income is expected to approximate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1,181,000</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1,098,000</w:t>
            </w: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995,000</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924,000</w:t>
            </w: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841,000</w:t>
            </w:r>
          </w:p>
        </w:tc>
      </w:tr>
      <w:tr>
        <w:trPr>
          <w:trHeight w:val="23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4,764,736</w:t>
            </w:r>
          </w:p>
        </w:tc>
      </w:tr>
      <w:tr>
        <w:trPr>
          <w:trHeight w:val="223"/>
        </w:trPr>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9,803,736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Actual amortization may vary based on changes in assumptions or experience. As of December 31, 2022, value of business acquired is being amortized over a weighted average life of 5.7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right="5300" w:firstLine="8"/>
        <w:spacing w:after="0" w:line="500" w:lineRule="auto"/>
        <w:tabs>
          <w:tab w:leader="none" w:pos="1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Value of Business Acquired, Goodwill and Other Intangible Assets</w:t>
      </w:r>
      <w:r>
        <w:rPr>
          <w:rFonts w:ascii="Times New Roman" w:cs="Times New Roman" w:eastAsia="Times New Roman" w:hAnsi="Times New Roman"/>
          <w:sz w:val="18"/>
          <w:szCs w:val="18"/>
          <w:color w:val="auto"/>
        </w:rPr>
        <w:t xml:space="preserve"> (Continued) Information regarding goodwill by segment was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Cemetery/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3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Life Insurance</w:t>
            </w:r>
          </w:p>
        </w:tc>
        <w:tc>
          <w:tcPr>
            <w:tcW w:w="120" w:type="dxa"/>
            <w:vAlign w:val="bottom"/>
          </w:tcPr>
          <w:p>
            <w:pPr>
              <w:spacing w:after="0"/>
              <w:rPr>
                <w:sz w:val="20"/>
                <w:szCs w:val="20"/>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Mortuary</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52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2,765,570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754,018</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3,519,588</w:t>
            </w:r>
          </w:p>
        </w:tc>
        <w:tc>
          <w:tcPr>
            <w:tcW w:w="60" w:type="dxa"/>
            <w:vAlign w:val="bottom"/>
          </w:tcPr>
          <w:p>
            <w:pPr>
              <w:spacing w:after="0"/>
              <w:rPr>
                <w:sz w:val="18"/>
                <w:szCs w:val="18"/>
                <w:color w:val="auto"/>
              </w:rPr>
            </w:pPr>
          </w:p>
        </w:tc>
      </w:tr>
      <w:tr>
        <w:trPr>
          <w:trHeight w:val="23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impairment</w:t>
            </w: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09"/>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goodwill, net</w:t>
            </w:r>
          </w:p>
        </w:tc>
        <w:tc>
          <w:tcPr>
            <w:tcW w:w="1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2,765,570</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754,018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3,519,588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Acquisition</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1,734,195(1)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1,734,195</w:t>
            </w:r>
          </w:p>
        </w:tc>
        <w:tc>
          <w:tcPr>
            <w:tcW w:w="60" w:type="dxa"/>
            <w:vAlign w:val="bottom"/>
          </w:tcPr>
          <w:p>
            <w:pPr>
              <w:spacing w:after="0"/>
              <w:rPr>
                <w:sz w:val="19"/>
                <w:szCs w:val="19"/>
                <w:color w:val="auto"/>
              </w:rPr>
            </w:pPr>
          </w:p>
        </w:tc>
      </w:tr>
      <w:tr>
        <w:trPr>
          <w:trHeight w:val="223"/>
        </w:trPr>
        <w:tc>
          <w:tcPr>
            <w:tcW w:w="35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2,765,570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2,488,213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5,253,783</w:t>
            </w:r>
          </w:p>
        </w:tc>
        <w:tc>
          <w:tcPr>
            <w:tcW w:w="60" w:type="dxa"/>
            <w:vAlign w:val="bottom"/>
            <w:shd w:val="clear" w:color="auto" w:fill="CCEEFF"/>
          </w:tcPr>
          <w:p>
            <w:pPr>
              <w:spacing w:after="0"/>
              <w:rPr>
                <w:sz w:val="18"/>
                <w:szCs w:val="18"/>
                <w:color w:val="auto"/>
              </w:rPr>
            </w:pP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impairment</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09"/>
        </w:trPr>
        <w:tc>
          <w:tcPr>
            <w:tcW w:w="35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goodwill, net</w:t>
            </w:r>
          </w:p>
        </w:tc>
        <w:tc>
          <w:tcPr>
            <w:tcW w:w="1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2,765,570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2,488,213</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5,253,783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w:t>
            </w: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23"/>
        </w:trPr>
        <w:tc>
          <w:tcPr>
            <w:tcW w:w="3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2,765,570</w:t>
            </w:r>
          </w:p>
        </w:tc>
        <w:tc>
          <w:tcPr>
            <w:tcW w:w="12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2,488,213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5,253,783</w:t>
            </w:r>
          </w:p>
        </w:tc>
        <w:tc>
          <w:tcPr>
            <w:tcW w:w="60" w:type="dxa"/>
            <w:vAlign w:val="bottom"/>
          </w:tcPr>
          <w:p>
            <w:pPr>
              <w:spacing w:after="0"/>
              <w:rPr>
                <w:sz w:val="18"/>
                <w:szCs w:val="18"/>
                <w:color w:val="auto"/>
              </w:rPr>
            </w:pPr>
          </w:p>
        </w:tc>
      </w:tr>
      <w:tr>
        <w:trPr>
          <w:trHeight w:val="22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impairment</w:t>
            </w: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23"/>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goodwill, net</w:t>
            </w:r>
          </w:p>
        </w:tc>
        <w:tc>
          <w:tcPr>
            <w:tcW w:w="1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2,765,570</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2,488,213</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5,253,783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See Note 20 regarding the acquisition of Rivera Funerals, Cremations and Memorial Gardens and Holbrook Mortuary</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Goodwill is not amortized but is tested annually for impairment. The annual impairment tests resulted in no impairment of goodwill for the years ended December 31, 2022 and 2021.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Value of Business Acquired, Goodwill and Other Intangible Assets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the Company’s other intangible assets were as follows which is included in other assets: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4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Useful Life</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 trade name (1)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 customer lists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890,000</w:t>
            </w:r>
          </w:p>
        </w:tc>
        <w:tc>
          <w:tcPr>
            <w:tcW w:w="4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890,000</w:t>
            </w: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 trade name (2)</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610,000</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610,000</w:t>
            </w: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other (1)</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210,000</w:t>
            </w:r>
          </w:p>
        </w:tc>
        <w:tc>
          <w:tcPr>
            <w:tcW w:w="4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210,000</w:t>
            </w:r>
          </w:p>
        </w:tc>
        <w:tc>
          <w:tcPr>
            <w:tcW w:w="60" w:type="dxa"/>
            <w:vAlign w:val="bottom"/>
          </w:tcPr>
          <w:p>
            <w:pPr>
              <w:spacing w:after="0"/>
              <w:rPr>
                <w:sz w:val="18"/>
                <w:szCs w:val="18"/>
                <w:color w:val="auto"/>
              </w:rPr>
            </w:pPr>
          </w:p>
        </w:tc>
      </w:tr>
      <w:tr>
        <w:trPr>
          <w:trHeight w:val="23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(553,333)</w:t>
            </w:r>
          </w:p>
        </w:tc>
        <w:tc>
          <w:tcPr>
            <w:tcW w:w="4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(297,333)</w:t>
            </w: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3,256,667</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3,512,667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60" w:hanging="292"/>
        <w:spacing w:after="0"/>
        <w:tabs>
          <w:tab w:leader="none" w:pos="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20 regarding the acquisition of Rivera Funerals, Cremations and Memorial Gardens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Kilpatrick Life</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expense for the years ended December 31, 2022 and 2021 was $256,000 and $99,999, respectively, and is included in other expenses on the consolidated statements of earnings.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estimate of future amortization for the other intangible assets: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254,000</w:t>
            </w: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254,000</w:t>
            </w: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254,000</w:t>
            </w: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254,000</w:t>
            </w: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254,000</w:t>
            </w:r>
          </w:p>
        </w:tc>
      </w:tr>
      <w:tr>
        <w:trPr>
          <w:trHeight w:val="23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1,986,667</w:t>
            </w:r>
          </w:p>
        </w:tc>
      </w:tr>
      <w:tr>
        <w:trPr>
          <w:trHeight w:val="223"/>
        </w:trPr>
        <w:tc>
          <w:tcPr>
            <w:tcW w:w="2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3,256,667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0" w:hanging="192"/>
        <w:spacing w:after="0"/>
        <w:tabs>
          <w:tab w:leader="none" w:pos="2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is summarized below:</w:t>
      </w:r>
    </w:p>
    <w:p>
      <w:pPr>
        <w:spacing w:after="0" w:line="200" w:lineRule="exact"/>
        <w:rPr>
          <w:sz w:val="20"/>
          <w:szCs w:val="20"/>
          <w:color w:val="auto"/>
        </w:rPr>
      </w:pPr>
    </w:p>
    <w:p>
      <w:pPr>
        <w:spacing w:after="0" w:line="295" w:lineRule="exact"/>
        <w:rPr>
          <w:sz w:val="20"/>
          <w:szCs w:val="20"/>
          <w:color w:val="auto"/>
        </w:rPr>
      </w:pPr>
    </w:p>
    <w:p>
      <w:pPr>
        <w:ind w:right="1580"/>
        <w:spacing w:after="0" w:line="312" w:lineRule="auto"/>
        <w:rPr>
          <w:sz w:val="20"/>
          <w:szCs w:val="20"/>
          <w:color w:val="auto"/>
        </w:rPr>
      </w:pPr>
      <w:r>
        <w:rPr>
          <w:rFonts w:ascii="Times New Roman" w:cs="Times New Roman" w:eastAsia="Times New Roman" w:hAnsi="Times New Roman"/>
          <w:sz w:val="17"/>
          <w:szCs w:val="17"/>
          <w:color w:val="auto"/>
        </w:rPr>
        <w:t>Land and buildings Furniture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56616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6616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356616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66160" cy="146050"/>
                    </a:xfrm>
                    <a:prstGeom prst="rect">
                      <a:avLst/>
                    </a:prstGeom>
                    <a:noFill/>
                  </pic:spPr>
                </pic:pic>
              </a:graphicData>
            </a:graphic>
          </wp:anchor>
        </w:drawing>
      </w:r>
    </w:p>
    <w:p>
      <w:pPr>
        <w:spacing w:after="0" w:line="147" w:lineRule="exact"/>
        <w:rPr>
          <w:sz w:val="20"/>
          <w:szCs w:val="20"/>
          <w:color w:val="auto"/>
        </w:rPr>
      </w:pPr>
    </w:p>
    <w:p>
      <w:pPr>
        <w:ind w:right="1140"/>
        <w:spacing w:after="0" w:line="297" w:lineRule="auto"/>
        <w:rPr>
          <w:sz w:val="20"/>
          <w:szCs w:val="20"/>
          <w:color w:val="auto"/>
        </w:rPr>
      </w:pPr>
      <w:r>
        <w:rPr>
          <w:rFonts w:ascii="Times New Roman" w:cs="Times New Roman" w:eastAsia="Times New Roman" w:hAnsi="Times New Roman"/>
          <w:sz w:val="18"/>
          <w:szCs w:val="18"/>
          <w:color w:val="auto"/>
        </w:rPr>
        <w:t>Less accumulated depreciation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356616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6616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400"/>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39" w:lineRule="exact"/>
        <w:rPr>
          <w:sz w:val="20"/>
          <w:szCs w:val="20"/>
          <w:color w:val="auto"/>
        </w:rPr>
      </w:pPr>
    </w:p>
    <w:p>
      <w:pPr>
        <w:jc w:val="center"/>
        <w:ind w:right="338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680"/>
        <w:spacing w:after="0"/>
        <w:rPr>
          <w:sz w:val="20"/>
          <w:szCs w:val="20"/>
          <w:color w:val="auto"/>
        </w:rPr>
      </w:pPr>
      <w:r>
        <w:rPr>
          <w:rFonts w:ascii="Times New Roman" w:cs="Times New Roman" w:eastAsia="Times New Roman" w:hAnsi="Times New Roman"/>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13627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6" w:lineRule="exact"/>
        <w:rPr>
          <w:sz w:val="20"/>
          <w:szCs w:val="20"/>
          <w:color w:val="auto"/>
        </w:rPr>
      </w:pPr>
    </w:p>
    <w:p>
      <w:pPr>
        <w:ind w:left="320"/>
        <w:spacing w:after="0"/>
        <w:tabs>
          <w:tab w:leader="none" w:pos="1460" w:val="left"/>
        </w:tabs>
        <w:rPr>
          <w:sz w:val="20"/>
          <w:szCs w:val="20"/>
          <w:color w:val="auto"/>
        </w:rPr>
      </w:pPr>
      <w:r>
        <w:rPr>
          <w:rFonts w:ascii="Times New Roman" w:cs="Times New Roman" w:eastAsia="Times New Roman" w:hAnsi="Times New Roman"/>
          <w:sz w:val="18"/>
          <w:szCs w:val="18"/>
          <w:color w:val="auto"/>
        </w:rPr>
        <w:t>2022</w:t>
      </w:r>
      <w:r>
        <w:rPr>
          <w:sz w:val="20"/>
          <w:szCs w:val="20"/>
          <w:color w:val="auto"/>
        </w:rPr>
        <w:tab/>
      </w:r>
      <w:r>
        <w:rPr>
          <w:rFonts w:ascii="Times New Roman" w:cs="Times New Roman" w:eastAsia="Times New Roman" w:hAnsi="Times New Roman"/>
          <w:sz w:val="18"/>
          <w:szCs w:val="18"/>
          <w:color w:val="auto"/>
        </w:rPr>
        <w:t>2021</w:t>
      </w:r>
    </w:p>
    <w:p>
      <w:pPr>
        <w:spacing w:after="0" w:line="27" w:lineRule="exact"/>
        <w:rPr>
          <w:sz w:val="20"/>
          <w:szCs w:val="20"/>
          <w:color w:val="auto"/>
        </w:rPr>
      </w:pPr>
    </w:p>
    <w:p>
      <w:pPr>
        <w:ind w:left="180" w:hanging="170"/>
        <w:spacing w:after="0"/>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16,545,799  $ 16,532,593</w:t>
      </w:r>
    </w:p>
    <w:p>
      <w:pPr>
        <w:spacing w:after="0" w:line="22"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17,567,906</w:t>
      </w:r>
      <w:r>
        <w:rPr>
          <w:rFonts w:ascii="Times New Roman" w:cs="Times New Roman" w:eastAsia="Times New Roman" w:hAnsi="Times New Roman"/>
          <w:sz w:val="17"/>
          <w:szCs w:val="17"/>
          <w:color w:val="auto"/>
        </w:rPr>
        <w:t>24,799,115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34,113,705</w:t>
            </w:r>
          </w:p>
        </w:tc>
        <w:tc>
          <w:tcPr>
            <w:tcW w:w="180" w:type="dxa"/>
            <w:vAlign w:val="bottom"/>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41,331,708</w:t>
            </w:r>
          </w:p>
        </w:tc>
        <w:tc>
          <w:tcPr>
            <w:tcW w:w="60" w:type="dxa"/>
            <w:vAlign w:val="bottom"/>
          </w:tcPr>
          <w:p>
            <w:pPr>
              <w:spacing w:after="0"/>
              <w:rPr>
                <w:sz w:val="16"/>
                <w:szCs w:val="16"/>
                <w:color w:val="auto"/>
              </w:rPr>
            </w:pPr>
          </w:p>
        </w:tc>
      </w:tr>
      <w:tr>
        <w:trPr>
          <w:trHeight w:val="248"/>
        </w:trPr>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(13,534,056)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(19,814,110)</w:t>
            </w:r>
          </w:p>
        </w:tc>
      </w:tr>
      <w:tr>
        <w:trPr>
          <w:trHeight w:val="223"/>
        </w:trPr>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$ 20,579,649</w:t>
            </w:r>
          </w:p>
        </w:tc>
        <w:tc>
          <w:tcPr>
            <w:tcW w:w="1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$ 21,517,598</w:t>
            </w:r>
          </w:p>
        </w:tc>
        <w:tc>
          <w:tcPr>
            <w:tcW w:w="60" w:type="dxa"/>
            <w:vAlign w:val="bottom"/>
          </w:tcPr>
          <w:p>
            <w:pPr>
              <w:spacing w:after="0"/>
              <w:rPr>
                <w:sz w:val="19"/>
                <w:szCs w:val="19"/>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3360" w:space="40"/>
            <w:col w:w="7840"/>
          </w:cols>
          <w:pgMar w:left="320" w:top="688" w:right="339" w:bottom="1440" w:gutter="0" w:footer="0" w:header="0"/>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expense for the years ended December 31, 2022 and 2021 was $2,496,906 and $1,935,613, respectively. Property and equipment are stated at cost and are depreciated over their estimated useful lives, primarily using the straight-line method. During 2021, the Company reclassified a building with a gross building cost of $3,640,755 with its associated accumulated depreciation of $532,074 from property and equipment to real estate held for investment. See Note 20 for additional information regarding property and equipment acquired through acquisitions.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Bank and Other Loans Payable</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 and other loans payable are summarized as follows: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December 31</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spacing w:after="0"/>
              <w:rPr>
                <w:sz w:val="19"/>
                <w:szCs w:val="19"/>
                <w:color w:val="auto"/>
              </w:rPr>
            </w:pPr>
          </w:p>
        </w:tc>
        <w:tc>
          <w:tcPr>
            <w:tcW w:w="50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r>
      <w:tr>
        <w:trPr>
          <w:trHeight w:val="178"/>
        </w:trPr>
        <w:tc>
          <w:tcPr>
            <w:tcW w:w="7440" w:type="dxa"/>
            <w:vAlign w:val="bottom"/>
            <w:gridSpan w:val="3"/>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Prime rate note payable in monthly installments of $75,108 including principal and</w:t>
            </w: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interest,collateralized by shares of Security National Life Insurance Company stock, due December</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0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1,690,892</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2,481,878</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4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4.329% fixed note payable in monthly installments of $9,775 including principal and</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interest,collateralized by real property with a book value of approximately $3,023,000, paid in full</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2022.</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1,825,608</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4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4.00% variable with LIBOR at a 1% floor and a spread at 3% rate construction loan collateralized</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by real property with a book value of approximately $65,422,000, paid off with long term financing</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 May 2022.</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34,547,181</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4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3.85% fixed note payable in monthly installments of $243,781 including principal and interest,</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by real property with a book value of approximately $65,422,000, due June 2032.</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48,613,833</w:t>
            </w: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4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3.30% fixed note payable in monthly installments of $179,562 including principal and interest,</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by real property with a book value of approximately $46,960,000, due April 2031.</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39,298,298</w:t>
            </w: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40,090,359</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4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4.7865% fixed interest only note payable in monthly installments, collateralized by real property</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a book value of approximately $16,948,000, due June 2028.</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9,200,000</w:t>
            </w: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9,200,000</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4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 month SOFR rate plus 2.1% loan purchase agreement with a warehouse line availability of</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$100,000,000, matures June 2023.</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17,978,527</w:t>
            </w: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66,305,025</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4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 month SOFR rate plus 2% loan purchase agreement with a warehouse line availability of</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$100,000,000, matures November 2023.</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29,768,762</w:t>
            </w: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50,555,909</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4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 month SOFR rate plus 2.5% loan purchase agreement with a warehouse line availability of</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$75,000,000, matures May 2023.</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15,131,410</w:t>
            </w: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43,196,986</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4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 month SOFR rate plus 2.1% loan purchase agreement with a warehouse line availability of</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$50,000,000, matures June 2023.</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1,764,386</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short-term borrowings (1)</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1,250,000</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31,082</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62,767</w:t>
            </w: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loans payable</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6,828</w:t>
            </w:r>
          </w:p>
        </w:tc>
      </w:tr>
      <w:tr>
        <w:trPr>
          <w:trHeight w:val="210"/>
        </w:trPr>
        <w:tc>
          <w:tcPr>
            <w:tcW w:w="7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bank and other loans</w:t>
            </w: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161,712,804</w:t>
            </w:r>
          </w:p>
        </w:tc>
        <w:tc>
          <w:tcPr>
            <w:tcW w:w="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251,286,927</w:t>
            </w:r>
          </w:p>
        </w:tc>
        <w:tc>
          <w:tcPr>
            <w:tcW w:w="10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current installments</w:t>
            </w:r>
          </w:p>
        </w:tc>
        <w:tc>
          <w:tcPr>
            <w:tcW w:w="38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65,560,608</w:t>
            </w:r>
          </w:p>
        </w:tc>
        <w:tc>
          <w:tcPr>
            <w:tcW w:w="4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164,747,672</w:t>
            </w:r>
          </w:p>
        </w:tc>
      </w:tr>
      <w:tr>
        <w:trPr>
          <w:trHeight w:val="223"/>
        </w:trPr>
        <w:tc>
          <w:tcPr>
            <w:tcW w:w="74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other loans, excluding current installments</w:t>
            </w: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96,152,196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86,539,255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Revolving Line of Credit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and Other Loans Payable</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Federal Home Loan Bank Membership</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Federal Home Loan Banks (“the FHLBs”) are a group of cooperatives that lending institutions use to finance housing and economic development in local communities. The Company is a member of the FHLB based in Des Moines, Iowa and based in Dallas, Texas. As a member of the FHLB, the Company is required to maintain a minimum investment in capital stock of the FHLB and may pledge collateral to the bank for advances of funds to be used in its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Home Loan Bank of Des Moines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2022, the amount available for borrowings from the FHLB of Des Moines was approximately $80,312,445, compared with $19,259,722 at December 31, 2021. United States Treasury fixed maturity securities with an estimated fair value of $86,338,880 at December 31, 2022 have been pledged at the FHLB of Des Moines as collateral for current and potential borrowings compared with $20,244,900 at December 31, 2021. At December 31, 2022 and 2021, the Company had no outstanding FHLB borrowings. At December 31, 2022, the Company’s total investment in FHLB stock was $856,800 compared with $826,800 at December 31, 2021. At December 31, 2022, the Company was contingently liable under standby letters of credit aggregating $968,903, $443,758 to be used as collateral to cover any contingency related to additional risk assessments pertaining to the Company’s captive insurance program and $525,145 for land developments.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Home Loan Bank of Dallas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2022, the amount available for borrowings from the FHLB of Dallas was approximately $5,719,671, compared with $7,794,625 at December 31, 2021. Mortgage-Backed fixed maturity securities with an estimated fair value of $6,696,100 at December 31, 2022 have been pledged at the FHLB of Dallas as collateral for current and potential borrowings compared with $8,774,352 at December 31, 2021. At December 31, 2022 and 2021, the Company had no outstanding FHLB borrowings. At December 31, 2022, the Company’s total investment in FHLB stock was $1,743,500 compared with $1,720,300 at December 31,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Lines of Credit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$2,000,000 revolving line-of-credit with a bank with interest payable at the prime rate plus 1.25% with a 3% prime floor, secured by the capital stock of Security National Life and maturing December 31, 2023, renewable annually. At December 31, 2022, the Company was contingently liable under standby letters of credit aggregating $622,293, to be used as collateral for residential subdivision land developments. The standby letters of credit will draw on the line of credit if necessary. The Company does not expect any material losses to result from the issuance of the standby letters of credit. As of December 31, 2022, there were no amounts outstanding under the revolving line-of-credit.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has a $2,500,000 revolving line-of-credit with a bank with interest payable at the daily simple SOFR plus 2.35%, which includes a mandatory .10% credit spread adjustment, maturing December 31, 2023. As of December 31, 2022, there were no amounts outstanding under the revolving line-of-credit.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and Other Loans Payable</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Covenants for Mortgage Warehouse Lines of Credit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through its subsidiary SecurityNational Mortgage, has a $100,000,000 line of credit with Wells Fargo Bank N.A. The agreement charges interest at the 1-Month SOFR rate plus 2.1% and matures on June 2, 2023. SecurityNational Mortgage is required to comply with covenants for adjusted tangible net worth, unrestricted cash balance, the ratio of indebtedness to adjusted tangible net worth, and the liquidity overhead coverage ratio, and a quarterly gross profit of at least $1.00.</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subsidiary SecurityNational Mortgage, has a line of credit with Texas Capital Bank N.A. This agreement with the bank allows SecurityNational Mortgage to borrow up to $100,000,000 for the sole purpose of funding mortgage loans. The agreement charges interest at the 1-Month SOFR rate plus 2% and matures on November 9, 2023. The Company is required to comply with covenants for adjusted tangible net worth, unrestricted cash balance, and minimum combined pre-tax income (excluding any changes in the fair value of mortgage servicing rights) of at least $1.00 on a rolling four-quarter basis.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subsidiary SecurityNational Mortgage, has a line of credit with Comerica Bank. This agreement with the bank allows SecurityNational Mortgage to borrow up to $75,000,000 for the sole purpose of funding mortgage loans. The agreement charges interest at the 1-Month SOFR rate plus 2.50% and matures on May 26, 2023.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subsidiary SecurityNational Mortgage, has a line of credit with U.S Bank. This agreement with the bank allows SecurityNational Mortgage to borrow up to $50,000,000 for the sole purpose of funding mortgage loans. The agreement charges interest at 2.10% plus the greater of (i) 0%, and (ii) the one-month forward-looking term rate based on SOFR and matures on June 2, 2023.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agreements for warehouse lines include cross default provisions in that a covenant violation under one agreement constitutes a covenant violation under the other agreement. As of December 31, 2022, the Company was in compliance with all debt covenants.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tabulation shows the combined maturities of bank and other loans payable: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65,560,608</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2,785,674</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1,981,991</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1,883,515</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1,997,551</w:t>
            </w:r>
          </w:p>
        </w:tc>
      </w:t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87,503,465</w:t>
            </w:r>
          </w:p>
        </w:tc>
      </w:tr>
      <w:tr>
        <w:trPr>
          <w:trHeight w:val="223"/>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161,712,804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expense in 2022 and 2021 was $7,830,443 and $7,127,516, respectively. Interest paid in 2022 and 2021 was $7,697,921 and $7,290,867,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 and Restricted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Cemetery Perpetual Care Trust Investments and Obligation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 law requires the Company to pay into endowment care trusts a portion of the proceeds from the sale of certain cemetery property interment rights for cemeteries that have established an endowment care trust. These endowment care trusts are defined as variable interest entities pursuant to GAAP. Also, management has determined that the Company is the primary beneficiary of these trusts, as it absorbs both a majority of the losses and returns associated with the trusts. The Company has consolidated cemetery endowment care trust investments with a corresponding amount recorded as Cemetery Perpetual Care Obligation in the accompanying consolidated balance sheets</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cemetery perpetual care investments and obligation as of December 31, 2022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12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8"/>
                <w:szCs w:val="18"/>
                <w:color w:val="auto"/>
              </w:rPr>
            </w:pPr>
          </w:p>
        </w:tc>
        <w:tc>
          <w:tcPr>
            <w:tcW w:w="12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14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Amortized Cost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Pr>
          <w:p>
            <w:pPr>
              <w:spacing w:after="0"/>
              <w:rPr>
                <w:sz w:val="20"/>
                <w:szCs w:val="20"/>
                <w:color w:val="auto"/>
              </w:rPr>
            </w:pPr>
          </w:p>
        </w:tc>
        <w:tc>
          <w:tcPr>
            <w:tcW w:w="12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89"/>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2022:</w:t>
            </w:r>
          </w:p>
        </w:tc>
        <w:tc>
          <w:tcPr>
            <w:tcW w:w="37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2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agencies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89,004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89,008</w:t>
            </w:r>
          </w:p>
        </w:tc>
      </w:tr>
      <w:tr>
        <w:trPr>
          <w:trHeight w:val="23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174,201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(8,478)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165,723</w:t>
            </w:r>
          </w:p>
        </w:tc>
      </w:tr>
      <w:tr>
        <w:trPr>
          <w:trHeight w:val="223"/>
        </w:trPr>
        <w:tc>
          <w:tcPr>
            <w:tcW w:w="520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263,205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3,195,942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584,383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(175,163)</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3,605,162</w:t>
            </w:r>
          </w:p>
        </w:tc>
      </w:tr>
      <w:tr>
        <w:trPr>
          <w:trHeight w:val="263"/>
        </w:trPr>
        <w:tc>
          <w:tcPr>
            <w:tcW w:w="52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3,195,942</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584,383</w:t>
            </w:r>
          </w:p>
        </w:tc>
        <w:tc>
          <w:tcPr>
            <w:tcW w:w="3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(175,163</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3,605,162</w:t>
            </w:r>
          </w:p>
        </w:tc>
        <w:tc>
          <w:tcPr>
            <w:tcW w:w="100" w:type="dxa"/>
            <w:vAlign w:val="bottom"/>
            <w:tcBorders>
              <w:bottom w:val="single" w:sz="8" w:color="CCEEFF"/>
            </w:tcBorders>
          </w:tcPr>
          <w:p>
            <w:pPr>
              <w:spacing w:after="0"/>
              <w:rPr>
                <w:sz w:val="22"/>
                <w:szCs w:val="22"/>
                <w:color w:val="auto"/>
              </w:rPr>
            </w:pPr>
          </w:p>
        </w:tc>
      </w:tr>
      <w:tr>
        <w:trPr>
          <w:trHeight w:val="197"/>
        </w:trPr>
        <w:tc>
          <w:tcPr>
            <w:tcW w:w="148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1,506,517</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investment: Residential</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(16,178)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1,925,978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cemetery perpetual care trust investments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7,276,210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(5,099,542)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investments in excess of trust obligations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2,176,668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9"/>
        </w:trPr>
        <w:tc>
          <w:tcPr>
            <w:tcW w:w="14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 and Restricted Assets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cemetery perpetual care investments and obligation as of December 31, 2021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12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8"/>
                <w:szCs w:val="18"/>
                <w:color w:val="auto"/>
              </w:rPr>
            </w:pPr>
          </w:p>
        </w:tc>
        <w:tc>
          <w:tcPr>
            <w:tcW w:w="12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Amortized Cost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Pr>
          <w:p>
            <w:pPr>
              <w:spacing w:after="0"/>
              <w:rPr>
                <w:sz w:val="20"/>
                <w:szCs w:val="20"/>
                <w:color w:val="auto"/>
              </w:rPr>
            </w:pPr>
          </w:p>
        </w:tc>
        <w:tc>
          <w:tcPr>
            <w:tcW w:w="12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190"/>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2021:</w:t>
            </w:r>
          </w:p>
        </w:tc>
        <w:tc>
          <w:tcPr>
            <w:tcW w:w="37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280,023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(928)</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283,967</w:t>
            </w:r>
          </w:p>
        </w:tc>
        <w:tc>
          <w:tcPr>
            <w:tcW w:w="0" w:type="dxa"/>
            <w:vAlign w:val="bottom"/>
          </w:tcPr>
          <w:p>
            <w:pPr>
              <w:spacing w:after="0"/>
              <w:rPr>
                <w:sz w:val="1"/>
                <w:szCs w:val="1"/>
                <w:color w:val="auto"/>
              </w:rPr>
            </w:pPr>
          </w:p>
        </w:tc>
      </w:tr>
      <w:tr>
        <w:trPr>
          <w:trHeight w:val="229"/>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492,770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8,028</w:t>
            </w:r>
          </w:p>
        </w:tc>
        <w:tc>
          <w:tcPr>
            <w:tcW w:w="140" w:type="dxa"/>
            <w:vAlign w:val="bottom"/>
          </w:tcPr>
          <w:p>
            <w:pPr>
              <w:spacing w:after="0"/>
              <w:rPr>
                <w:sz w:val="19"/>
                <w:szCs w:val="19"/>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500,798</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2,597,745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737,696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(32,961)</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3,302,480</w:t>
            </w: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2,597,745</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737,696</w:t>
            </w:r>
          </w:p>
        </w:tc>
        <w:tc>
          <w:tcPr>
            <w:tcW w:w="3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(32,961</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3,302,480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1,823,533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4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 held for investment: Residential</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865,424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1,059,519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cemetery perpetual care trust investments</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7,835,721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(4,915,285)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 investments in excess of trust obligations</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2,920,436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summarize unrealized losses on fixed maturities securities that were carried at estimated fair value at December 31, 2022 and at December 31, 2021. The unrealized losses were primarily related to interest rate fluctuations and inflation. The tables set forth unrealized losses by duration with the fair value of the related fixed maturity securities: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 December 31, 2022</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U.S. Treasury securities and obligations of U.S. Government agencies</w:t>
      </w:r>
    </w:p>
    <w:p>
      <w:pPr>
        <w:spacing w:after="0" w:line="1" w:lineRule="exact"/>
        <w:rPr>
          <w:sz w:val="20"/>
          <w:szCs w:val="20"/>
          <w:color w:val="auto"/>
        </w:rPr>
      </w:pPr>
    </w:p>
    <w:p>
      <w:pPr>
        <w:ind w:right="1000"/>
        <w:spacing w:after="0" w:line="276" w:lineRule="auto"/>
        <w:rPr>
          <w:sz w:val="20"/>
          <w:szCs w:val="20"/>
          <w:color w:val="auto"/>
        </w:rPr>
      </w:pPr>
      <w:r>
        <w:rPr>
          <w:rFonts w:ascii="Times New Roman" w:cs="Times New Roman" w:eastAsia="Times New Roman" w:hAnsi="Times New Roman"/>
          <w:sz w:val="18"/>
          <w:szCs w:val="18"/>
          <w:color w:val="auto"/>
        </w:rPr>
        <w:t>Obligations of states and political subdivisions Total unrealized losses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Losses for</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for</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Less than</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More than</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6"/>
              </w:rPr>
              <w:t>Twelve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Twelve</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Unrealized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Months</w:t>
            </w:r>
          </w:p>
        </w:tc>
        <w:tc>
          <w:tcPr>
            <w:tcW w:w="360" w:type="dxa"/>
            <w:vAlign w:val="bottom"/>
          </w:tcPr>
          <w:p>
            <w:pPr>
              <w:spacing w:after="0"/>
              <w:rPr>
                <w:sz w:val="20"/>
                <w:szCs w:val="20"/>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Fair Value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Months</w:t>
            </w:r>
          </w:p>
        </w:tc>
        <w:tc>
          <w:tcPr>
            <w:tcW w:w="320" w:type="dxa"/>
            <w:vAlign w:val="bottom"/>
          </w:tcPr>
          <w:p>
            <w:pPr>
              <w:spacing w:after="0"/>
              <w:rPr>
                <w:sz w:val="20"/>
                <w:szCs w:val="20"/>
                <w:color w:val="auto"/>
              </w:rPr>
            </w:pP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6"/>
              </w:rPr>
              <w:t>Fair Value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Loss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Fair Value</w:t>
            </w:r>
          </w:p>
        </w:tc>
        <w:tc>
          <w:tcPr>
            <w:tcW w:w="20" w:type="dxa"/>
            <w:vAlign w:val="bottom"/>
          </w:tcPr>
          <w:p>
            <w:pPr>
              <w:spacing w:after="0"/>
              <w:rPr>
                <w:sz w:val="20"/>
                <w:szCs w:val="20"/>
                <w:color w:val="auto"/>
              </w:rPr>
            </w:pPr>
          </w:p>
        </w:tc>
      </w:tr>
      <w:tr>
        <w:trPr>
          <w:trHeight w:val="637"/>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59,392</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59,392</w:t>
            </w:r>
          </w:p>
        </w:tc>
      </w:tr>
      <w:tr>
        <w:trPr>
          <w:trHeight w:val="234"/>
        </w:trPr>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1,845</w:t>
            </w: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94,612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6,633</w:t>
            </w:r>
          </w:p>
        </w:tc>
        <w:tc>
          <w:tcPr>
            <w:tcW w:w="1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71,112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8,478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165,724</w:t>
            </w:r>
          </w:p>
        </w:tc>
        <w:tc>
          <w:tcPr>
            <w:tcW w:w="20" w:type="dxa"/>
            <w:vAlign w:val="bottom"/>
          </w:tcPr>
          <w:p>
            <w:pPr>
              <w:spacing w:after="0"/>
              <w:rPr>
                <w:sz w:val="20"/>
                <w:szCs w:val="20"/>
                <w:color w:val="auto"/>
              </w:rPr>
            </w:pP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154,004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225,116</w:t>
            </w:r>
          </w:p>
        </w:tc>
        <w:tc>
          <w:tcPr>
            <w:tcW w:w="20" w:type="dxa"/>
            <w:vAlign w:val="bottom"/>
            <w:tcBorders>
              <w:bottom w:val="single" w:sz="8" w:color="auto"/>
            </w:tcBorders>
          </w:tcPr>
          <w:p>
            <w:pPr>
              <w:spacing w:after="0"/>
              <w:rPr>
                <w:sz w:val="19"/>
                <w:szCs w:val="19"/>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-744855</wp:posOffset>
            </wp:positionV>
            <wp:extent cx="71323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-325120</wp:posOffset>
            </wp:positionV>
            <wp:extent cx="713232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380" w:space="360"/>
            <w:col w:w="650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64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76"/>
        </w:trPr>
        <w:tc>
          <w:tcPr>
            <w:tcW w:w="4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At December 31, 2021</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640" w:type="dxa"/>
            <w:vAlign w:val="bottom"/>
            <w:tcBorders>
              <w:top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105,060</w:t>
            </w:r>
          </w:p>
        </w:tc>
        <w:tc>
          <w:tcPr>
            <w:tcW w:w="6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928</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105,060</w:t>
            </w:r>
          </w:p>
        </w:tc>
        <w:tc>
          <w:tcPr>
            <w:tcW w:w="80" w:type="dxa"/>
            <w:vAlign w:val="bottom"/>
            <w:shd w:val="clear" w:color="auto" w:fill="CCEEFF"/>
          </w:tcPr>
          <w:p>
            <w:pPr>
              <w:spacing w:after="0"/>
              <w:rPr>
                <w:sz w:val="19"/>
                <w:szCs w:val="19"/>
                <w:color w:val="auto"/>
              </w:rPr>
            </w:pPr>
          </w:p>
        </w:tc>
      </w:tr>
      <w:tr>
        <w:trPr>
          <w:trHeight w:val="22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unrealized losses</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5 securities with fair value of 96.4% of aggregate amortized cost at December 31, 2022. There were 2 securities with fair value of 99.1% of aggregate amortized cost at December 31, 2021. No credit losses have been recognized for the years ended December 31, 2022 and 2021, since the increase in unrealized losses is primarily a result of the recent rise in interest rates.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 and Restricted Assets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amortized cost and estimated fair value of fixed maturity securities available for sale at December 31, 2022, by contractual maturity. Expected maturities may differ from contractual maturities because certain borrowers may have the right to call or prepay obligations with or without call or prepayment penalties.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1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2-5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5-10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more than 10 years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Assets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8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Amortized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18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Cost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1"/>
        </w:trPr>
        <w:tc>
          <w:tcPr>
            <w:tcW w:w="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89,004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89,008</w:t>
            </w:r>
          </w:p>
        </w:tc>
        <w:tc>
          <w:tcPr>
            <w:tcW w:w="20" w:type="dxa"/>
            <w:vAlign w:val="bottom"/>
          </w:tcPr>
          <w:p>
            <w:pPr>
              <w:spacing w:after="0"/>
              <w:rPr>
                <w:sz w:val="16"/>
                <w:szCs w:val="16"/>
                <w:color w:val="auto"/>
              </w:rPr>
            </w:pPr>
          </w:p>
        </w:tc>
      </w:tr>
      <w:tr>
        <w:trPr>
          <w:trHeight w:val="216"/>
        </w:trPr>
        <w:tc>
          <w:tcPr>
            <w:tcW w:w="1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77,745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71,112</w:t>
            </w:r>
          </w:p>
        </w:tc>
      </w:tr>
      <w:tr>
        <w:trPr>
          <w:trHeight w:val="229"/>
        </w:trPr>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41,621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40,816</w:t>
            </w:r>
          </w:p>
        </w:tc>
      </w:tr>
      <w:tr>
        <w:trPr>
          <w:trHeight w:val="234"/>
        </w:trPr>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54,835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53,795</w:t>
            </w:r>
          </w:p>
        </w:tc>
      </w:tr>
      <w:tr>
        <w:trPr>
          <w:trHeight w:val="223"/>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263,205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254,731</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-744855</wp:posOffset>
            </wp:positionV>
            <wp:extent cx="427736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277360" cy="14541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-462280</wp:posOffset>
            </wp:positionV>
            <wp:extent cx="427736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277360" cy="13716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-179070</wp:posOffset>
            </wp:positionV>
            <wp:extent cx="4277360" cy="162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277360" cy="162560"/>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3200" w:space="720"/>
            <w:col w:w="7320"/>
          </w:cols>
          <w:pgMar w:left="320" w:top="688" w:right="339" w:bottom="1440" w:gutter="0" w:footer="0" w:header="0"/>
          <w:type w:val="continuous"/>
        </w:sectPr>
      </w:pPr>
    </w:p>
    <w:p>
      <w:pPr>
        <w:spacing w:after="0" w:line="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also established certain restricted assets to provide for future merchandise and service obligations incurred in connection with its pre-need sales for its cemetery and mortuary segment.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cash also represents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elected to maintain its medical benefit fund without change from the prior year and has included this amount as a component of restricted cash. These restricted cash items are for the Company’s life insurance and mortgage segments.</w:t>
      </w:r>
    </w:p>
    <w:p>
      <w:pPr>
        <w:sectPr>
          <w:pgSz w:w="11900" w:h="16838" w:orient="portrait"/>
          <w:cols w:equalWidth="0" w:num="1">
            <w:col w:w="11240"/>
          </w:cols>
          <w:pgMar w:left="320" w:top="688" w:right="339"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Restricted assets as of December 31, 2022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p>
      <w:pPr>
        <w:spacing w:after="0" w:line="9" w:lineRule="exact"/>
        <w:rPr>
          <w:sz w:val="20"/>
          <w:szCs w:val="20"/>
          <w:color w:val="auto"/>
        </w:rPr>
      </w:pPr>
    </w:p>
    <w:p>
      <w:pPr>
        <w:ind w:left="360" w:right="1260" w:hanging="179"/>
        <w:spacing w:after="0" w:line="306" w:lineRule="auto"/>
        <w:rPr>
          <w:sz w:val="20"/>
          <w:szCs w:val="20"/>
          <w:color w:val="auto"/>
        </w:rPr>
      </w:pPr>
      <w:r>
        <w:rPr>
          <w:rFonts w:ascii="Times New Roman" w:cs="Times New Roman" w:eastAsia="Times New Roman" w:hAnsi="Times New Roman"/>
          <w:sz w:val="17"/>
          <w:szCs w:val="17"/>
          <w:color w:val="auto"/>
        </w:rPr>
        <w:t>Corporate securities including public utilities Total fixed maturity securities available for sale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1400" w:type="dxa"/>
            <w:vAlign w:val="bottom"/>
            <w:gridSpan w:val="2"/>
          </w:tcPr>
          <w:p>
            <w:pPr>
              <w:jc w:val="center"/>
              <w:ind w:right="381"/>
              <w:spacing w:after="0"/>
              <w:rPr>
                <w:sz w:val="20"/>
                <w:szCs w:val="20"/>
                <w:color w:val="auto"/>
              </w:rPr>
            </w:pPr>
            <w:r>
              <w:rPr>
                <w:rFonts w:ascii="Times New Roman" w:cs="Times New Roman" w:eastAsia="Times New Roman" w:hAnsi="Times New Roman"/>
                <w:sz w:val="18"/>
                <w:szCs w:val="18"/>
                <w:color w:val="auto"/>
                <w:w w:val="99"/>
              </w:rPr>
              <w:t>Gross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8"/>
                <w:szCs w:val="18"/>
                <w:color w:val="auto"/>
              </w:rPr>
            </w:pPr>
          </w:p>
        </w:tc>
        <w:tc>
          <w:tcPr>
            <w:tcW w:w="1400" w:type="dxa"/>
            <w:vAlign w:val="bottom"/>
            <w:gridSpan w:val="2"/>
          </w:tcPr>
          <w:p>
            <w:pPr>
              <w:jc w:val="center"/>
              <w:ind w:right="381"/>
              <w:spacing w:after="0"/>
              <w:rPr>
                <w:sz w:val="20"/>
                <w:szCs w:val="20"/>
                <w:color w:val="auto"/>
              </w:rPr>
            </w:pPr>
            <w:r>
              <w:rPr>
                <w:rFonts w:ascii="Times New Roman" w:cs="Times New Roman" w:eastAsia="Times New Roman" w:hAnsi="Times New Roman"/>
                <w:sz w:val="18"/>
                <w:szCs w:val="18"/>
                <w:color w:val="auto"/>
                <w:w w:val="98"/>
              </w:rPr>
              <w:t>Unrealized</w:t>
            </w:r>
          </w:p>
        </w:tc>
        <w:tc>
          <w:tcPr>
            <w:tcW w:w="2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Amortized Cost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Gains</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Losses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Value</w:t>
            </w:r>
          </w:p>
        </w:tc>
      </w:tr>
      <w:tr>
        <w:trPr>
          <w:trHeight w:val="623"/>
        </w:trPr>
        <w:tc>
          <w:tcPr>
            <w:tcW w:w="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1,033,047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866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(15,360)</w:t>
            </w:r>
          </w:p>
        </w:tc>
        <w:tc>
          <w:tcPr>
            <w:tcW w:w="26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1,018,553</w:t>
            </w:r>
          </w:p>
        </w:tc>
      </w:tr>
      <w:tr>
        <w:trPr>
          <w:trHeight w:val="248"/>
        </w:trPr>
        <w:tc>
          <w:tcPr>
            <w:tcW w:w="3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201,771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(3,016)</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198,755</w:t>
            </w:r>
          </w:p>
        </w:tc>
      </w:tr>
      <w:tr>
        <w:trPr>
          <w:trHeight w:val="223"/>
        </w:trPr>
        <w:tc>
          <w:tcPr>
            <w:tcW w:w="30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1,234,818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(18,376</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1,217,308</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-745490</wp:posOffset>
            </wp:positionV>
            <wp:extent cx="71323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-462280</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-179070</wp:posOffset>
            </wp:positionV>
            <wp:extent cx="7132320" cy="162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60" w:space="140"/>
            <w:col w:w="6040"/>
          </w:cols>
          <w:pgMar w:left="320" w:top="688"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4,955,360</w:t>
            </w:r>
          </w:p>
        </w:tc>
        <w:tc>
          <w:tcPr>
            <w:tcW w:w="70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703,049</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(310,165)</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5,348,244</w:t>
            </w:r>
          </w:p>
        </w:tc>
      </w:tr>
      <w:tr>
        <w:trPr>
          <w:trHeight w:val="263"/>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4,955,360</w:t>
            </w: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5"/>
              </w:rPr>
              <w:t>703,049</w:t>
            </w:r>
          </w:p>
        </w:tc>
        <w:tc>
          <w:tcPr>
            <w:tcW w:w="34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(310,165</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5,348,244</w:t>
            </w:r>
          </w:p>
        </w:tc>
        <w:tc>
          <w:tcPr>
            <w:tcW w:w="100" w:type="dxa"/>
            <w:vAlign w:val="bottom"/>
            <w:tcBorders>
              <w:bottom w:val="single" w:sz="8" w:color="CCEEFF"/>
            </w:tcBorders>
          </w:tcPr>
          <w:p>
            <w:pPr>
              <w:spacing w:after="0"/>
              <w:rPr>
                <w:sz w:val="22"/>
                <w:szCs w:val="22"/>
                <w:color w:val="auto"/>
              </w:rPr>
            </w:pPr>
          </w:p>
        </w:tc>
      </w:tr>
      <w:tr>
        <w:trPr>
          <w:trHeight w:val="197"/>
        </w:trPr>
        <w:tc>
          <w:tcPr>
            <w:tcW w:w="5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5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1,731,469</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9"/>
        </w:trPr>
        <w:tc>
          <w:tcPr>
            <w:tcW w:w="5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10,638,034</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restricted assets</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18,935,055</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5540" w:right="3920" w:hanging="5472"/>
        <w:spacing w:after="0" w:line="657" w:lineRule="auto"/>
        <w:tabs>
          <w:tab w:leader="none" w:pos="3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cash and cash equivalents of $8,527,620 for the life insurance and mortgage segments.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right="4260" w:firstLine="8"/>
        <w:spacing w:after="0" w:line="500" w:lineRule="auto"/>
        <w:tabs>
          <w:tab w:leader="none" w:pos="1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 and Restricted Assets</w:t>
      </w:r>
      <w:r>
        <w:rPr>
          <w:rFonts w:ascii="Times New Roman" w:cs="Times New Roman" w:eastAsia="Times New Roman" w:hAnsi="Times New Roman"/>
          <w:sz w:val="18"/>
          <w:szCs w:val="18"/>
          <w:color w:val="auto"/>
        </w:rPr>
        <w:t xml:space="preserve"> (Continued) Restricted assets as of December 31, 2021 are summarized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12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8"/>
                <w:szCs w:val="18"/>
                <w:color w:val="auto"/>
              </w:rPr>
            </w:pPr>
          </w:p>
        </w:tc>
        <w:tc>
          <w:tcPr>
            <w:tcW w:w="12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14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Amortized Cost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Pr>
          <w:p>
            <w:pPr>
              <w:spacing w:after="0"/>
              <w:rPr>
                <w:sz w:val="20"/>
                <w:szCs w:val="20"/>
                <w:color w:val="auto"/>
              </w:rPr>
            </w:pPr>
          </w:p>
        </w:tc>
        <w:tc>
          <w:tcPr>
            <w:tcW w:w="12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0"/>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2021:</w:t>
            </w:r>
          </w:p>
        </w:tc>
        <w:tc>
          <w:tcPr>
            <w:tcW w:w="37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1,058,449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42,456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(309)</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1,100,596</w:t>
            </w:r>
          </w:p>
        </w:tc>
      </w:tr>
      <w:tr>
        <w:trPr>
          <w:trHeight w:val="229"/>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489,714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13,139</w:t>
            </w:r>
          </w:p>
        </w:tc>
        <w:tc>
          <w:tcPr>
            <w:tcW w:w="14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501,092</w:t>
            </w:r>
          </w:p>
        </w:tc>
      </w:tr>
      <w:tr>
        <w:trPr>
          <w:trHeight w:val="223"/>
        </w:trPr>
        <w:tc>
          <w:tcPr>
            <w:tcW w:w="520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1,548,163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2,781,041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852,443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(29,662)</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3,603,822</w:t>
            </w:r>
          </w:p>
        </w:tc>
      </w:tr>
      <w:tr>
        <w:trPr>
          <w:trHeight w:val="263"/>
        </w:trPr>
        <w:tc>
          <w:tcPr>
            <w:tcW w:w="52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2,781,041</w:t>
            </w: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852,443</w:t>
            </w:r>
          </w:p>
        </w:tc>
        <w:tc>
          <w:tcPr>
            <w:tcW w:w="3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3,603,822</w:t>
            </w:r>
          </w:p>
        </w:tc>
        <w:tc>
          <w:tcPr>
            <w:tcW w:w="100" w:type="dxa"/>
            <w:vAlign w:val="bottom"/>
            <w:tcBorders>
              <w:bottom w:val="single" w:sz="8" w:color="CCEEFF"/>
            </w:tcBorders>
          </w:tcPr>
          <w:p>
            <w:pPr>
              <w:spacing w:after="0"/>
              <w:rPr>
                <w:sz w:val="22"/>
                <w:szCs w:val="22"/>
                <w:color w:val="auto"/>
              </w:rPr>
            </w:pPr>
          </w:p>
        </w:tc>
      </w:tr>
      <w:tr>
        <w:trPr>
          <w:trHeight w:val="197"/>
        </w:trPr>
        <w:tc>
          <w:tcPr>
            <w:tcW w:w="148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2,732,319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9,000,293</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restricted assets</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16,938,122</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Including cash and cash equivalents of $7,869,295 for the life insurance and mortgage segments.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surplus note receivable in the amount of $4,000,000 at December 31, 2022 and 2021, from Security National Life, was eliminated in consolidation.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Fixed Maturity Securities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summarize unrealized losses on fixed maturities securities that were carried at estimated fair value at December 31, 2022 and at December 31, 2021. The unrealized losses were primarily related to interest rate fluctuations and inflation. The tables set forth unrealized losses by duration with the fair value of the related fixed maturity securities: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unrealized losses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Losses for</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for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Less than</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More than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6"/>
              </w:rPr>
              <w:t>Twelve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Twelve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Months</w:t>
            </w:r>
          </w:p>
        </w:tc>
        <w:tc>
          <w:tcPr>
            <w:tcW w:w="360" w:type="dxa"/>
            <w:vAlign w:val="bottom"/>
          </w:tcPr>
          <w:p>
            <w:pPr>
              <w:spacing w:after="0"/>
              <w:rPr>
                <w:sz w:val="20"/>
                <w:szCs w:val="20"/>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Fair Value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Months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Fair Value</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Loss</w:t>
            </w:r>
          </w:p>
        </w:tc>
        <w:tc>
          <w:tcPr>
            <w:tcW w:w="32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421"/>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11,891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760,255</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3,469</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58,072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15,360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818,327</w:t>
            </w:r>
          </w:p>
        </w:tc>
      </w:tr>
      <w:tr>
        <w:trPr>
          <w:trHeight w:val="234"/>
        </w:trPr>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3,016</w:t>
            </w: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198,755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198,755</w:t>
            </w: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959,010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58,072</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1,017,082</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-608330</wp:posOffset>
            </wp:positionV>
            <wp:extent cx="713232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-325120</wp:posOffset>
            </wp:positionV>
            <wp:extent cx="713232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020" w:space="720"/>
            <w:col w:w="650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64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4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At December 31, 2021</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640" w:type="dxa"/>
            <w:vAlign w:val="bottom"/>
            <w:tcBorders>
              <w:top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114,208</w:t>
            </w:r>
          </w:p>
        </w:tc>
        <w:tc>
          <w:tcPr>
            <w:tcW w:w="5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114,208</w:t>
            </w:r>
          </w:p>
        </w:tc>
      </w:tr>
      <w:tr>
        <w:trPr>
          <w:trHeight w:val="23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4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1,761</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232,239</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1,761</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232,239</w:t>
            </w:r>
          </w:p>
        </w:tc>
      </w:tr>
      <w:tr>
        <w:trPr>
          <w:trHeight w:val="223"/>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unrealized losses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346,447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17 securities with fair value of 98.2% of aggregate amortized cost at December 31, 2022. There were 4 securities with fair value of 99.4% of aggregate amortized cost at December 31, 2021. No credit losses have been recognized for the years ended December 31, 2022 and 2021, since the increase in unrealized losses is primarily a result of the recent rise in interest rates.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00" w:hanging="192"/>
        <w:spacing w:after="0"/>
        <w:tabs>
          <w:tab w:leader="none" w:pos="2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 and Restricted Assets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amortized cost and estimated fair value of fixed maturity securities available for sale at December 31, 2022, by contractual maturity. Expected maturities may differ from contractual maturities because certain borrowers may have the right to call or prepay obligations with or without call or prepayment penalties.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1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2-5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5-10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more than 10 years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8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Amortized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18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Cost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1"/>
        </w:trPr>
        <w:tc>
          <w:tcPr>
            <w:tcW w:w="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r>
      <w:tr>
        <w:trPr>
          <w:trHeight w:val="216"/>
        </w:trPr>
        <w:tc>
          <w:tcPr>
            <w:tcW w:w="1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320,972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312,708</w:t>
            </w:r>
          </w:p>
        </w:tc>
      </w:tr>
      <w:tr>
        <w:trPr>
          <w:trHeight w:val="230"/>
        </w:trPr>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153,284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152,191</w:t>
            </w:r>
          </w:p>
        </w:tc>
      </w:tr>
      <w:tr>
        <w:trPr>
          <w:trHeight w:val="234"/>
        </w:trPr>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760,562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752,409</w:t>
            </w:r>
          </w:p>
        </w:tc>
      </w:tr>
      <w:tr>
        <w:trPr>
          <w:trHeight w:val="223"/>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1,234,818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1,217,308</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-744855</wp:posOffset>
            </wp:positionV>
            <wp:extent cx="427736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77360" cy="14541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-462280</wp:posOffset>
            </wp:positionV>
            <wp:extent cx="427736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77360" cy="13716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-179070</wp:posOffset>
            </wp:positionV>
            <wp:extent cx="4277360"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200" w:space="720"/>
            <w:col w:w="7320"/>
          </w:cols>
          <w:pgMar w:left="320" w:top="68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See Notes 1, 2 and 17 for additional information regarding restricted assets and cemetery perpetual care trust investments.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87" w:name="page88"/>
    <w:bookmarkEnd w:id="87"/>
    <w:p>
      <w:pPr>
        <w:jc w:val="center"/>
        <w:ind w:right="-110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 Income Taxes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income tax liability is summarized as follows: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44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19"/>
                <w:szCs w:val="19"/>
                <w:color w:val="auto"/>
              </w:rPr>
            </w:pPr>
          </w:p>
        </w:tc>
      </w:tr>
      <w:tr>
        <w:trPr>
          <w:trHeight w:val="209"/>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16,352,190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(1,558,687)</w:t>
            </w:r>
          </w:p>
        </w:tc>
        <w:tc>
          <w:tcPr>
            <w:tcW w:w="80" w:type="dxa"/>
            <w:vAlign w:val="bottom"/>
            <w:shd w:val="clear" w:color="auto" w:fill="CCEEFF"/>
          </w:tcPr>
          <w:p>
            <w:pPr>
              <w:spacing w:after="0"/>
              <w:rPr>
                <w:sz w:val="18"/>
                <w:szCs w:val="18"/>
                <w:color w:val="auto"/>
              </w:rPr>
            </w:pPr>
          </w:p>
        </w:tc>
      </w:tr>
      <w:tr>
        <w:trPr>
          <w:trHeight w:val="229"/>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14,358,337</w:t>
            </w:r>
          </w:p>
        </w:tc>
        <w:tc>
          <w:tcPr>
            <w:tcW w:w="4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32,594,783</w:t>
            </w:r>
          </w:p>
        </w:tc>
      </w:tr>
      <w:tr>
        <w:trPr>
          <w:trHeight w:val="223"/>
        </w:trPr>
        <w:tc>
          <w:tcPr>
            <w:tcW w:w="56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30,710,527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31,036,096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approximately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19"/>
                <w:szCs w:val="19"/>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(13,974,221)</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(13,015,255)</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loss reserve</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(448,673)</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(636,256)</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Unearned premium</w:t>
            </w:r>
          </w:p>
        </w:tc>
        <w:tc>
          <w:tcPr>
            <w:tcW w:w="34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(582,459)</w:t>
            </w:r>
          </w:p>
        </w:tc>
        <w:tc>
          <w:tcPr>
            <w:tcW w:w="4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(642,755)</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(237,855)</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(898,029)</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34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(2,166,593)</w:t>
            </w:r>
          </w:p>
        </w:tc>
        <w:tc>
          <w:tcPr>
            <w:tcW w:w="4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(2,750,406)</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 obligations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(631,232)</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(635,878)</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Tax on unrealized appreciation</w:t>
            </w:r>
          </w:p>
        </w:tc>
        <w:tc>
          <w:tcPr>
            <w:tcW w:w="34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(2,590,726)</w:t>
            </w:r>
          </w:p>
        </w:tc>
        <w:tc>
          <w:tcPr>
            <w:tcW w:w="46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(601,335)</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(1,712,895)</w:t>
            </w: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Pr>
          <w:p>
            <w:pPr>
              <w:spacing w:after="0"/>
              <w:rPr>
                <w:sz w:val="19"/>
                <w:szCs w:val="19"/>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1,506,144</w:t>
            </w:r>
          </w:p>
        </w:tc>
        <w:tc>
          <w:tcPr>
            <w:tcW w:w="460" w:type="dxa"/>
            <w:vAlign w:val="bottom"/>
          </w:tcPr>
          <w:p>
            <w:pPr>
              <w:spacing w:after="0"/>
              <w:rPr>
                <w:sz w:val="19"/>
                <w:szCs w:val="19"/>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882,535</w:t>
            </w: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(19,726,950</w:t>
            </w:r>
          </w:p>
        </w:tc>
        <w:tc>
          <w:tcPr>
            <w:tcW w:w="260" w:type="dxa"/>
            <w:vAlign w:val="bottom"/>
            <w:tcBorders>
              <w:top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(19,408,939</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40" w:type="dxa"/>
            <w:vAlign w:val="bottom"/>
          </w:tcPr>
          <w:p>
            <w:pPr>
              <w:spacing w:after="0"/>
              <w:rPr>
                <w:sz w:val="18"/>
                <w:szCs w:val="18"/>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17,511,778</w:t>
            </w:r>
          </w:p>
        </w:tc>
        <w:tc>
          <w:tcPr>
            <w:tcW w:w="46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17,166,200</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Basis difference in property, equipment and real estate</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11,959,391</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9,247,242</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340" w:type="dxa"/>
            <w:vAlign w:val="bottom"/>
          </w:tcPr>
          <w:p>
            <w:pPr>
              <w:spacing w:after="0"/>
              <w:rPr>
                <w:sz w:val="18"/>
                <w:szCs w:val="18"/>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2,058,785</w:t>
            </w:r>
          </w:p>
        </w:tc>
        <w:tc>
          <w:tcPr>
            <w:tcW w:w="46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1,768,501</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gains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1,490,946</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15,598,360</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Trusts</w:t>
            </w:r>
          </w:p>
        </w:tc>
        <w:tc>
          <w:tcPr>
            <w:tcW w:w="340" w:type="dxa"/>
            <w:vAlign w:val="bottom"/>
          </w:tcPr>
          <w:p>
            <w:pPr>
              <w:spacing w:after="0"/>
              <w:rPr>
                <w:sz w:val="18"/>
                <w:szCs w:val="18"/>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1,064,387</w:t>
            </w:r>
          </w:p>
        </w:tc>
        <w:tc>
          <w:tcPr>
            <w:tcW w:w="46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1,064,387</w:t>
            </w: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on unrealized appreciation</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7,159,032</w:t>
            </w:r>
          </w:p>
        </w:tc>
      </w:tr>
      <w:tr>
        <w:trPr>
          <w:trHeight w:val="210"/>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34,085,287</w:t>
            </w:r>
          </w:p>
        </w:tc>
        <w:tc>
          <w:tcPr>
            <w:tcW w:w="2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52,003,722</w:t>
            </w:r>
          </w:p>
        </w:tc>
        <w:tc>
          <w:tcPr>
            <w:tcW w:w="80" w:type="dxa"/>
            <w:vAlign w:val="bottom"/>
            <w:tcBorders>
              <w:bottom w:val="single" w:sz="8" w:color="CCEEFF"/>
            </w:tcBorders>
          </w:tcPr>
          <w:p>
            <w:pPr>
              <w:spacing w:after="0"/>
              <w:rPr>
                <w:sz w:val="18"/>
                <w:szCs w:val="18"/>
                <w:color w:val="auto"/>
              </w:rPr>
            </w:pPr>
          </w:p>
        </w:tc>
      </w:tr>
      <w:tr>
        <w:trPr>
          <w:trHeight w:val="22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14,358,337</w:t>
            </w:r>
          </w:p>
        </w:tc>
        <w:tc>
          <w:tcPr>
            <w:tcW w:w="2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32,594,783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valuation allowance relates to differences between recorded deferred tax assets and liabilities and ultimate anticipated realization.</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 Income Taxes (Continued)</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income tax expense is summarized as follows: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5"/>
        </w:trPr>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44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09"/>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15,346,331</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629,921</w:t>
            </w:r>
          </w:p>
        </w:tc>
        <w:tc>
          <w:tcPr>
            <w:tcW w:w="60" w:type="dxa"/>
            <w:vAlign w:val="bottom"/>
          </w:tcPr>
          <w:p>
            <w:pPr>
              <w:spacing w:after="0"/>
              <w:rPr>
                <w:sz w:val="18"/>
                <w:szCs w:val="18"/>
                <w:color w:val="auto"/>
              </w:rPr>
            </w:pPr>
          </w:p>
        </w:tc>
      </w:tr>
      <w:tr>
        <w:trPr>
          <w:trHeight w:val="230"/>
        </w:trPr>
        <w:tc>
          <w:tcPr>
            <w:tcW w:w="5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3,294,234</w:t>
            </w: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343,428</w:t>
            </w:r>
          </w:p>
        </w:tc>
        <w:tc>
          <w:tcPr>
            <w:tcW w:w="60" w:type="dxa"/>
            <w:vAlign w:val="bottom"/>
            <w:shd w:val="clear" w:color="auto" w:fill="CCEEFF"/>
          </w:tcPr>
          <w:p>
            <w:pPr>
              <w:spacing w:after="0"/>
              <w:rPr>
                <w:sz w:val="19"/>
                <w:szCs w:val="19"/>
                <w:color w:val="auto"/>
              </w:rPr>
            </w:pPr>
          </w:p>
        </w:tc>
      </w:tr>
      <w:tr>
        <w:trPr>
          <w:trHeight w:val="209"/>
        </w:trPr>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18,640,565</w:t>
            </w:r>
          </w:p>
        </w:tc>
        <w:tc>
          <w:tcPr>
            <w:tcW w:w="2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973,349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(7,400,620)</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9,832,556</w:t>
            </w:r>
          </w:p>
        </w:tc>
        <w:tc>
          <w:tcPr>
            <w:tcW w:w="60" w:type="dxa"/>
            <w:vAlign w:val="bottom"/>
            <w:shd w:val="clear" w:color="auto" w:fill="CCEEFF"/>
          </w:tcPr>
          <w:p>
            <w:pPr>
              <w:spacing w:after="0"/>
              <w:rPr>
                <w:sz w:val="18"/>
                <w:szCs w:val="18"/>
                <w:color w:val="auto"/>
              </w:rPr>
            </w:pPr>
          </w:p>
        </w:tc>
      </w:tr>
      <w:tr>
        <w:trPr>
          <w:trHeight w:val="229"/>
        </w:trPr>
        <w:tc>
          <w:tcPr>
            <w:tcW w:w="5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9"/>
                <w:szCs w:val="19"/>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(2,553,385)</w:t>
            </w:r>
          </w:p>
        </w:tc>
        <w:tc>
          <w:tcPr>
            <w:tcW w:w="4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1,475,880</w:t>
            </w:r>
          </w:p>
        </w:tc>
        <w:tc>
          <w:tcPr>
            <w:tcW w:w="60" w:type="dxa"/>
            <w:vAlign w:val="bottom"/>
          </w:tcPr>
          <w:p>
            <w:pPr>
              <w:spacing w:after="0"/>
              <w:rPr>
                <w:sz w:val="19"/>
                <w:szCs w:val="19"/>
                <w:color w:val="auto"/>
              </w:rPr>
            </w:pPr>
          </w:p>
        </w:tc>
      </w:tr>
      <w:tr>
        <w:trPr>
          <w:trHeight w:val="209"/>
        </w:trPr>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(9,954,005</w:t>
            </w:r>
          </w:p>
        </w:tc>
        <w:tc>
          <w:tcPr>
            <w:tcW w:w="260" w:type="dxa"/>
            <w:vAlign w:val="bottom"/>
            <w:tcBorders>
              <w:top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11,308,436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8,686,560</w:t>
            </w: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12,281,785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income tax expense at the U.S. federal statutory rates is as follows:</w:t>
      </w:r>
    </w:p>
    <w:p>
      <w:pPr>
        <w:spacing w:after="0" w:line="23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December 31</w:t>
      </w:r>
    </w:p>
    <w:p>
      <w:pPr>
        <w:sectPr>
          <w:pgSz w:w="11900" w:h="16838" w:orient="portrait"/>
          <w:cols w:equalWidth="0" w:num="1">
            <w:col w:w="11240"/>
          </w:cols>
          <w:pgMar w:left="320" w:top="688" w:right="339" w:bottom="1440" w:gutter="0" w:footer="0" w:header="0"/>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Computed expense at statutory 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tax expense, net of federal tax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valuation allowance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340" w:type="dxa"/>
            <w:vAlign w:val="bottom"/>
          </w:tcPr>
          <w:p>
            <w:pPr>
              <w:jc w:val="right"/>
              <w:ind w:right="1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7,219,141</w:t>
            </w:r>
          </w:p>
        </w:tc>
        <w:tc>
          <w:tcPr>
            <w:tcW w:w="260" w:type="dxa"/>
            <w:vAlign w:val="bottom"/>
          </w:tcPr>
          <w:p>
            <w:pPr>
              <w:spacing w:after="0"/>
              <w:rPr>
                <w:sz w:val="16"/>
                <w:szCs w:val="16"/>
                <w:color w:val="auto"/>
              </w:rPr>
            </w:pPr>
          </w:p>
        </w:tc>
        <w:tc>
          <w:tcPr>
            <w:tcW w:w="340" w:type="dxa"/>
            <w:vAlign w:val="bottom"/>
          </w:tcPr>
          <w:p>
            <w:pPr>
              <w:jc w:val="right"/>
              <w:ind w:right="1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10,878,163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585,269</w:t>
            </w:r>
          </w:p>
        </w:tc>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1,437,255</w:t>
            </w:r>
          </w:p>
        </w:tc>
        <w:tc>
          <w:tcPr>
            <w:tcW w:w="4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623,609</w:t>
            </w:r>
          </w:p>
        </w:tc>
        <w:tc>
          <w:tcPr>
            <w:tcW w:w="3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(79,385)</w:t>
            </w:r>
          </w:p>
        </w:tc>
      </w:tr>
      <w:tr>
        <w:trPr>
          <w:trHeight w:val="234"/>
        </w:trPr>
        <w:tc>
          <w:tcPr>
            <w:tcW w:w="34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258,541</w:t>
            </w:r>
          </w:p>
        </w:tc>
        <w:tc>
          <w:tcPr>
            <w:tcW w:w="3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45,752</w:t>
            </w:r>
          </w:p>
        </w:tc>
        <w:tc>
          <w:tcPr>
            <w:tcW w:w="40" w:type="dxa"/>
            <w:vAlign w:val="bottom"/>
          </w:tcPr>
          <w:p>
            <w:pPr>
              <w:spacing w:after="0"/>
              <w:rPr>
                <w:sz w:val="20"/>
                <w:szCs w:val="20"/>
                <w:color w:val="auto"/>
              </w:rPr>
            </w:pPr>
          </w:p>
        </w:tc>
      </w:tr>
      <w:tr>
        <w:trPr>
          <w:trHeight w:val="223"/>
        </w:trPr>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8,686,560</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12,281,785</w:t>
            </w:r>
          </w:p>
        </w:tc>
        <w:tc>
          <w:tcPr>
            <w:tcW w:w="40" w:type="dxa"/>
            <w:vAlign w:val="bottom"/>
          </w:tcPr>
          <w:p>
            <w:pPr>
              <w:spacing w:after="0"/>
              <w:rPr>
                <w:sz w:val="19"/>
                <w:szCs w:val="19"/>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-745490</wp:posOffset>
            </wp:positionV>
            <wp:extent cx="5700395"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-462280</wp:posOffset>
            </wp:positionV>
            <wp:extent cx="5700395"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-179705</wp:posOffset>
            </wp:positionV>
            <wp:extent cx="5700395"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880" w:space="720"/>
            <w:col w:w="5640"/>
          </w:cols>
          <w:pgMar w:left="320" w:top="688"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overall effective tax rate for the years ended December 31, 2022 and 2021 was 25.3% and 23.7% respectively. The Company’s effective tax rates differ from the U.S. federal statutory rate of 21% partially due to its provision for state income taxes and an increase to the valuation allowance related to Kilpatrick Life Insurance Company. The increase in the effective tax rate when compared to the prior year is partially due to an increase to the valuation allowance in the current period when compared to the prior period year.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2022, the Company had no significant unrecognized tax benefits. As of December 31, 2022, the Company does not expect any material changes to the estimated amount of unrecognized tax benefits in the next twelve months. Federal and state income tax returns for 2019 through 2022 are subject to examination by taxing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Operating Losses and Tax Credit Carryforwards: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of Expiration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340" w:type="dxa"/>
            <w:vAlign w:val="bottom"/>
            <w:tcBorders>
              <w:top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28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 up through 2037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1,070,413</w:t>
            </w:r>
          </w:p>
        </w:tc>
        <w:tc>
          <w:tcPr>
            <w:tcW w:w="20" w:type="dxa"/>
            <w:vAlign w:val="bottom"/>
          </w:tcPr>
          <w:p>
            <w:pPr>
              <w:spacing w:after="0"/>
              <w:rPr>
                <w:sz w:val="18"/>
                <w:szCs w:val="18"/>
                <w:color w:val="auto"/>
              </w:rPr>
            </w:pPr>
          </w:p>
        </w:tc>
      </w:tr>
      <w:tr>
        <w:trPr>
          <w:trHeight w:val="229"/>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 carryforwards</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r>
      <w:tr>
        <w:trPr>
          <w:trHeight w:val="223"/>
        </w:trPr>
        <w:tc>
          <w:tcPr>
            <w:tcW w:w="13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1,070,413</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Reinsurance,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the procedure of reinsuring risks in excess of a specified limit, which ranged from $25,000 to $100,000 during the years 2022 and 2021. The Company is liable for these amounts in the event such reinsurers are unable to pay their portion of the claims. The Company evaluates the financial condition of reinsurers and monitors the concentration of credit risk. The Company had a significant concentration of credit risk with a single reinsurer of 93.7% and 93.6% of ceded life insurance in force as of December 31, 2022 and 2021, respectively. This represented approximately 11.3% and 11.9% of the Company’s total life insurance in force as of December 31, 2022 and 2021, respectively. The Company has also assumed insurance from other companies. See Financial Statement Schedule IV for information regarding life insurance in force and premiums for reinsurance.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 Loss Settlements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loan losses can be extremely difficult to estimate. However, the Company believes that its reserve methodology and its current practice of property preservation allow it to estimate potential losses on loans sold. The estimated liability for indemnification losses is included in other liabilities and accrued expenses and, as of December 31, 2022 and 2021, the balances were $1,725,667 and $2,447,139, respectively. The Company believes that the loan loss reserve as of December 31, 2022, represents its best estimate for adequate loss reserves on loans sold.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Non-Cancelable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office space and equipment under various non-cancelable agreements. See Note 24 regarding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Contingencies and Commitments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commitments to fund construction and land development loans and has also provided financing for land acquisition and development. As of December 31, 2022, the Company’s commitments were approximately $231,250,000, for these loans of which $175,754,000 had been funded. The Company advances funds once the work has been completed and an independent inspection is made. The maximum loan commitment ranges between 50% and 80% of appraised value. The Company receives fees and interest for these loans and the interest rate is generally fixed 5.25% to 8.50% per annum. Maturities range between six and eighteen months.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belongs to a captive insurance group for certain casualty insurance, worker compensation and liability programs. Insurance reserves are maintained relative to these programs. The level of exposure from catastrophic events is limited by the purchase of stop-loss and aggregate liability reinsurance coverage. When estimating the insurance liabilities and related reserves, the captive insurance management considers a number of factors, which include historical claims experience, demographic factors, severity factors and valuations provided by independent third-party actuaries. If actual claims or adverse development of loss reserves occurs and exceed these estimates, additional reserves may be required.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defendant in various other legal actions arising from the normal conduct of business. Management believes that none of the actions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Reinsurance, Commitments and Contingencies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162" w:lineRule="exact"/>
        <w:rPr>
          <w:sz w:val="20"/>
          <w:szCs w:val="20"/>
          <w:color w:val="auto"/>
        </w:rPr>
      </w:pPr>
    </w:p>
    <w:p>
      <w:pPr>
        <w:ind w:left="280" w:hanging="272"/>
        <w:spacing w:after="0"/>
        <w:tabs>
          <w:tab w:leader="none" w:pos="2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 Plans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had a noncontributory Employee Stock Ownership Plan (“ESOP”) for all eligible employees. On November 25, 2019, the Company distributed a notice of intent to terminate the ESOP Plan to all current plan participants. The Company also filed Form 5310 application for</w:t>
      </w:r>
    </w:p>
    <w:p>
      <w:pPr>
        <w:jc w:val="both"/>
        <w:spacing w:after="0" w:line="221" w:lineRule="auto"/>
        <w:rPr>
          <w:sz w:val="20"/>
          <w:szCs w:val="20"/>
          <w:color w:val="auto"/>
        </w:rPr>
      </w:pPr>
      <w:r>
        <w:rPr>
          <w:rFonts w:ascii="Times New Roman" w:cs="Times New Roman" w:eastAsia="Times New Roman" w:hAnsi="Times New Roman"/>
          <w:sz w:val="18"/>
          <w:szCs w:val="18"/>
          <w:color w:val="auto"/>
        </w:rPr>
        <w:t>determination for terminating plan, with the IRS on December 6, 2019. As of the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quarter of 2020, the Company began to distribute the ESOP Plan assets to participants that had made a distribution election. The Company received approval of its application from the IRS and distributed all the remaining ESOP Plan assets to the participants during 2021.</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three 401(k) savings plans covering all eligible employees which includes employer participation in accordance with the provisions of Section 401(k) of the Internal Revenue Code. The plans allow participants to make pretax contributions up to a maximum of $20,500 and $19,500 for the years 2022 and 2021, respectively or the statutory limits. Beginning in January 2008, the Company elected to be a “Safe Harbor” Plan for its matching 401(k) contributions. The Company matched 100% of up to 3% of an employee’s total annual compensation and matched 50% of 4% to 5% of an employee’s annual compensation. The match was in Company stock. The Company’s contribution for the years ended December 31, 2022 and 2021 was $2,573,956 and $2,820,315, respectively under the “Safe Harbor” plan.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2001, the Company’s Board of Directors adopted a Non-Qualified Deferred Compensation Plan, and this plan was amended in 2005. Under the terms of the Plan, the Company will provide deferred compensation for a select group of management or highly compensated employees, within the meaning of Sections 201(2), 301(a)(3) and 401(a)(1) of the Employee Retirement Income Security Act of 1974, as amended. The Board has appointed a Committee of the Company to be the Plan Administrator and to determine the employees who are eligible to participate in the plan. The employees who participate may elect to defer a portion of their compensation into the plan. The Company may contribute into the plan at the discretion of the Company’s Board of Directors. The Company did not make any contributions for 2022 and 2021.</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December 2, 2022, the Board members approved a motion to extend the Chief Executive Officer’s employment agreement, dated December 4, 2012, for an additional two-year term ending December 2024. In the event of disability, the Chief Executive Officer’s salary would be continued for up to five years at 75% of its current level of compensation. In the event of a sale or merger of the Company and the Chief Executive Officer is not retained in his current position, the Company would be obligated to continue paying the Chief Executive Officer’s current compensation and benefits for seven years following the merger or sale. The agreement further provides that the Chief Executive Officer is entitled to receive annual retirement benefits beginning (i) one month from the date of his retirement (to commence no sooner than age 65), (ii) five years following complete disability, or (iii) upon termination of his employment without cause. These retirement benefits are to be paid for a period of twenty years in annual installments in the amount equal to 75% of his then current level of compensation. In the event that the Chief Executive Officer dies prior to receiving all retirement benefits thereunder, the remaining benefits are to be paid to his heirs. The Company expensed nil and $900,000 during the years ended December 31, 2022 and 2021, respectively, to cover the present value of anticipated retirement benefits under the employment agreement. The liability accrued was $7,556,363 and $7,556,363 as of December 31, 2022 and 2021, respectively.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280" w:hanging="272"/>
        <w:spacing w:after="0"/>
        <w:tabs>
          <w:tab w:leader="none" w:pos="2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 Plans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through its wholly owned subsidiary, SecurityNational Mortgage, also has an employment agreement with its former Vice President of Mortgage Operations and President of SecurityNational Mortgage, who retired from the Company on December 31, 2015. Under the terms of the employment agreement, this individual is entitled to receive retirement benefits from the Company for a period of ten years in an amount equal to 50% of his rate of compensation at the time of his retirement, which was $267,685 for the year ended December 31, 2015. Such retirement payments are paid monthly during the ten-year period. In the event that this individual dies prior to receiving all of his retirement benefits under his employment agreement, the remaining benefits will be made to his heirs. The company paid $133,843 and $133,843 in retirement compensation to this individual during the years ended December 31, 2022 and 2021, respectively. The liability accrued was $401,529 and $535,370 as of December 31, 2022 and 2021, respectively and is included in Other liabilities and accrued expenses on the consolidated balance sheets.</w:t>
      </w:r>
    </w:p>
    <w:p>
      <w:pPr>
        <w:spacing w:after="0" w:line="192" w:lineRule="exact"/>
        <w:rPr>
          <w:sz w:val="20"/>
          <w:szCs w:val="20"/>
          <w:color w:val="auto"/>
        </w:rPr>
      </w:pPr>
    </w:p>
    <w:p>
      <w:pPr>
        <w:ind w:left="300" w:hanging="292"/>
        <w:spacing w:after="0"/>
        <w:tabs>
          <w:tab w:leader="none" w:pos="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one class of preferred stock of $1.00 par value, 5,000,000 shares authorized, of which none are issued. The preferred stock is non-voting.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two classes of common stock with shares outstanding, Class A common shares and Class C common shares. Class C shares have 10 votes per share on all matters except for the election of one third of the directors who are elected solely by the Class A shares. Class C shares are convertible into Class A shares at any time on a one to one ratio.</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Stockholders of both Class A and Class C common stock have received 5% stock dividends in the years 1990 through 2019, a 7.5% stock dividend in the year 2020, and a 5% stock dividend in the years 2021 and 2022, as authorized by the Company’s Board of Directors.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Class B common stock of $1.00 par value, 5,000,000 shares authorized, of which none are issued. Class B shares are non-voting stock except to any proposed amendment to the Articles of Incorporation which would affect Class B common stock.</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in shares of capital stock.</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45"/>
        </w:trPr>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Class A</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Class C</w:t>
            </w:r>
          </w:p>
        </w:tc>
        <w:tc>
          <w:tcPr>
            <w:tcW w:w="3380" w:type="dxa"/>
            <w:vAlign w:val="bottom"/>
          </w:tcPr>
          <w:p>
            <w:pPr>
              <w:spacing w:after="0"/>
              <w:rPr>
                <w:sz w:val="24"/>
                <w:szCs w:val="24"/>
                <w:color w:val="auto"/>
              </w:rPr>
            </w:pPr>
          </w:p>
        </w:tc>
      </w:tr>
      <w:tr>
        <w:trPr>
          <w:trHeight w:val="223"/>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at December 31, 2020</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16,595,783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2,679,603</w:t>
            </w:r>
          </w:p>
        </w:tc>
        <w:tc>
          <w:tcPr>
            <w:tcW w:w="338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97"/>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160,282</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104,656</w:t>
            </w:r>
          </w:p>
        </w:tc>
        <w:tc>
          <w:tcPr>
            <w:tcW w:w="3380" w:type="dxa"/>
            <w:vAlign w:val="bottom"/>
          </w:tcPr>
          <w:p>
            <w:pPr>
              <w:spacing w:after="0"/>
              <w:rPr>
                <w:sz w:val="18"/>
                <w:szCs w:val="18"/>
                <w:color w:val="auto"/>
              </w:rPr>
            </w:pPr>
          </w:p>
        </w:tc>
      </w:tr>
      <w:tr>
        <w:trPr>
          <w:trHeight w:val="216"/>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dividends</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837,410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131,553</w:t>
            </w:r>
          </w:p>
        </w:tc>
        <w:tc>
          <w:tcPr>
            <w:tcW w:w="3380" w:type="dxa"/>
            <w:vAlign w:val="bottom"/>
          </w:tcPr>
          <w:p>
            <w:pPr>
              <w:spacing w:after="0"/>
              <w:rPr>
                <w:sz w:val="18"/>
                <w:szCs w:val="18"/>
                <w:color w:val="auto"/>
              </w:rPr>
            </w:pPr>
          </w:p>
        </w:tc>
      </w:tr>
      <w:tr>
        <w:trPr>
          <w:trHeight w:val="230"/>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Class C to Class A</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49,247</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(49,247)</w:t>
            </w:r>
          </w:p>
        </w:tc>
        <w:tc>
          <w:tcPr>
            <w:tcW w:w="3380" w:type="dxa"/>
            <w:vAlign w:val="bottom"/>
          </w:tcPr>
          <w:p>
            <w:pPr>
              <w:spacing w:after="0"/>
              <w:rPr>
                <w:sz w:val="19"/>
                <w:szCs w:val="19"/>
                <w:color w:val="auto"/>
              </w:rPr>
            </w:pPr>
          </w:p>
        </w:tc>
      </w:tr>
      <w:tr>
        <w:trPr>
          <w:trHeight w:val="210"/>
        </w:trPr>
        <w:tc>
          <w:tcPr>
            <w:tcW w:w="49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380" w:type="dxa"/>
            <w:vAlign w:val="bottom"/>
          </w:tcPr>
          <w:p>
            <w:pPr>
              <w:spacing w:after="0"/>
              <w:rPr>
                <w:sz w:val="18"/>
                <w:szCs w:val="18"/>
                <w:color w:val="auto"/>
              </w:rPr>
            </w:pPr>
          </w:p>
        </w:tc>
      </w:tr>
      <w:tr>
        <w:trPr>
          <w:trHeight w:val="243"/>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at December 31, 2021</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17,642,722</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2,866,565</w:t>
            </w:r>
          </w:p>
        </w:tc>
        <w:tc>
          <w:tcPr>
            <w:tcW w:w="3380" w:type="dxa"/>
            <w:vAlign w:val="bottom"/>
          </w:tcPr>
          <w:p>
            <w:pPr>
              <w:spacing w:after="0"/>
              <w:rPr>
                <w:sz w:val="21"/>
                <w:szCs w:val="2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96"/>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109,587</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18"/>
                <w:szCs w:val="18"/>
                <w:color w:val="auto"/>
              </w:rPr>
            </w:pPr>
          </w:p>
        </w:tc>
      </w:tr>
      <w:tr>
        <w:trPr>
          <w:trHeight w:val="216"/>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dividends</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889,554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139,462</w:t>
            </w:r>
          </w:p>
        </w:tc>
        <w:tc>
          <w:tcPr>
            <w:tcW w:w="3380" w:type="dxa"/>
            <w:vAlign w:val="bottom"/>
          </w:tcPr>
          <w:p>
            <w:pPr>
              <w:spacing w:after="0"/>
              <w:rPr>
                <w:sz w:val="18"/>
                <w:szCs w:val="18"/>
                <w:color w:val="auto"/>
              </w:rPr>
            </w:pPr>
          </w:p>
        </w:tc>
      </w:tr>
      <w:tr>
        <w:trPr>
          <w:trHeight w:val="230"/>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Class C to Class A</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116,168</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(116,168)</w:t>
            </w:r>
          </w:p>
        </w:tc>
        <w:tc>
          <w:tcPr>
            <w:tcW w:w="3380" w:type="dxa"/>
            <w:vAlign w:val="bottom"/>
          </w:tcPr>
          <w:p>
            <w:pPr>
              <w:spacing w:after="0"/>
              <w:rPr>
                <w:sz w:val="19"/>
                <w:szCs w:val="19"/>
                <w:color w:val="auto"/>
              </w:rPr>
            </w:pPr>
          </w:p>
        </w:tc>
      </w:tr>
      <w:tr>
        <w:trPr>
          <w:trHeight w:val="210"/>
        </w:trPr>
        <w:tc>
          <w:tcPr>
            <w:tcW w:w="49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380" w:type="dxa"/>
            <w:vAlign w:val="bottom"/>
          </w:tcPr>
          <w:p>
            <w:pPr>
              <w:spacing w:after="0"/>
              <w:rPr>
                <w:sz w:val="18"/>
                <w:szCs w:val="18"/>
                <w:color w:val="auto"/>
              </w:rPr>
            </w:pPr>
          </w:p>
        </w:tc>
      </w:tr>
      <w:tr>
        <w:trPr>
          <w:trHeight w:val="243"/>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at December 31, 2022</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18,758,031</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2,889,859</w:t>
            </w:r>
          </w:p>
        </w:tc>
        <w:tc>
          <w:tcPr>
            <w:tcW w:w="3380" w:type="dxa"/>
            <w:vAlign w:val="bottom"/>
          </w:tcPr>
          <w:p>
            <w:pPr>
              <w:spacing w:after="0"/>
              <w:rPr>
                <w:sz w:val="21"/>
                <w:szCs w:val="2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20"/>
        </w:trPr>
        <w:tc>
          <w:tcPr>
            <w:tcW w:w="4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Earnings per share amounts have been retroactively adjusted for the effect of annual stock dividends. In accordance with GAAP, the basic and diluted earnings per share amounts were calculated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Years Ended December 31</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25,690,302</w:t>
            </w:r>
          </w:p>
        </w:tc>
        <w:tc>
          <w:tcPr>
            <w:tcW w:w="3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39,518,990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Denominator for basic earnings per share-weighted-average</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21,137,941</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21,146,713</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stock options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807,927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812,916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808,301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812,916</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Denominator for diluted earnings per share-adjusted weighted-</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average</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and assumed conversions</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21,946,242</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21,959,629</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w:t>
            </w:r>
          </w:p>
        </w:tc>
        <w:tc>
          <w:tcPr>
            <w:tcW w:w="3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2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and 2021, there were 339,150 and 50,000 of anti-dilutive employee stock option shares, respectively, that were not included in the computation of diluted net earnings per common share as their effect would be anti-dilutive. Basic and diluted earnings per share amounts are the same for each class of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stock compensation plans (the “2013 Plan”, the “2014 Director Plan” and the “2022 Equity Incentive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based compensation expense for stock options issued of $929,321 and $118,384 has been recognized under these plans for the years ended December 31, 2022 and 2021, respectively, and is included in personnel expenses on the consolidated statements of earnings. As of December 31, 2022, the total unrecognized compensation expense related to the stock options issued was $506,701, which is expected to be recognized over the vesting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each stock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assumptions used in estimating the fair value of each stock option granted along with the weighted-average fair value of the stock options granted.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8"/>
                <w:szCs w:val="18"/>
                <w:color w:val="auto"/>
                <w:w w:val="97"/>
              </w:rPr>
              <w:t>Weighted-</w:t>
            </w:r>
          </w:p>
        </w:tc>
        <w:tc>
          <w:tcPr>
            <w:tcW w:w="10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Assumptions</w:t>
            </w:r>
          </w:p>
        </w:tc>
        <w:tc>
          <w:tcPr>
            <w:tcW w:w="10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gridSpan w:val="2"/>
          </w:tcPr>
          <w:p>
            <w:pPr>
              <w:jc w:val="center"/>
              <w:ind w:right="400"/>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1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7"/>
              </w:rPr>
              <w:t>Average Fair</w:t>
            </w: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Expected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Weighted-</w:t>
            </w: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Average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5"/>
              </w:rPr>
              <w:t>Value of</w:t>
            </w: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Dividend</w:t>
            </w:r>
          </w:p>
        </w:tc>
        <w:tc>
          <w:tcPr>
            <w:tcW w:w="8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Underlying</w:t>
            </w: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Average</w:t>
            </w: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Risk-Free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Expected</w:t>
            </w:r>
          </w:p>
        </w:tc>
        <w:tc>
          <w:tcPr>
            <w:tcW w:w="0" w:type="dxa"/>
            <w:vAlign w:val="bottom"/>
          </w:tcPr>
          <w:p>
            <w:pPr>
              <w:spacing w:after="0"/>
              <w:rPr>
                <w:sz w:val="1"/>
                <w:szCs w:val="1"/>
                <w:color w:val="auto"/>
              </w:rPr>
            </w:pPr>
          </w:p>
        </w:tc>
      </w:tr>
      <w:tr>
        <w:trPr>
          <w:trHeight w:val="234"/>
        </w:trPr>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Grant Date</w:t>
            </w:r>
          </w:p>
        </w:tc>
        <w:tc>
          <w:tcPr>
            <w:tcW w:w="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Each Option</w:t>
            </w:r>
          </w:p>
        </w:tc>
        <w:tc>
          <w:tcPr>
            <w:tcW w:w="3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Yield (1)</w:t>
            </w:r>
          </w:p>
        </w:tc>
        <w:tc>
          <w:tcPr>
            <w:tcW w:w="3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 FMV</w:t>
            </w:r>
          </w:p>
        </w:tc>
        <w:tc>
          <w:tcPr>
            <w:tcW w:w="3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Volatility</w:t>
            </w:r>
          </w:p>
        </w:tc>
        <w:tc>
          <w:tcPr>
            <w:tcW w:w="3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Interest Rate</w:t>
            </w:r>
          </w:p>
        </w:tc>
        <w:tc>
          <w:tcPr>
            <w:tcW w:w="3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Life (years)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 2022</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All Plans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37.03%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December 3, 2021</w:t>
            </w:r>
          </w:p>
        </w:tc>
        <w:tc>
          <w:tcPr>
            <w:tcW w:w="168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All Plans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36.50%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1680" w:type="dxa"/>
            <w:vAlign w:val="bottom"/>
            <w:tcBorders>
              <w:bottom w:val="single" w:sz="8" w:color="auto"/>
            </w:tcBorders>
            <w:gridSpan w:val="2"/>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 Stock dividend</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2"/>
        </w:trPr>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r>
        <w:rPr>
          <w:rFonts w:ascii="Times New Roman" w:cs="Times New Roman" w:eastAsia="Times New Roman" w:hAnsi="Times New Roman"/>
          <w:sz w:val="18"/>
          <w:szCs w:val="18"/>
          <w:color w:val="auto"/>
        </w:rPr>
        <w:t xml:space="preserve"> (Continued)</w:t>
      </w:r>
    </w:p>
    <w:p>
      <w:pPr>
        <w:sectPr>
          <w:pgSz w:w="11900" w:h="16838" w:orient="portrait"/>
          <w:cols w:equalWidth="0" w:num="1">
            <w:col w:w="11240"/>
          </w:cols>
          <w:pgMar w:left="320" w:top="688"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of the stock option plans is summarized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Number of</w:t>
            </w:r>
          </w:p>
        </w:tc>
        <w:tc>
          <w:tcPr>
            <w:tcW w:w="0" w:type="dxa"/>
            <w:vAlign w:val="bottom"/>
          </w:tcPr>
          <w:p>
            <w:pPr>
              <w:spacing w:after="0"/>
              <w:rPr>
                <w:sz w:val="1"/>
                <w:szCs w:val="1"/>
                <w:color w:val="auto"/>
              </w:rPr>
            </w:pPr>
          </w:p>
        </w:tc>
      </w:tr>
      <w:tr>
        <w:trPr>
          <w:trHeight w:val="234"/>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at January 1, 2021</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Class A Shares</w:t>
            </w:r>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60" w:type="dxa"/>
            <w:vAlign w:val="bottom"/>
            <w:vMerge w:val="continue"/>
          </w:tcPr>
          <w:p>
            <w:pPr>
              <w:spacing w:after="0"/>
              <w:rPr>
                <w:sz w:val="20"/>
                <w:szCs w:val="20"/>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1,072,863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Adjustment for the effect of stock dividends</w:t>
            </w:r>
          </w:p>
        </w:tc>
        <w:tc>
          <w:tcPr>
            <w:tcW w:w="13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860" w:type="dxa"/>
            <w:vAlign w:val="bottom"/>
            <w:vMerge w:val="continue"/>
          </w:tcPr>
          <w:p>
            <w:pPr>
              <w:spacing w:after="0"/>
              <w:rPr>
                <w:sz w:val="15"/>
                <w:szCs w:val="15"/>
                <w:color w:val="auto"/>
              </w:rPr>
            </w:pPr>
          </w:p>
        </w:tc>
        <w:tc>
          <w:tcPr>
            <w:tcW w:w="13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47,594</w:t>
            </w:r>
          </w:p>
        </w:tc>
        <w:tc>
          <w:tcPr>
            <w:tcW w:w="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(183,935)</w:t>
            </w:r>
          </w:p>
        </w:tc>
        <w:tc>
          <w:tcPr>
            <w:tcW w:w="0" w:type="dxa"/>
            <w:vAlign w:val="bottom"/>
          </w:tcPr>
          <w:p>
            <w:pPr>
              <w:spacing w:after="0"/>
              <w:rPr>
                <w:sz w:val="1"/>
                <w:szCs w:val="1"/>
                <w:color w:val="auto"/>
              </w:rPr>
            </w:pPr>
          </w:p>
        </w:tc>
      </w:tr>
      <w:tr>
        <w:trPr>
          <w:trHeight w:val="248"/>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45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1,024,351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Adjustment for the effect of stock dividends</w:t>
            </w:r>
          </w:p>
        </w:tc>
        <w:tc>
          <w:tcPr>
            <w:tcW w:w="13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860" w:type="dxa"/>
            <w:vAlign w:val="bottom"/>
            <w:vMerge w:val="continue"/>
          </w:tcPr>
          <w:p>
            <w:pPr>
              <w:spacing w:after="0"/>
              <w:rPr>
                <w:sz w:val="15"/>
                <w:szCs w:val="15"/>
                <w:color w:val="auto"/>
              </w:rPr>
            </w:pPr>
          </w:p>
        </w:tc>
        <w:tc>
          <w:tcPr>
            <w:tcW w:w="13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47,780</w:t>
            </w:r>
          </w:p>
        </w:tc>
        <w:tc>
          <w:tcPr>
            <w:tcW w:w="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(176,435)</w:t>
            </w:r>
          </w:p>
        </w:tc>
        <w:tc>
          <w:tcPr>
            <w:tcW w:w="0" w:type="dxa"/>
            <w:vAlign w:val="bottom"/>
          </w:tcPr>
          <w:p>
            <w:pPr>
              <w:spacing w:after="0"/>
              <w:rPr>
                <w:sz w:val="1"/>
                <w:szCs w:val="1"/>
                <w:color w:val="auto"/>
              </w:rPr>
            </w:pPr>
          </w:p>
        </w:tc>
      </w:tr>
      <w:tr>
        <w:trPr>
          <w:trHeight w:val="248"/>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-1628140</wp:posOffset>
            </wp:positionV>
            <wp:extent cx="641223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122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-1302385</wp:posOffset>
            </wp:positionV>
            <wp:extent cx="641223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-1028065</wp:posOffset>
            </wp:positionV>
            <wp:extent cx="641223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6412230"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641223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641223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Weighted</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Weighted</w:t>
            </w:r>
          </w:p>
        </w:tc>
        <w:tc>
          <w:tcPr>
            <w:tcW w:w="0" w:type="dxa"/>
            <w:vAlign w:val="bottom"/>
          </w:tcPr>
          <w:p>
            <w:pPr>
              <w:spacing w:after="0"/>
              <w:rPr>
                <w:sz w:val="1"/>
                <w:szCs w:val="1"/>
                <w:color w:val="auto"/>
              </w:rPr>
            </w:pPr>
          </w:p>
        </w:tc>
      </w:tr>
      <w:tr>
        <w:trPr>
          <w:trHeight w:val="216"/>
        </w:trPr>
        <w:tc>
          <w:tcPr>
            <w:tcW w:w="16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Average Exercise</w:t>
            </w:r>
          </w:p>
        </w:tc>
        <w:tc>
          <w:tcPr>
            <w:tcW w:w="14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Average Exercise</w:t>
            </w:r>
          </w:p>
        </w:tc>
        <w:tc>
          <w:tcPr>
            <w:tcW w:w="0" w:type="dxa"/>
            <w:vAlign w:val="bottom"/>
          </w:tcPr>
          <w:p>
            <w:pPr>
              <w:spacing w:after="0"/>
              <w:rPr>
                <w:sz w:val="1"/>
                <w:szCs w:val="1"/>
                <w:color w:val="auto"/>
              </w:rPr>
            </w:pPr>
          </w:p>
        </w:tc>
      </w:tr>
      <w:tr>
        <w:trPr>
          <w:trHeight w:val="234"/>
        </w:trPr>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Price</w:t>
            </w:r>
          </w:p>
        </w:tc>
        <w:tc>
          <w:tcPr>
            <w:tcW w:w="300" w:type="dxa"/>
            <w:vAlign w:val="bottom"/>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Class C Shares</w:t>
            </w:r>
          </w:p>
        </w:tc>
        <w:tc>
          <w:tcPr>
            <w:tcW w:w="16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Price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300" w:type="dxa"/>
            <w:vAlign w:val="bottom"/>
          </w:tcPr>
          <w:p>
            <w:pPr>
              <w:spacing w:after="0"/>
              <w:rPr>
                <w:sz w:val="20"/>
                <w:szCs w:val="20"/>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662,666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33,136</w:t>
            </w:r>
          </w:p>
        </w:tc>
        <w:tc>
          <w:tcPr>
            <w:tcW w:w="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(104,656)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4.38</w:t>
            </w: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821,146</w:t>
            </w:r>
          </w:p>
        </w:tc>
        <w:tc>
          <w:tcPr>
            <w:tcW w:w="140" w:type="dxa"/>
            <w:vAlign w:val="bottom"/>
          </w:tcPr>
          <w:p>
            <w:pPr>
              <w:spacing w:after="0"/>
              <w:rPr>
                <w:sz w:val="24"/>
                <w:szCs w:val="24"/>
                <w:color w:val="auto"/>
              </w:rPr>
            </w:pP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41,057</w:t>
            </w:r>
          </w:p>
        </w:tc>
        <w:tc>
          <w:tcPr>
            <w:tcW w:w="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0</wp:posOffset>
            </wp:positionV>
            <wp:extent cx="8312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240"/>
            <w:col w:w="5760"/>
          </w:cols>
          <w:pgMar w:left="320" w:top="688" w:right="3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976,605</w:t>
            </w:r>
          </w:p>
        </w:tc>
        <w:tc>
          <w:tcPr>
            <w:tcW w:w="7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4.78</w:t>
            </w:r>
          </w:p>
        </w:tc>
        <w:tc>
          <w:tcPr>
            <w:tcW w:w="3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1,157,203</w:t>
            </w:r>
          </w:p>
        </w:tc>
        <w:tc>
          <w:tcPr>
            <w:tcW w:w="6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r>
        <w:trPr>
          <w:trHeight w:val="210"/>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897,105</w:t>
            </w:r>
          </w:p>
        </w:tc>
        <w:tc>
          <w:tcPr>
            <w:tcW w:w="7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4.63</w:t>
            </w:r>
          </w:p>
        </w:tc>
        <w:tc>
          <w:tcPr>
            <w:tcW w:w="3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862,203</w:t>
            </w:r>
          </w:p>
        </w:tc>
        <w:tc>
          <w:tcPr>
            <w:tcW w:w="6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r>
        <w:trPr>
          <w:trHeight w:val="210"/>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options for future grant</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132,313</w:t>
            </w:r>
          </w:p>
        </w:tc>
        <w:tc>
          <w:tcPr>
            <w:tcW w:w="7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795,000</w:t>
            </w:r>
          </w:p>
        </w:tc>
        <w:tc>
          <w:tcPr>
            <w:tcW w:w="6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r>
        <w:trPr>
          <w:trHeight w:val="197"/>
        </w:trPr>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contractual term of options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4.72 years</w:t>
            </w: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6.90 years</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contractual term of options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4.26 years</w:t>
            </w: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6.24 years</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Aggregated intrinsic value of options outstanding</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61"/>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2022 (1)</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2,460,755</w:t>
            </w:r>
          </w:p>
        </w:tc>
        <w:tc>
          <w:tcPr>
            <w:tcW w:w="7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1,979,588</w:t>
            </w:r>
          </w:p>
        </w:tc>
        <w:tc>
          <w:tcPr>
            <w:tcW w:w="6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r>
        <w:trPr>
          <w:trHeight w:val="197"/>
        </w:trPr>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Aggregated intrinsic value of options exercisable</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61"/>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2022 (1)</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2,397,275</w:t>
            </w:r>
          </w:p>
        </w:tc>
        <w:tc>
          <w:tcPr>
            <w:tcW w:w="7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1,758,488</w:t>
            </w:r>
          </w:p>
        </w:tc>
        <w:tc>
          <w:tcPr>
            <w:tcW w:w="6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The Company used a stock price of $7.30 as of December 31, 2022 to derive intrinsic value.</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intrinsic value (which is the amount by which the fair value of the underlying stock exceeds the exercise price of an option on the exercise date) of stock options exercised during the years ended December 31, 2022 and 2021 was $619,064 and $1,153,417,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 based compensation expense for RSUs issued of $371 and nil has been recognized under these plans for the years ended December 31, 2022 and 2021, respectively, and is included in personnel expenses on the consolidated statements of earnings. As of December 31, 2022, the total unrecognized compensation expense related to the RSUs issued was $742, which is expected to be recognized over the vesting period of three months. The fair value of each RSU granted is determined based on the Company’s stock price on the date of grant. The weighted average grant date fair value of RSUs granted on December 2, 2022 was $6.48.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Activity of the RSUs is summarized as follows: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Grant Date Fair</w:t>
            </w:r>
          </w:p>
        </w:tc>
        <w:tc>
          <w:tcPr>
            <w:tcW w:w="0" w:type="dxa"/>
            <w:vAlign w:val="bottom"/>
          </w:tcPr>
          <w:p>
            <w:pPr>
              <w:spacing w:after="0"/>
              <w:rPr>
                <w:sz w:val="1"/>
                <w:szCs w:val="1"/>
                <w:color w:val="auto"/>
              </w:rPr>
            </w:pPr>
          </w:p>
        </w:tc>
      </w:tr>
      <w:tr>
        <w:trPr>
          <w:trHeight w:val="234"/>
        </w:trPr>
        <w:tc>
          <w:tcPr>
            <w:tcW w:w="5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Class A Shares</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2"/>
              </w:rPr>
              <w:t>Value</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line="20" w:lineRule="exact"/>
              <w:rPr>
                <w:sz w:val="1"/>
                <w:szCs w:val="1"/>
                <w:color w:val="auto"/>
              </w:rPr>
            </w:pPr>
          </w:p>
        </w:tc>
      </w:tr>
      <w:tr>
        <w:trPr>
          <w:trHeight w:val="197"/>
        </w:trPr>
        <w:tc>
          <w:tcPr>
            <w:tcW w:w="56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1,620</w:t>
            </w:r>
          </w:p>
        </w:tc>
        <w:tc>
          <w:tcPr>
            <w:tcW w:w="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RSUs for future grant</w:t>
            </w: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18,380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Aggregated intrinsic value of RSUs outstanding at December 31, 2022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5540" w:right="4240" w:hanging="5472"/>
        <w:spacing w:after="0" w:line="657" w:lineRule="auto"/>
        <w:tabs>
          <w:tab w:leader="none" w:pos="36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 stock price of $7.30 as of December 31, 2022 to derive intrinsic value.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Statutory Financial Information and Dividend Limitations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insurance subsidiaries prepare their statutory-basis financial statements in conformity with accounting practices prescribed or permitted by the insurance department of the applicable state of domicile. Prescribed statutory accounting practices include a variety of publications of the NAIC, as well as state laws, regulations and general administrative rules. Permitted statutory accounting practices encompass all accounting practices not so prescribed.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states in which the Company’s life insurance subsidiaries are domiciled require the preparation of statutory-basis financial statements in conformity with the NAIC Accounting Practices and Procedures Manual, subject to any deviations prescribed or permitted by the applicable insurance commissioner and/or director. Statutory accounting practices differ from GAAP primarily since they require charging policy acquisition and certain sales inducement costs to expense as incurred, establishing life insurance reserves based on different actuarial assumptions, and valuing certain investments and establishing deferred taxes on a different basis.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Statutory net income and capital and surplus of the Company’s insurance subsidiaries, determined in accordance with statutory accounting practices prescribed or permitted by insurance regulatory authorities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color w:val="auto"/>
              </w:rPr>
              <w:t>Statutory Net Income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4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Statutory Capital and Surplus</w:t>
            </w:r>
          </w:p>
        </w:tc>
      </w:tr>
      <w:tr>
        <w:trPr>
          <w:trHeight w:val="234"/>
        </w:trPr>
        <w:tc>
          <w:tcPr>
            <w:tcW w:w="3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Years Ended December 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4"/>
          </w:tcPr>
          <w:p>
            <w:pPr>
              <w:jc w:val="right"/>
              <w:ind w:right="24"/>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6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by insurance subsidiary:</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Security National Life Insurance Company</w:t>
            </w:r>
          </w:p>
        </w:tc>
        <w:tc>
          <w:tcPr>
            <w:tcW w:w="46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9,126,955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5,552,116</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66,753,938</w:t>
            </w:r>
          </w:p>
        </w:tc>
        <w:tc>
          <w:tcPr>
            <w:tcW w:w="400" w:type="dxa"/>
            <w:vAlign w:val="bottom"/>
            <w:gridSpan w:val="2"/>
          </w:tcPr>
          <w:p>
            <w:pPr>
              <w:jc w:val="right"/>
              <w:ind w:right="26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57,424,808</w:t>
            </w: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Kilpatrick Life Insurance Company</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2,373,682</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1,312,718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17,300,717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15,566,231</w:t>
            </w: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First Guaranty Insurance Company</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1,007,026</w:t>
            </w: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624,550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8,107,405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7,734,357</w:t>
            </w: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Memorial Insurance Company of America</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Southern Security Life Insurance Company, Inc.</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(2,691)</w:t>
            </w: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1,579,971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1,578,225</w:t>
            </w:r>
          </w:p>
        </w:tc>
        <w:tc>
          <w:tcPr>
            <w:tcW w:w="60" w:type="dxa"/>
            <w:vAlign w:val="bottom"/>
          </w:tcPr>
          <w:p>
            <w:pPr>
              <w:spacing w:after="0"/>
              <w:rPr>
                <w:sz w:val="18"/>
                <w:szCs w:val="18"/>
                <w:color w:val="auto"/>
              </w:rPr>
            </w:pPr>
          </w:p>
        </w:tc>
      </w:tr>
      <w:tr>
        <w:trPr>
          <w:trHeight w:val="23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Trans-Western Life Insurance Company</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4,008</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512,555</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508,547</w:t>
            </w:r>
          </w:p>
        </w:tc>
        <w:tc>
          <w:tcPr>
            <w:tcW w:w="60" w:type="dxa"/>
            <w:vAlign w:val="bottom"/>
            <w:shd w:val="clear" w:color="auto" w:fill="CCEEFF"/>
          </w:tcPr>
          <w:p>
            <w:pPr>
              <w:spacing w:after="0"/>
              <w:rPr>
                <w:sz w:val="19"/>
                <w:szCs w:val="19"/>
                <w:color w:val="auto"/>
              </w:rPr>
            </w:pPr>
          </w:p>
        </w:tc>
      </w:tr>
      <w:tr>
        <w:trPr>
          <w:trHeight w:val="22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12,508,980</w:t>
            </w: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7,487,607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94,254,586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82,812,168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Utah, Louisiana, Mississippi and Texas Insurance Departments impose minimum risk-based capital (“RBC”) requirements that were developed by the NAIC on insurance enterprises. The formulas for determining the RBC specify various factors that are applied to financial balances or various levels of activity based on the perceived degree of risk. Regulatory compliance is determined by a ratio (the Ratio) of the enterprise’s regulatory total adjusted capital, as defined by the NAIC, to its authorized control level, as defined by the NAIC. Enterprises below specific trigger points or ratios are classified within certain levels, each of which requires specified corrective action. The life insurance subsidiaries each have a ratio that is greater than the first level of regulatory action as of December 31, 2022. The Company does not have any guarantees to maintain the capital and surplus of any affiliates except for the Company’s agreement to provide additional capital to Security National Life Insurance Company in the event risk-based capital drops below 350% of the authorized control level.</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the net assets of the life insurance subsidiaries available for transfer to the Company are limited to the amounts of the life insurance subsidiaries net assets, as determined in accordance with statutory accounting practices, that exceed minimum statutory capital requirements. Additional requirements must be met depending on the state, and payments of such amounts as dividends are subject to approval by regulatory authorities.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Statutory Financial Information and Dividend Limitations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Utah Insurance Code, Security National Life Insurance Company is permitted to pay stockholder dividends, or otherwise make distributions, to the Company subject to certain limitations. Security National Life Insurance Company must ensure that its surplus held for policyholders is reasonable in relation to its outstanding liabilities and adequate to its financial needs after payment of any such dividend or distribution. Furthermore, where any dividend or distribution, together with all other dividends and distributions made within the preceding 12 months, exceeds the lesser of (i) 10% of its surplus held for policyholders as of the next preceding December 31; or (ii) its net gain from operations, not including realized capital gains, for the 12-month period ending the next preceding December 31, such dividend or distribution constitutes “extraordinary” under Utah law and Security National Life Insurance Company would be required to file notice of its intention to declare such a dividend or make such a distribution with the Utah Commissioner and the Utah Commissioner must either approve the distribution or dividend or not disapprove the dividend or distribution within 30 days’ of the notice filing. Based on Security National Life Insurance Company’s surplus held for policyholders and net gain from operations as of December 31, 2022, the maximum aggregate amount of dividends and distributions that it could pay or make in 2023 and which would not constitute an “extraordinary” dividend or distribution under Utah law, and would therefore not require notice and approval or lack of disproval from the Utah Commissioner, would be approximately $6,420,000.</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Louisiana Insurance Code, First Guaranty Insurance Company and Kilpatrick Life Insurance Company are permitted to pay stockholder dividends, or otherwise make distributions, to the Company subject to certain limitations. First Guaranty Insurance Company and Kilpatrick Life Insurance Company must ensure that its surplus held for policyholders is reasonable in relation to its outstanding liabilities and adequate to its financial needs after payment of any such dividend or distribution. Furthermore, where any dividend or distribution, together with all other dividends and distributions made within the preceding 12 months, exceeds the lesser of (i) 10% of its surplus held for policyholders as of the next preceding December 31; or (ii) its net gain from operations, not including realized capital gains, for the 12-month period ending the next preceding December 31, such dividend or distribution constitutes “extraordinary” under Louisiana law and First Guaranty Insurance Company and Kilpatrick Life Insurance Company would be required to file notice of its intention to declare such a dividend or make such a distribution with the Louisiana Commissioner and the Louisiana Commissioner must either approve the distribution or dividend or not disapprove the dividend or distribution within 30 days’ of the notice filing. Based on First Guaranty Insurance Company’s and Kilpatrick Life Insurance Company’s surplus held for policyholders and net gain from operations as of December 31, 2022, the maximum aggregate amount of dividends and distributions that it could pay or make in 2023 and which would not constitute an “extraordinary” dividend or distribution under Louisiana law, and would therefore not require notice and approval or lack of disproval from the Louisiana Commissioner, would be approximately $710,000 for First Guaranty Insurance Company and $1,650,000 for Kilpatrick Life Insurance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Segment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Products and Services by Segment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pre-sold loans before the funds are received from financial institutional investors.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Measurement of Segment Profit or Loss and Segment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the Significant Accounting Principles. Intersegment revenues are recorded at cost plus an agreed upon intercompany profit, and are eliminated upon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Management Used to Identify the Enterprise’s Reportable Segments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15) Business Segment Information (Continued)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30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10"/>
          </w:tcPr>
          <w:p>
            <w:pPr>
              <w:jc w:val="right"/>
              <w:ind w:right="981"/>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481"/>
              <w:spacing w:after="0" w:line="205" w:lineRule="exact"/>
              <w:rPr>
                <w:sz w:val="20"/>
                <w:szCs w:val="20"/>
                <w:color w:val="auto"/>
              </w:rPr>
            </w:pPr>
            <w:r>
              <w:rPr>
                <w:rFonts w:ascii="Times New Roman" w:cs="Times New Roman" w:eastAsia="Times New Roman" w:hAnsi="Times New Roman"/>
                <w:sz w:val="18"/>
                <w:szCs w:val="18"/>
                <w:color w:val="auto"/>
              </w:rPr>
              <w:t>Life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301"/>
              <w:spacing w:after="0" w:line="205" w:lineRule="exact"/>
              <w:rPr>
                <w:sz w:val="20"/>
                <w:szCs w:val="20"/>
                <w:color w:val="auto"/>
              </w:rPr>
            </w:pPr>
            <w:r>
              <w:rPr>
                <w:rFonts w:ascii="Times New Roman" w:cs="Times New Roman" w:eastAsia="Times New Roman" w:hAnsi="Times New Roman"/>
                <w:sz w:val="18"/>
                <w:szCs w:val="18"/>
                <w:color w:val="auto"/>
              </w:rPr>
              <w:t>Cemetery/</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3"/>
          </w:tcPr>
          <w:p>
            <w:pPr>
              <w:jc w:val="right"/>
              <w:ind w:right="181"/>
              <w:spacing w:after="0" w:line="205" w:lineRule="exact"/>
              <w:rPr>
                <w:sz w:val="20"/>
                <w:szCs w:val="20"/>
                <w:color w:val="auto"/>
              </w:rPr>
            </w:pPr>
            <w:r>
              <w:rPr>
                <w:rFonts w:ascii="Times New Roman" w:cs="Times New Roman" w:eastAsia="Times New Roman" w:hAnsi="Times New Roman"/>
                <w:sz w:val="18"/>
                <w:szCs w:val="18"/>
                <w:color w:val="auto"/>
              </w:rPr>
              <w:t>Intercompany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Insurance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Mortuary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Mortgage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w w:val="97"/>
              </w:rPr>
              <w:t>Eliminations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w w:val="98"/>
              </w:rPr>
              <w:t>Consolidated</w:t>
            </w:r>
          </w:p>
        </w:tc>
      </w:tr>
      <w:tr>
        <w:trPr>
          <w:trHeight w:val="209"/>
        </w:trPr>
        <w:tc>
          <w:tcPr>
            <w:tcW w:w="38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From external sources: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customers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105,144,646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26,993,855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173,356,675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305,495,176</w:t>
            </w: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62,565,021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2,444,599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1,187,972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66,197,592</w:t>
            </w:r>
          </w:p>
        </w:tc>
      </w:tr>
      <w:tr>
        <w:trPr>
          <w:trHeight w:val="216"/>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(459,462)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(796,096)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398,098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(857,460)</w:t>
            </w: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than temporary impairments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1,932,402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305,073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16,579,545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18,817,020</w:t>
            </w: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6,601,132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451,139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356,574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(7,408,845)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175,783,739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29,398,570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191,878,864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(7,408,845</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389,652,328</w:t>
            </w:r>
          </w:p>
        </w:tc>
        <w:tc>
          <w:tcPr>
            <w:tcW w:w="100" w:type="dxa"/>
            <w:vAlign w:val="bottom"/>
            <w:tcBorders>
              <w:bottom w:val="single" w:sz="8" w:color="CCEEFF"/>
            </w:tcBorders>
          </w:tcPr>
          <w:p>
            <w:pPr>
              <w:spacing w:after="0"/>
              <w:rPr>
                <w:sz w:val="18"/>
                <w:szCs w:val="18"/>
                <w:color w:val="auto"/>
              </w:rPr>
            </w:pPr>
          </w:p>
        </w:tc>
      </w:tr>
      <w:tr>
        <w:trPr>
          <w:trHeight w:val="210"/>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Death, surrenders and other policy benefits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64,066,432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64,066,432</w:t>
            </w:r>
          </w:p>
        </w:tc>
      </w:tr>
      <w:tr>
        <w:trPr>
          <w:trHeight w:val="216"/>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28,858,969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28,858,969</w:t>
            </w:r>
          </w:p>
        </w:tc>
      </w:tr>
      <w:tr>
        <w:trPr>
          <w:trHeight w:val="198"/>
        </w:trPr>
        <w:tc>
          <w:tcPr>
            <w:tcW w:w="38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acquisition costs and value of business acquired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17,352,803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597,399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17,950,202</w:t>
            </w:r>
          </w:p>
        </w:tc>
      </w:tr>
      <w:tr>
        <w:trPr>
          <w:trHeight w:val="216"/>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4,097,680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1,372,200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57,851,212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63,321,092</w:t>
            </w:r>
          </w:p>
        </w:tc>
      </w:tr>
      <w:tr>
        <w:trPr>
          <w:trHeight w:val="216"/>
        </w:trPr>
        <w:tc>
          <w:tcPr>
            <w:tcW w:w="3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26,285,207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9,305,429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64,520,887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100,111,523</w:t>
            </w:r>
          </w:p>
        </w:tc>
      </w:tr>
      <w:tr>
        <w:trPr>
          <w:trHeight w:val="216"/>
        </w:trPr>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1,649,273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628,114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3,420,611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5,697,998</w:t>
            </w:r>
          </w:p>
        </w:tc>
      </w:tr>
      <w:tr>
        <w:trPr>
          <w:trHeight w:val="216"/>
        </w:trPr>
        <w:tc>
          <w:tcPr>
            <w:tcW w:w="3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384,908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163,182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6,334,923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6,883,013</w:t>
            </w:r>
          </w:p>
        </w:tc>
      </w:tr>
      <w:tr>
        <w:trPr>
          <w:trHeight w:val="216"/>
        </w:trPr>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1,036,521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759,415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700,970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2,496,906</w:t>
            </w:r>
          </w:p>
        </w:tc>
      </w:tr>
      <w:tr>
        <w:trPr>
          <w:trHeight w:val="216"/>
        </w:trPr>
        <w:tc>
          <w:tcPr>
            <w:tcW w:w="3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loan loss reserve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Cost related to funding mortgage loans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7,540,041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7,540,041</w:t>
            </w:r>
          </w:p>
        </w:tc>
      </w:tr>
      <w:tr>
        <w:trPr>
          <w:trHeight w:val="216"/>
        </w:trPr>
        <w:tc>
          <w:tcPr>
            <w:tcW w:w="3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232,915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160,690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1,795,507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(2,189,112)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13,190,827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5,321,730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27,285,196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45,797,753</w:t>
            </w:r>
          </w:p>
        </w:tc>
      </w:tr>
      <w:tr>
        <w:trPr>
          <w:trHeight w:val="216"/>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Intersegment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462,753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274,911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4,482,069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(5,219,733)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3,969,905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3,859,828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7,830,443</w:t>
            </w:r>
          </w:p>
        </w:tc>
      </w:tr>
      <w:tr>
        <w:trPr>
          <w:trHeight w:val="198"/>
        </w:trPr>
        <w:tc>
          <w:tcPr>
            <w:tcW w:w="38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Costs of goods and services sold-mortuaries and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cemeteries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4,721,094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4,721,094</w:t>
            </w:r>
          </w:p>
        </w:tc>
      </w:tr>
      <w:tr>
        <w:trPr>
          <w:trHeight w:val="209"/>
        </w:trPr>
        <w:tc>
          <w:tcPr>
            <w:tcW w:w="38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161,588,193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23,304,874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177,791,244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(7,408,845</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355,275,466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14,195,546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6,093,696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14,087,620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34,376,862</w:t>
            </w:r>
          </w:p>
        </w:tc>
        <w:tc>
          <w:tcPr>
            <w:tcW w:w="100" w:type="dxa"/>
            <w:vAlign w:val="bottom"/>
            <w:tcBorders>
              <w:bottom w:val="single" w:sz="8" w:color="CCEEFF"/>
            </w:tcBorders>
          </w:tcPr>
          <w:p>
            <w:pPr>
              <w:spacing w:after="0"/>
              <w:rPr>
                <w:sz w:val="18"/>
                <w:szCs w:val="18"/>
                <w:color w:val="auto"/>
              </w:rPr>
            </w:pPr>
          </w:p>
        </w:tc>
      </w:tr>
      <w:tr>
        <w:trPr>
          <w:trHeight w:val="210"/>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(4,034,979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(1,523,954</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(3,127,627</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(8,686,560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63"/>
        </w:trPr>
        <w:tc>
          <w:tcPr>
            <w:tcW w:w="3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10,160,567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4,569,742</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10,959,993</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25,690,302</w:t>
            </w:r>
          </w:p>
        </w:tc>
        <w:tc>
          <w:tcPr>
            <w:tcW w:w="100" w:type="dxa"/>
            <w:vAlign w:val="bottom"/>
            <w:tcBorders>
              <w:bottom w:val="single" w:sz="8" w:color="CCEEFF"/>
            </w:tcBorders>
          </w:tcPr>
          <w:p>
            <w:pPr>
              <w:spacing w:after="0"/>
              <w:rPr>
                <w:sz w:val="22"/>
                <w:szCs w:val="22"/>
                <w:color w:val="auto"/>
              </w:rPr>
            </w:pPr>
          </w:p>
        </w:tc>
      </w:tr>
      <w:tr>
        <w:trPr>
          <w:trHeight w:val="197"/>
        </w:trPr>
        <w:tc>
          <w:tcPr>
            <w:tcW w:w="3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1,246,840,586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82,320,929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219,872,163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(93,174,569)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1,455,859,109</w:t>
            </w:r>
          </w:p>
        </w:tc>
      </w:tr>
      <w:tr>
        <w:trPr>
          <w:trHeight w:val="196"/>
        </w:trPr>
        <w:tc>
          <w:tcPr>
            <w:tcW w:w="3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2,765,570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2,488,213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5,253,783</w:t>
            </w:r>
          </w:p>
        </w:tc>
      </w:tr>
      <w:tr>
        <w:trPr>
          <w:trHeight w:val="20"/>
        </w:trPr>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95</w:t>
            </w: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15) Business Segment Information (Continued)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30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10"/>
          </w:tcPr>
          <w:p>
            <w:pPr>
              <w:jc w:val="right"/>
              <w:ind w:right="981"/>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481"/>
              <w:spacing w:after="0" w:line="205" w:lineRule="exact"/>
              <w:rPr>
                <w:sz w:val="20"/>
                <w:szCs w:val="20"/>
                <w:color w:val="auto"/>
              </w:rPr>
            </w:pPr>
            <w:r>
              <w:rPr>
                <w:rFonts w:ascii="Times New Roman" w:cs="Times New Roman" w:eastAsia="Times New Roman" w:hAnsi="Times New Roman"/>
                <w:sz w:val="18"/>
                <w:szCs w:val="18"/>
                <w:color w:val="auto"/>
              </w:rPr>
              <w:t>Life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41"/>
              <w:spacing w:after="0" w:line="205" w:lineRule="exact"/>
              <w:rPr>
                <w:sz w:val="20"/>
                <w:szCs w:val="20"/>
                <w:color w:val="auto"/>
              </w:rPr>
            </w:pPr>
            <w:r>
              <w:rPr>
                <w:rFonts w:ascii="Times New Roman" w:cs="Times New Roman" w:eastAsia="Times New Roman" w:hAnsi="Times New Roman"/>
                <w:sz w:val="18"/>
                <w:szCs w:val="18"/>
                <w:color w:val="auto"/>
                <w:w w:val="98"/>
              </w:rPr>
              <w:t>Cemetery/</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3"/>
          </w:tcPr>
          <w:p>
            <w:pPr>
              <w:jc w:val="right"/>
              <w:ind w:right="181"/>
              <w:spacing w:after="0" w:line="205" w:lineRule="exact"/>
              <w:rPr>
                <w:sz w:val="20"/>
                <w:szCs w:val="20"/>
                <w:color w:val="auto"/>
              </w:rPr>
            </w:pPr>
            <w:r>
              <w:rPr>
                <w:rFonts w:ascii="Times New Roman" w:cs="Times New Roman" w:eastAsia="Times New Roman" w:hAnsi="Times New Roman"/>
                <w:sz w:val="18"/>
                <w:szCs w:val="18"/>
                <w:color w:val="auto"/>
              </w:rPr>
              <w:t>Intercompany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Insurance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w w:val="99"/>
              </w:rPr>
              <w:t>Mortuary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Mortgage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w w:val="97"/>
              </w:rPr>
              <w:t>Eliminations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w w:val="98"/>
              </w:rPr>
              <w:t>Consolidated</w:t>
            </w:r>
          </w:p>
        </w:tc>
      </w:tr>
      <w:tr>
        <w:trPr>
          <w:trHeight w:val="209"/>
        </w:trPr>
        <w:tc>
          <w:tcPr>
            <w:tcW w:w="38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From external sources: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customers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100,254,573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23,997,313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263,418,230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387,670,116</w:t>
            </w: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56,091,725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1,653,940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519,018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58,264,683</w:t>
            </w:r>
          </w:p>
        </w:tc>
      </w:tr>
      <w:tr>
        <w:trPr>
          <w:trHeight w:val="216"/>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4,554,528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1,511,965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198,641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6,265,134</w:t>
            </w: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than temporary impairments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(39,502)</w:t>
            </w:r>
          </w:p>
        </w:tc>
      </w:tr>
      <w:tr>
        <w:trPr>
          <w:trHeight w:val="216"/>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2,152,531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100,255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16,282,325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18,535,111</w:t>
            </w: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7,569,875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314,001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599,115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(8,482,991)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170,583,730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27,577,474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281,017,329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(8,482,991</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470,695,542</w:t>
            </w:r>
          </w:p>
        </w:tc>
        <w:tc>
          <w:tcPr>
            <w:tcW w:w="100" w:type="dxa"/>
            <w:vAlign w:val="bottom"/>
            <w:tcBorders>
              <w:bottom w:val="single" w:sz="8" w:color="CCEEFF"/>
            </w:tcBorders>
          </w:tcPr>
          <w:p>
            <w:pPr>
              <w:spacing w:after="0"/>
              <w:rPr>
                <w:sz w:val="18"/>
                <w:szCs w:val="18"/>
                <w:color w:val="auto"/>
              </w:rPr>
            </w:pPr>
          </w:p>
        </w:tc>
      </w:tr>
      <w:tr>
        <w:trPr>
          <w:trHeight w:val="210"/>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Death, surrenders and other policy benefits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67,218,455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67,218,455</w:t>
            </w:r>
          </w:p>
        </w:tc>
      </w:tr>
      <w:tr>
        <w:trPr>
          <w:trHeight w:val="216"/>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26,263,312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26,263,312</w:t>
            </w:r>
          </w:p>
        </w:tc>
      </w:tr>
      <w:tr>
        <w:trPr>
          <w:trHeight w:val="198"/>
        </w:trPr>
        <w:tc>
          <w:tcPr>
            <w:tcW w:w="38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acquisition costs and value of business acquired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15,611,374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531,596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16,142,970</w:t>
            </w:r>
          </w:p>
        </w:tc>
      </w:tr>
      <w:tr>
        <w:trPr>
          <w:trHeight w:val="216"/>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3,514,498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1,917,899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112,854,072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118,286,469</w:t>
            </w:r>
          </w:p>
        </w:tc>
      </w:tr>
      <w:tr>
        <w:trPr>
          <w:trHeight w:val="216"/>
        </w:trPr>
        <w:tc>
          <w:tcPr>
            <w:tcW w:w="3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25,009,096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6,850,617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68,880,448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100,740,161</w:t>
            </w:r>
          </w:p>
        </w:tc>
      </w:tr>
      <w:tr>
        <w:trPr>
          <w:trHeight w:val="216"/>
        </w:trPr>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1,160,640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570,924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4,894,854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6,626,418</w:t>
            </w:r>
          </w:p>
        </w:tc>
      </w:tr>
      <w:tr>
        <w:trPr>
          <w:trHeight w:val="216"/>
        </w:trPr>
        <w:tc>
          <w:tcPr>
            <w:tcW w:w="3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733,726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109,318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6,399,243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7,242,287</w:t>
            </w:r>
          </w:p>
        </w:tc>
      </w:tr>
      <w:tr>
        <w:trPr>
          <w:trHeight w:val="216"/>
        </w:trPr>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806,543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479,005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650,065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1,935,613</w:t>
            </w:r>
          </w:p>
        </w:tc>
      </w:tr>
      <w:tr>
        <w:trPr>
          <w:trHeight w:val="216"/>
        </w:trPr>
        <w:tc>
          <w:tcPr>
            <w:tcW w:w="3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loan loss reserve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Cost related to funding mortgage loans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10,541,570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10,541,570</w:t>
            </w:r>
          </w:p>
        </w:tc>
      </w:tr>
      <w:tr>
        <w:trPr>
          <w:trHeight w:val="216"/>
        </w:trPr>
        <w:tc>
          <w:tcPr>
            <w:tcW w:w="3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497,113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113,062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671,107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(1,281,282)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12,075,374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5,224,178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35,766,430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53,065,982</w:t>
            </w:r>
          </w:p>
        </w:tc>
      </w:tr>
      <w:tr>
        <w:trPr>
          <w:trHeight w:val="216"/>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Intersegment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392,003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97,195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6,712,511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(7,201,709)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2,328,868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54,620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4,744,028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7,127,516</w:t>
            </w:r>
          </w:p>
        </w:tc>
      </w:tr>
      <w:tr>
        <w:trPr>
          <w:trHeight w:val="198"/>
        </w:trPr>
        <w:tc>
          <w:tcPr>
            <w:tcW w:w="38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Costs of goods and services sold-mortuaries and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cemeteries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3,704,014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3,704,014</w:t>
            </w:r>
          </w:p>
        </w:tc>
      </w:tr>
      <w:tr>
        <w:trPr>
          <w:trHeight w:val="209"/>
        </w:trPr>
        <w:tc>
          <w:tcPr>
            <w:tcW w:w="38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155,611,002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19,652,428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252,114,328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(8,482,991</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418,894,767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14,972,728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7,925,046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28,903,001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51,800,775</w:t>
            </w:r>
          </w:p>
        </w:tc>
        <w:tc>
          <w:tcPr>
            <w:tcW w:w="100" w:type="dxa"/>
            <w:vAlign w:val="bottom"/>
            <w:tcBorders>
              <w:bottom w:val="single" w:sz="8" w:color="CCEEFF"/>
            </w:tcBorders>
          </w:tcPr>
          <w:p>
            <w:pPr>
              <w:spacing w:after="0"/>
              <w:rPr>
                <w:sz w:val="18"/>
                <w:szCs w:val="18"/>
                <w:color w:val="auto"/>
              </w:rPr>
            </w:pPr>
          </w:p>
        </w:tc>
      </w:tr>
      <w:tr>
        <w:trPr>
          <w:trHeight w:val="210"/>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(2,943,715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(1,975,787</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(7,362,283</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(12,281,785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63"/>
        </w:trPr>
        <w:tc>
          <w:tcPr>
            <w:tcW w:w="3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12,029,013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5,949,259</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21,540,718</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39,518,990</w:t>
            </w:r>
          </w:p>
        </w:tc>
        <w:tc>
          <w:tcPr>
            <w:tcW w:w="100" w:type="dxa"/>
            <w:vAlign w:val="bottom"/>
            <w:tcBorders>
              <w:bottom w:val="single" w:sz="8" w:color="CCEEFF"/>
            </w:tcBorders>
          </w:tcPr>
          <w:p>
            <w:pPr>
              <w:spacing w:after="0"/>
              <w:rPr>
                <w:sz w:val="22"/>
                <w:szCs w:val="22"/>
                <w:color w:val="auto"/>
              </w:rPr>
            </w:pPr>
          </w:p>
        </w:tc>
      </w:tr>
      <w:tr>
        <w:trPr>
          <w:trHeight w:val="197"/>
        </w:trPr>
        <w:tc>
          <w:tcPr>
            <w:tcW w:w="3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1,236,406,558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73,432,116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328,600,841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(96,099,992)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1,542,339,523</w:t>
            </w:r>
          </w:p>
        </w:tc>
      </w:tr>
      <w:tr>
        <w:trPr>
          <w:trHeight w:val="196"/>
        </w:trPr>
        <w:tc>
          <w:tcPr>
            <w:tcW w:w="3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2,765,570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2,488,213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5,253,783</w:t>
            </w:r>
          </w:p>
        </w:tc>
      </w:tr>
      <w:tr>
        <w:trPr>
          <w:trHeight w:val="20"/>
        </w:trPr>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5"/>
        </w:trPr>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96</w:t>
            </w: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Board of Directors has a written procedure, which requires disclosure to the Board of any material interest or any affiliation on the part of any of its officers, directors or employees that is in conflict or may be in conflict with the interests of the Company. The Company and its Board of Directors is unaware of any related party transactions that require disclosure as of December 31, 2022.</w:t>
      </w:r>
    </w:p>
    <w:p>
      <w:pPr>
        <w:spacing w:after="0" w:line="176" w:lineRule="exact"/>
        <w:rPr>
          <w:sz w:val="20"/>
          <w:szCs w:val="20"/>
          <w:color w:val="auto"/>
        </w:rPr>
      </w:pPr>
    </w:p>
    <w:p>
      <w:pPr>
        <w:ind w:left="300" w:hanging="292"/>
        <w:spacing w:after="0"/>
        <w:tabs>
          <w:tab w:leader="none" w:pos="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financial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Company can access.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financial liabilities whose values are based on the following:</w:t>
      </w:r>
    </w:p>
    <w:p>
      <w:pPr>
        <w:spacing w:after="0" w:line="227" w:lineRule="exact"/>
        <w:rPr>
          <w:sz w:val="20"/>
          <w:szCs w:val="20"/>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models whose inputs are observable, directly or indirectly, for substantially the full term of the asset or liability.</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Financial assets and financial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may reflect the Company’s estimates of the assumptions that market participants would use in valuing the financial assets and financial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a combination of third-party valuation service providers, brokers, and internal valuation models to determine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the fair value disclosures related to significant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shown under Level 1 and Level 2 are valued as follows: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Fixed Maturity Securities Available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of fixed maturity securities are based on quoted market prices, when available. For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securities not actively traded, fair values are estimated using values obtained from independent pricing services, or in the case of private placements (considered Level 3 financial assets), are estimated by discounting expected future cash flows using a current market value applicable to the coupon rate, credit and maturity of the investments.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for equity securities are based on quoted market prices.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Restricted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mutual funds, equity securities and fixed maturity securities available for sale that have quoted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that are used to determine fair value. Also included are cash and cash equivalents and participations in mortgage loans. The carrying amounts reported in the accompanying consolidated balance sheets for these financial instruments approximate their fair values due to their short-term nature.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Cemetery Perpetual Care Trust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equity securities and fixed maturity securities available for sale that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market prices that are used to determine fair value. Also included are cash and cash equivalents. The carrying amounts reported in the accompanying consolidated balance sheets for these financial instruments approximate their fair values due to their short-term nature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Call and Put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uses quoted market prices to value its call and put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there were no transfers between Level 1 and Level 2 in the fair value hierarchy.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shown under Level 3 are valued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Loans Held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elected the fair value option for loans held for sale. The fair value is based on quoted market prices, when available.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a quoted market price is not readily available, the Company uses the market price from its last sale of similar assets.</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Loan Commitments and Forward Sale Commitments</w:t>
      </w:r>
      <w:r>
        <w:rPr>
          <w:rFonts w:ascii="Times New Roman" w:cs="Times New Roman" w:eastAsia="Times New Roman" w:hAnsi="Times New Roman"/>
          <w:sz w:val="18"/>
          <w:szCs w:val="18"/>
          <w:color w:val="auto"/>
        </w:rPr>
        <w:t>: The Company’s mortgage segment enters into loan commitments with potential borrowers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 sale commitments to sell loans to third-party investors. The Company also uses a hedging strategy for these transactions. A loan commitment binds the Company to lend funds to a qualified borrower at a specified interest rate and within a specified period of time,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Impaired Mortgage Loans Held for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believes that the fair value of these nonperforming loans will approximate the unpaid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expected to be recovered based on the fair value of the underlying collateral. For residential and commercial properties, the collateral value is estimated by obtaining an independent appraisal. The appraisal typically considers area comparables and property condition as well as potential rental income that could be generated (particularly for commercial properties). For residential construction loans, the collateral is typically incomplete, so fair value is estimated as the replacement cost using data from a provider of building cost information to the real estate construction.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Impaired Real Estate Held for Investment</w:t>
      </w:r>
      <w:r>
        <w:rPr>
          <w:rFonts w:ascii="Times New Roman" w:cs="Times New Roman" w:eastAsia="Times New Roman" w:hAnsi="Times New Roman"/>
          <w:sz w:val="18"/>
          <w:szCs w:val="18"/>
          <w:color w:val="auto"/>
        </w:rPr>
        <w:t>: The Company believes that in an orderly market, fair value will approximate the replacement cost of a home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should be noted that for replacement cost, when determining the fair value of real estate held for investment, the Company uses a provider of building cost information to the real estate construction industry. For the investment analysis, the Company used market data based upon its real estate operation experience and projected the present value of the net rental income over seven years. The Company also considers area comparable properties and property condition when determining fair value.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Mortgage Servicing Rights</w:t>
      </w:r>
      <w:r>
        <w:rPr>
          <w:rFonts w:ascii="Times New Roman" w:cs="Times New Roman" w:eastAsia="Times New Roman" w:hAnsi="Times New Roman"/>
          <w:sz w:val="18"/>
          <w:szCs w:val="18"/>
          <w:color w:val="auto"/>
        </w:rPr>
        <w:t>: The Company initially recognizes MSRs at their estimated fair values derived from the net cash flows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servicing contracts, where the Company assumes the obligation to service the loan in the sale transaction.</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Level 1, 2 and 3 financial assets and financial liabilities measured at fair value on a recurring basis by their classification in the consolidated balance sheet at December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Active Markets for</w:t>
            </w:r>
          </w:p>
        </w:tc>
        <w:tc>
          <w:tcPr>
            <w:tcW w:w="20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Significant</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Unobservable</w:t>
            </w: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Identical Assets</w:t>
            </w:r>
          </w:p>
        </w:tc>
        <w:tc>
          <w:tcPr>
            <w:tcW w:w="17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Observable Inputs</w:t>
            </w:r>
          </w:p>
        </w:tc>
        <w:tc>
          <w:tcPr>
            <w:tcW w:w="16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4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1)</w:t>
            </w:r>
          </w:p>
        </w:tc>
        <w:tc>
          <w:tcPr>
            <w:tcW w:w="200" w:type="dxa"/>
            <w:vAlign w:val="bottom"/>
          </w:tcPr>
          <w:p>
            <w:pPr>
              <w:spacing w:after="0"/>
              <w:rPr>
                <w:sz w:val="20"/>
                <w:szCs w:val="20"/>
                <w:color w:val="auto"/>
              </w:rPr>
            </w:pPr>
          </w:p>
        </w:tc>
        <w:tc>
          <w:tcPr>
            <w:tcW w:w="15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accounted for at fair value on a recurring basis</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345,858,492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344,422,973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1,435,519</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11,682,526</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11,682,526</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141,179,620</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141,179,620</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1,217,308</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1,217,308</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5,348,244</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5,348,244</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254,731</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254,731</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3,605,162</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3,605,162</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4,089,856</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4,089,856</w:t>
            </w:r>
          </w:p>
        </w:tc>
        <w:tc>
          <w:tcPr>
            <w:tcW w:w="100" w:type="dxa"/>
            <w:vAlign w:val="bottom"/>
            <w:shd w:val="clear" w:color="auto" w:fill="CCEEFF"/>
          </w:tcPr>
          <w:p>
            <w:pPr>
              <w:spacing w:after="0"/>
              <w:rPr>
                <w:sz w:val="19"/>
                <w:szCs w:val="19"/>
                <w:color w:val="auto"/>
              </w:rPr>
            </w:pPr>
          </w:p>
        </w:tc>
      </w:tr>
      <w:tr>
        <w:trPr>
          <w:trHeight w:val="178"/>
        </w:trPr>
        <w:tc>
          <w:tcPr>
            <w:tcW w:w="40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assets accounted for at fair value on a recurring</w:t>
            </w:r>
          </w:p>
        </w:tc>
        <w:tc>
          <w:tcPr>
            <w:tcW w:w="2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0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basis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513,235,939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20,635,932</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345,895,012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146,704,995</w:t>
            </w:r>
          </w:p>
        </w:tc>
        <w:tc>
          <w:tcPr>
            <w:tcW w:w="100" w:type="dxa"/>
            <w:vAlign w:val="bottom"/>
          </w:tcPr>
          <w:p>
            <w:pPr>
              <w:spacing w:after="0"/>
              <w:rPr>
                <w:sz w:val="24"/>
                <w:szCs w:val="24"/>
                <w:color w:val="auto"/>
              </w:rPr>
            </w:pPr>
          </w:p>
        </w:tc>
      </w:tr>
      <w:tr>
        <w:trPr>
          <w:trHeight w:val="196"/>
        </w:trPr>
        <w:tc>
          <w:tcPr>
            <w:tcW w:w="4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Liabilities accounted for at fair value on a recurring</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basis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call options (4)</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(29,715)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(29,715)</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 put options (4)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(13,888)</w:t>
            </w:r>
          </w:p>
        </w:tc>
        <w:tc>
          <w:tcPr>
            <w:tcW w:w="12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(13,888)</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(1,382,979)</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(1,382,979)</w:t>
            </w:r>
          </w:p>
        </w:tc>
      </w:tr>
      <w:tr>
        <w:trPr>
          <w:trHeight w:val="178"/>
        </w:trPr>
        <w:tc>
          <w:tcPr>
            <w:tcW w:w="40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liabilities accounted for at fair value on a</w:t>
            </w:r>
          </w:p>
        </w:tc>
        <w:tc>
          <w:tcPr>
            <w:tcW w:w="2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recurring basis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(1,426,582)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(43,603)</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(1,382,979)</w:t>
            </w:r>
          </w:p>
        </w:tc>
      </w:tr>
      <w:tr>
        <w:trPr>
          <w:trHeight w:val="20"/>
        </w:trPr>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60" w:hanging="292"/>
        <w:spacing w:after="0"/>
        <w:tabs>
          <w:tab w:leader="none" w:pos="3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maturity securities available for sale</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consolidated balance sheets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liabilities and accrued expenses on the consolidated balance sheets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Level 1, 2 and 3 financial assets and financial liabilities measured at fair value on a recurring basis by their classification in the consolidated balance sheet at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Active Markets for</w:t>
            </w:r>
          </w:p>
        </w:tc>
        <w:tc>
          <w:tcPr>
            <w:tcW w:w="20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Significant</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Unobservable</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Identical Assets</w:t>
            </w:r>
          </w:p>
        </w:tc>
        <w:tc>
          <w:tcPr>
            <w:tcW w:w="17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Observable Inputs</w:t>
            </w:r>
          </w:p>
        </w:tc>
        <w:tc>
          <w:tcPr>
            <w:tcW w:w="16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1)</w:t>
            </w:r>
          </w:p>
        </w:tc>
        <w:tc>
          <w:tcPr>
            <w:tcW w:w="200" w:type="dxa"/>
            <w:vAlign w:val="bottom"/>
          </w:tcPr>
          <w:p>
            <w:pPr>
              <w:spacing w:after="0"/>
              <w:rPr>
                <w:sz w:val="20"/>
                <w:szCs w:val="20"/>
                <w:color w:val="auto"/>
              </w:rPr>
            </w:pPr>
          </w:p>
        </w:tc>
        <w:tc>
          <w:tcPr>
            <w:tcW w:w="15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178"/>
        </w:trPr>
        <w:tc>
          <w:tcPr>
            <w:tcW w:w="40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Assets accounted for at fair value on a</w:t>
            </w:r>
          </w:p>
        </w:tc>
        <w:tc>
          <w:tcPr>
            <w:tcW w:w="2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basis</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259,287,603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257,264,255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2,023,348</w:t>
            </w: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11,596,414</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11,596,414</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302,776,827</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302,776,827</w:t>
            </w: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1,601,688</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1,601,688</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3,603,822</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3,603,822</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784,765</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784,765</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3,302,480</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3,302,480</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8,563,410</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8,563,410</w:t>
            </w:r>
          </w:p>
        </w:tc>
        <w:tc>
          <w:tcPr>
            <w:tcW w:w="100" w:type="dxa"/>
            <w:vAlign w:val="bottom"/>
            <w:shd w:val="clear" w:color="auto" w:fill="CCEEFF"/>
          </w:tcPr>
          <w:p>
            <w:pPr>
              <w:spacing w:after="0"/>
              <w:rPr>
                <w:sz w:val="19"/>
                <w:szCs w:val="19"/>
                <w:color w:val="auto"/>
              </w:rPr>
            </w:pPr>
          </w:p>
        </w:tc>
      </w:tr>
      <w:tr>
        <w:trPr>
          <w:trHeight w:val="178"/>
        </w:trPr>
        <w:tc>
          <w:tcPr>
            <w:tcW w:w="4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assets accounted for at fair value on a recurring</w:t>
            </w:r>
          </w:p>
        </w:tc>
        <w:tc>
          <w:tcPr>
            <w:tcW w:w="2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01"/>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basis</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591,517,009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18,502,716</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259,650,708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313,363,585</w:t>
            </w:r>
          </w:p>
        </w:tc>
        <w:tc>
          <w:tcPr>
            <w:tcW w:w="100" w:type="dxa"/>
            <w:vAlign w:val="bottom"/>
          </w:tcPr>
          <w:p>
            <w:pPr>
              <w:spacing w:after="0"/>
              <w:rPr>
                <w:sz w:val="24"/>
                <w:szCs w:val="24"/>
                <w:color w:val="auto"/>
              </w:rPr>
            </w:pPr>
          </w:p>
        </w:tc>
      </w:tr>
      <w:tr>
        <w:trPr>
          <w:trHeight w:val="197"/>
        </w:trPr>
        <w:tc>
          <w:tcPr>
            <w:tcW w:w="40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4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Liabilities accounted for at fair value on a recurring</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basis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call options (4)</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(50,936)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(50,936)</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Derivatives - put options (4)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(4,493)</w:t>
            </w:r>
          </w:p>
        </w:tc>
        <w:tc>
          <w:tcPr>
            <w:tcW w:w="12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(4,493)</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(1,547,895)</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(1,547,895)</w:t>
            </w:r>
          </w:p>
        </w:tc>
      </w:tr>
      <w:tr>
        <w:trPr>
          <w:trHeight w:val="178"/>
        </w:trPr>
        <w:tc>
          <w:tcPr>
            <w:tcW w:w="4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liabilities accounted for at fair value on a</w:t>
            </w:r>
          </w:p>
        </w:tc>
        <w:tc>
          <w:tcPr>
            <w:tcW w:w="2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1"/>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recurring basis</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(1,603,324)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(55,429)</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(1,547,895)</w:t>
            </w: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60" w:hanging="292"/>
        <w:spacing w:after="0"/>
        <w:tabs>
          <w:tab w:leader="none" w:pos="3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maturity securities available for sale</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consolidated balance sheets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liabilities and accrued expenses on the consolidated balance sheets</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December 31, 2022, the significant unobservable inputs used in the fair value measurements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7"/>
              </w:rPr>
              <w:t>Fair Value at</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Valuation</w:t>
            </w:r>
          </w:p>
        </w:tc>
        <w:tc>
          <w:tcPr>
            <w:tcW w:w="160" w:type="dxa"/>
            <w:vAlign w:val="bottom"/>
          </w:tcPr>
          <w:p>
            <w:pPr>
              <w:spacing w:after="0"/>
              <w:rPr>
                <w:sz w:val="20"/>
                <w:szCs w:val="20"/>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Significant</w:t>
            </w:r>
          </w:p>
        </w:tc>
        <w:tc>
          <w:tcPr>
            <w:tcW w:w="20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Range of Inputs</w:t>
            </w:r>
          </w:p>
        </w:tc>
        <w:tc>
          <w:tcPr>
            <w:tcW w:w="100" w:type="dxa"/>
            <w:vAlign w:val="bottom"/>
          </w:tcPr>
          <w:p>
            <w:pPr>
              <w:spacing w:after="0"/>
              <w:rPr>
                <w:sz w:val="20"/>
                <w:szCs w:val="20"/>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w w:val="94"/>
              </w:rPr>
              <w:t>Weighted</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7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Unobservable</w:t>
            </w:r>
          </w:p>
        </w:tc>
        <w:tc>
          <w:tcPr>
            <w:tcW w:w="160" w:type="dxa"/>
            <w:vAlign w:val="bottom"/>
          </w:tcPr>
          <w:p>
            <w:pPr>
              <w:spacing w:after="0"/>
              <w:rPr>
                <w:sz w:val="17"/>
                <w:szCs w:val="17"/>
                <w:color w:val="auto"/>
              </w:rPr>
            </w:pPr>
          </w:p>
        </w:tc>
        <w:tc>
          <w:tcPr>
            <w:tcW w:w="1060" w:type="dxa"/>
            <w:vAlign w:val="bottom"/>
            <w:tcBorders>
              <w:top w:val="single" w:sz="8" w:color="auto"/>
            </w:tcBorders>
            <w:gridSpan w:val="2"/>
          </w:tcPr>
          <w:p>
            <w:pPr>
              <w:jc w:val="right"/>
              <w:ind w:right="340"/>
              <w:spacing w:after="0" w:line="205" w:lineRule="exact"/>
              <w:rPr>
                <w:sz w:val="20"/>
                <w:szCs w:val="20"/>
                <w:color w:val="auto"/>
              </w:rPr>
            </w:pPr>
            <w:r>
              <w:rPr>
                <w:rFonts w:ascii="Times New Roman" w:cs="Times New Roman" w:eastAsia="Times New Roman" w:hAnsi="Times New Roman"/>
                <w:sz w:val="18"/>
                <w:szCs w:val="18"/>
                <w:color w:val="auto"/>
                <w:w w:val="97"/>
              </w:rPr>
              <w:t>Minimum</w:t>
            </w:r>
          </w:p>
        </w:tc>
        <w:tc>
          <w:tcPr>
            <w:tcW w:w="7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98"/>
              </w:rPr>
              <w:t>Maximum</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12/31/2022</w:t>
            </w:r>
          </w:p>
        </w:tc>
        <w:tc>
          <w:tcPr>
            <w:tcW w:w="28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Technique</w:t>
            </w:r>
          </w:p>
        </w:tc>
        <w:tc>
          <w:tcPr>
            <w:tcW w:w="160" w:type="dxa"/>
            <w:vAlign w:val="bottom"/>
          </w:tcPr>
          <w:p>
            <w:pPr>
              <w:spacing w:after="0"/>
              <w:rPr>
                <w:sz w:val="20"/>
                <w:szCs w:val="20"/>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Input(s)</w:t>
            </w: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Value</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Average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7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Investor contract</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pricing as a</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unpaid principal</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$141,179,620</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1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106.1%</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Derivatives - loan commitments</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2,706,877</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1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Pull-through rate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Initial-Value</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 bps</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 bps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 bps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sale</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1,435,519</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 quotes</w:t>
            </w:r>
          </w:p>
        </w:tc>
        <w:tc>
          <w:tcPr>
            <w:tcW w:w="1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Pricing quotes</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100.00</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111.11</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$ 104.97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December 31, 2021, the significant unobservable inputs used in the fair value measurements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Significant</w:t>
            </w:r>
          </w:p>
        </w:tc>
        <w:tc>
          <w:tcPr>
            <w:tcW w:w="20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Range of Inputs</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1"/>
        </w:trPr>
        <w:tc>
          <w:tcPr>
            <w:tcW w:w="2780" w:type="dxa"/>
            <w:vAlign w:val="bottom"/>
          </w:tcPr>
          <w:p>
            <w:pPr>
              <w:spacing w:after="0"/>
              <w:rPr>
                <w:sz w:val="16"/>
                <w:szCs w:val="16"/>
                <w:color w:val="auto"/>
              </w:rPr>
            </w:pPr>
          </w:p>
        </w:tc>
        <w:tc>
          <w:tcPr>
            <w:tcW w:w="1280" w:type="dxa"/>
            <w:vAlign w:val="bottom"/>
            <w:gridSpan w:val="2"/>
          </w:tcPr>
          <w:p>
            <w:pPr>
              <w:jc w:val="center"/>
              <w:ind w:right="280"/>
              <w:spacing w:after="0" w:line="191" w:lineRule="exact"/>
              <w:rPr>
                <w:sz w:val="20"/>
                <w:szCs w:val="20"/>
                <w:color w:val="auto"/>
              </w:rPr>
            </w:pPr>
            <w:r>
              <w:rPr>
                <w:rFonts w:ascii="Times New Roman" w:cs="Times New Roman" w:eastAsia="Times New Roman" w:hAnsi="Times New Roman"/>
                <w:sz w:val="18"/>
                <w:szCs w:val="18"/>
                <w:color w:val="auto"/>
                <w:w w:val="97"/>
              </w:rPr>
              <w:t>Fair Value at</w:t>
            </w:r>
          </w:p>
        </w:tc>
        <w:tc>
          <w:tcPr>
            <w:tcW w:w="1500" w:type="dxa"/>
            <w:vAlign w:val="bottom"/>
            <w:gridSpan w:val="2"/>
          </w:tcPr>
          <w:p>
            <w:pPr>
              <w:jc w:val="center"/>
              <w:ind w:right="160"/>
              <w:spacing w:after="0" w:line="191" w:lineRule="exact"/>
              <w:rPr>
                <w:sz w:val="20"/>
                <w:szCs w:val="20"/>
                <w:color w:val="auto"/>
              </w:rPr>
            </w:pPr>
            <w:r>
              <w:rPr>
                <w:rFonts w:ascii="Times New Roman" w:cs="Times New Roman" w:eastAsia="Times New Roman" w:hAnsi="Times New Roman"/>
                <w:sz w:val="18"/>
                <w:szCs w:val="18"/>
                <w:color w:val="auto"/>
                <w:w w:val="98"/>
              </w:rPr>
              <w:t>Valuation</w:t>
            </w:r>
          </w:p>
        </w:tc>
        <w:tc>
          <w:tcPr>
            <w:tcW w:w="1540" w:type="dxa"/>
            <w:vAlign w:val="bottom"/>
            <w:gridSpan w:val="2"/>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w w:val="99"/>
              </w:rPr>
              <w:t>Unobservable</w:t>
            </w:r>
          </w:p>
        </w:tc>
        <w:tc>
          <w:tcPr>
            <w:tcW w:w="1060" w:type="dxa"/>
            <w:vAlign w:val="bottom"/>
            <w:tcBorders>
              <w:top w:val="single" w:sz="8" w:color="auto"/>
            </w:tcBorders>
            <w:gridSpan w:val="2"/>
          </w:tcPr>
          <w:p>
            <w:pPr>
              <w:jc w:val="right"/>
              <w:ind w:right="340"/>
              <w:spacing w:after="0" w:line="191" w:lineRule="exact"/>
              <w:rPr>
                <w:sz w:val="20"/>
                <w:szCs w:val="20"/>
                <w:color w:val="auto"/>
              </w:rPr>
            </w:pPr>
            <w:r>
              <w:rPr>
                <w:rFonts w:ascii="Times New Roman" w:cs="Times New Roman" w:eastAsia="Times New Roman" w:hAnsi="Times New Roman"/>
                <w:sz w:val="18"/>
                <w:szCs w:val="18"/>
                <w:color w:val="auto"/>
                <w:w w:val="97"/>
              </w:rPr>
              <w:t>Minimum</w:t>
            </w: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8"/>
              </w:rPr>
              <w:t>Maximum</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line="191" w:lineRule="exact"/>
              <w:rPr>
                <w:sz w:val="20"/>
                <w:szCs w:val="20"/>
                <w:color w:val="auto"/>
              </w:rPr>
            </w:pPr>
            <w:r>
              <w:rPr>
                <w:rFonts w:ascii="Times New Roman" w:cs="Times New Roman" w:eastAsia="Times New Roman" w:hAnsi="Times New Roman"/>
                <w:sz w:val="18"/>
                <w:szCs w:val="18"/>
                <w:color w:val="auto"/>
                <w:w w:val="94"/>
              </w:rPr>
              <w:t>Weighted</w:t>
            </w:r>
          </w:p>
        </w:tc>
      </w:tr>
      <w:tr>
        <w:trPr>
          <w:trHeight w:val="248"/>
        </w:trPr>
        <w:tc>
          <w:tcPr>
            <w:tcW w:w="27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12/31/2021</w:t>
            </w:r>
          </w:p>
        </w:tc>
        <w:tc>
          <w:tcPr>
            <w:tcW w:w="280" w:type="dxa"/>
            <w:vAlign w:val="bottom"/>
          </w:tcPr>
          <w:p>
            <w:pPr>
              <w:spacing w:after="0"/>
              <w:rPr>
                <w:sz w:val="21"/>
                <w:szCs w:val="21"/>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Technique</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Input(s)</w:t>
            </w: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Value</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Average</w:t>
            </w:r>
          </w:p>
        </w:tc>
      </w:tr>
      <w:tr>
        <w:trPr>
          <w:trHeight w:val="191"/>
        </w:trPr>
        <w:tc>
          <w:tcPr>
            <w:tcW w:w="27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Investor contract</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2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pricing as a</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unpaid principal</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$302,776,827</w:t>
            </w:r>
          </w:p>
        </w:tc>
        <w:tc>
          <w:tcPr>
            <w:tcW w:w="1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109.0%</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16"/>
        </w:trPr>
        <w:tc>
          <w:tcPr>
            <w:tcW w:w="2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Derivatives - loan commitments</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7,015,515</w:t>
            </w:r>
          </w:p>
        </w:tc>
        <w:tc>
          <w:tcPr>
            <w:tcW w:w="1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Pull-through rate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16"/>
        </w:trPr>
        <w:tc>
          <w:tcPr>
            <w:tcW w:w="2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Initial-Value</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 bps</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 bps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 bps</w:t>
            </w:r>
          </w:p>
        </w:tc>
      </w:tr>
      <w:tr>
        <w:trPr>
          <w:trHeight w:val="216"/>
        </w:trPr>
        <w:tc>
          <w:tcPr>
            <w:tcW w:w="2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sale</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2,023,348</w:t>
            </w:r>
          </w:p>
        </w:tc>
        <w:tc>
          <w:tcPr>
            <w:tcW w:w="1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 quotes</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Pricing quotes</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96.87</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111.11</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$ 106.73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changes in the consolidated balance sheet line items measured using level 3 inputs:</w:t>
      </w:r>
    </w:p>
    <w:p>
      <w:pPr>
        <w:sectPr>
          <w:pgSz w:w="11900" w:h="16838" w:orient="portrait"/>
          <w:cols w:equalWidth="0" w:num="1">
            <w:col w:w="11240"/>
          </w:cols>
          <w:pgMar w:left="320" w:top="688" w:right="339" w:bottom="6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December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Originations/purchases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maturities and paydowns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 to mortgage loans held for investment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gains (losses):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Included in earnings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December 31, 2022</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2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Derivatives Loan</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Securities Available</w:t>
            </w:r>
          </w:p>
        </w:tc>
      </w:tr>
      <w:tr>
        <w:trPr>
          <w:trHeight w:val="234"/>
        </w:trPr>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Commitments</w:t>
            </w:r>
          </w:p>
        </w:tc>
        <w:tc>
          <w:tcPr>
            <w:tcW w:w="540" w:type="dxa"/>
            <w:vAlign w:val="bottom"/>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Loans Held for Sale</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for Sale</w:t>
            </w:r>
          </w:p>
        </w:tc>
        <w:tc>
          <w:tcPr>
            <w:tcW w:w="200" w:type="dxa"/>
            <w:vAlign w:val="bottom"/>
          </w:tcPr>
          <w:p>
            <w:pPr>
              <w:spacing w:after="0"/>
              <w:rPr>
                <w:sz w:val="20"/>
                <w:szCs w:val="20"/>
                <w:color w:val="auto"/>
              </w:rPr>
            </w:pPr>
          </w:p>
        </w:tc>
      </w:tr>
      <w:tr>
        <w:trPr>
          <w:trHeight w:val="40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7,015,515</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302,776,827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2,023,348</w:t>
            </w:r>
          </w:p>
        </w:tc>
        <w:tc>
          <w:tcPr>
            <w:tcW w:w="20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19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3,373,554,484</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9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(3,549,405,402)</w:t>
            </w:r>
          </w:p>
        </w:tc>
        <w:tc>
          <w:tcPr>
            <w:tcW w:w="18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(528,980)</w:t>
            </w:r>
          </w:p>
        </w:tc>
      </w:tr>
      <w:tr>
        <w:trPr>
          <w:trHeight w:val="234"/>
        </w:trPr>
        <w:tc>
          <w:tcPr>
            <w:tcW w:w="180" w:type="dxa"/>
            <w:vAlign w:val="bottom"/>
          </w:tcPr>
          <w:p>
            <w:pPr>
              <w:spacing w:after="0"/>
              <w:rPr>
                <w:sz w:val="20"/>
                <w:szCs w:val="20"/>
                <w:color w:val="auto"/>
              </w:rPr>
            </w:pPr>
          </w:p>
        </w:tc>
        <w:tc>
          <w:tcPr>
            <w:tcW w:w="19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(51,691,213)</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r>
      <w:tr>
        <w:trPr>
          <w:trHeight w:val="414"/>
        </w:trPr>
        <w:tc>
          <w:tcPr>
            <w:tcW w:w="180" w:type="dxa"/>
            <w:vAlign w:val="bottom"/>
          </w:tcPr>
          <w:p>
            <w:pPr>
              <w:spacing w:after="0"/>
              <w:rPr>
                <w:sz w:val="24"/>
                <w:szCs w:val="24"/>
                <w:color w:val="auto"/>
              </w:rPr>
            </w:pPr>
          </w:p>
        </w:tc>
        <w:tc>
          <w:tcPr>
            <w:tcW w:w="1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(4,308,638)(1)</w:t>
            </w:r>
          </w:p>
        </w:tc>
        <w:tc>
          <w:tcPr>
            <w:tcW w:w="280" w:type="dxa"/>
            <w:vAlign w:val="bottom"/>
          </w:tcPr>
          <w:p>
            <w:pPr>
              <w:spacing w:after="0"/>
              <w:rPr>
                <w:sz w:val="24"/>
                <w:szCs w:val="24"/>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65,944,924(1)</w:t>
            </w:r>
          </w:p>
        </w:tc>
        <w:tc>
          <w:tcPr>
            <w:tcW w:w="18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1,957(2)</w:t>
            </w:r>
          </w:p>
        </w:tc>
      </w:tr>
      <w:tr>
        <w:trPr>
          <w:trHeight w:val="248"/>
        </w:trPr>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(60,806)</w:t>
            </w:r>
          </w:p>
        </w:tc>
      </w:tr>
      <w:tr>
        <w:trPr>
          <w:trHeight w:val="453"/>
        </w:trPr>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2,706,877</w:t>
            </w:r>
          </w:p>
        </w:tc>
        <w:tc>
          <w:tcPr>
            <w:tcW w:w="54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141,179,620</w:t>
            </w:r>
          </w:p>
        </w:tc>
        <w:tc>
          <w:tcPr>
            <w:tcW w:w="42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1,435,519</w:t>
            </w:r>
          </w:p>
        </w:tc>
        <w:tc>
          <w:tcPr>
            <w:tcW w:w="200" w:type="dxa"/>
            <w:vAlign w:val="bottom"/>
          </w:tcPr>
          <w:p>
            <w:pPr>
              <w:spacing w:after="0"/>
              <w:rPr>
                <w:sz w:val="24"/>
                <w:szCs w:val="24"/>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-1293495</wp:posOffset>
            </wp:positionV>
            <wp:extent cx="71323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-1019175</wp:posOffset>
            </wp:positionV>
            <wp:extent cx="71323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-744855</wp:posOffset>
            </wp:positionV>
            <wp:extent cx="71323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-470535</wp:posOffset>
            </wp:positionV>
            <wp:extent cx="7132320" cy="145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-179070</wp:posOffset>
            </wp:positionV>
            <wp:extent cx="7132320"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520" w:space="720"/>
            <w:col w:w="6000"/>
          </w:cols>
          <w:pgMar w:left="320" w:top="688" w:right="339" w:bottom="650" w:gutter="0" w:footer="0" w:header="0"/>
          <w:type w:val="continuous"/>
        </w:sectPr>
      </w:pPr>
    </w:p>
    <w:p>
      <w:pPr>
        <w:ind w:left="360" w:hanging="292"/>
        <w:spacing w:after="0"/>
        <w:tabs>
          <w:tab w:leader="none" w:pos="3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consolidated statements of earnings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consolidated statements of earnings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is a summary of changes in the consolidated balance sheet line items measured using level 3 inputs:</w:t>
      </w:r>
    </w:p>
    <w:p>
      <w:pPr>
        <w:sectPr>
          <w:pgSz w:w="11900" w:h="16838" w:orient="portrait"/>
          <w:cols w:equalWidth="0" w:num="1">
            <w:col w:w="11240"/>
          </w:cols>
          <w:pgMar w:left="320" w:top="688" w:right="339" w:bottom="65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December 31,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Originations/purchases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maturities and paydowns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 to mortgage loans held for investment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gains (losses):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earnings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other comprehensive income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December 31, 2021</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Fixed Maturity</w:t>
            </w:r>
          </w:p>
        </w:tc>
      </w:tr>
      <w:tr>
        <w:trPr>
          <w:trHeight w:val="216"/>
        </w:trPr>
        <w:tc>
          <w:tcPr>
            <w:tcW w:w="140" w:type="dxa"/>
            <w:vAlign w:val="bottom"/>
          </w:tcPr>
          <w:p>
            <w:pPr>
              <w:spacing w:after="0"/>
              <w:rPr>
                <w:sz w:val="18"/>
                <w:szCs w:val="18"/>
                <w:color w:val="auto"/>
              </w:rPr>
            </w:pPr>
          </w:p>
        </w:tc>
        <w:tc>
          <w:tcPr>
            <w:tcW w:w="18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Net Derivatives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Available</w:t>
            </w:r>
          </w:p>
        </w:tc>
      </w:tr>
      <w:tr>
        <w:trPr>
          <w:trHeight w:val="234"/>
        </w:trPr>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Loan Commitments</w:t>
            </w:r>
          </w:p>
        </w:tc>
        <w:tc>
          <w:tcPr>
            <w:tcW w:w="460" w:type="dxa"/>
            <w:vAlign w:val="bottom"/>
          </w:tcPr>
          <w:p>
            <w:pPr>
              <w:spacing w:after="0"/>
              <w:rPr>
                <w:sz w:val="20"/>
                <w:szCs w:val="20"/>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for Sale</w:t>
            </w:r>
          </w:p>
        </w:tc>
        <w:tc>
          <w:tcPr>
            <w:tcW w:w="220" w:type="dxa"/>
            <w:vAlign w:val="bottom"/>
          </w:tcPr>
          <w:p>
            <w:pPr>
              <w:spacing w:after="0"/>
              <w:rPr>
                <w:sz w:val="20"/>
                <w:szCs w:val="20"/>
                <w:color w:val="auto"/>
              </w:rPr>
            </w:pPr>
          </w:p>
        </w:tc>
      </w:tr>
      <w:tr>
        <w:trPr>
          <w:trHeight w:val="407"/>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10,128,610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422,772,418</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2,201,175</w:t>
            </w:r>
          </w:p>
        </w:tc>
        <w:tc>
          <w:tcPr>
            <w:tcW w:w="220" w:type="dxa"/>
            <w:vAlign w:val="bottom"/>
          </w:tcPr>
          <w:p>
            <w:pPr>
              <w:spacing w:after="0"/>
              <w:rPr>
                <w:sz w:val="24"/>
                <w:szCs w:val="24"/>
                <w:color w:val="auto"/>
              </w:rPr>
            </w:pPr>
          </w:p>
        </w:tc>
      </w:tr>
      <w:tr>
        <w:trPr>
          <w:trHeight w:val="216"/>
        </w:trPr>
        <w:tc>
          <w:tcPr>
            <w:tcW w:w="140" w:type="dxa"/>
            <w:vAlign w:val="bottom"/>
          </w:tcPr>
          <w:p>
            <w:pPr>
              <w:spacing w:after="0"/>
              <w:rPr>
                <w:sz w:val="18"/>
                <w:szCs w:val="18"/>
                <w:color w:val="auto"/>
              </w:rPr>
            </w:pP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5,611,189,587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(5,900,076,766)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(45,700)</w:t>
            </w:r>
          </w:p>
        </w:tc>
      </w:tr>
      <w:tr>
        <w:trPr>
          <w:trHeight w:val="234"/>
        </w:trPr>
        <w:tc>
          <w:tcPr>
            <w:tcW w:w="140" w:type="dxa"/>
            <w:vAlign w:val="bottom"/>
          </w:tcPr>
          <w:p>
            <w:pPr>
              <w:spacing w:after="0"/>
              <w:rPr>
                <w:sz w:val="20"/>
                <w:szCs w:val="20"/>
                <w:color w:val="auto"/>
              </w:rPr>
            </w:pP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(201,951)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414"/>
        </w:trPr>
        <w:tc>
          <w:tcPr>
            <w:tcW w:w="140" w:type="dxa"/>
            <w:vAlign w:val="bottom"/>
          </w:tcPr>
          <w:p>
            <w:pPr>
              <w:spacing w:after="0"/>
              <w:rPr>
                <w:sz w:val="24"/>
                <w:szCs w:val="24"/>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(3,113,095)(1)</w:t>
            </w:r>
          </w:p>
        </w:tc>
        <w:tc>
          <w:tcPr>
            <w:tcW w:w="240" w:type="dxa"/>
            <w:vAlign w:val="bottom"/>
          </w:tcPr>
          <w:p>
            <w:pPr>
              <w:spacing w:after="0"/>
              <w:rPr>
                <w:sz w:val="24"/>
                <w:szCs w:val="24"/>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169,093,539(1)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3,674(2)</w:t>
            </w:r>
          </w:p>
        </w:tc>
      </w:tr>
      <w:tr>
        <w:trPr>
          <w:trHeight w:val="234"/>
        </w:trPr>
        <w:tc>
          <w:tcPr>
            <w:tcW w:w="140" w:type="dxa"/>
            <w:vAlign w:val="bottom"/>
          </w:tcPr>
          <w:p>
            <w:pPr>
              <w:spacing w:after="0"/>
              <w:rPr>
                <w:sz w:val="20"/>
                <w:szCs w:val="20"/>
                <w:color w:val="auto"/>
              </w:rPr>
            </w:pP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(135,801)</w:t>
            </w:r>
          </w:p>
        </w:tc>
      </w:tr>
      <w:tr>
        <w:trPr>
          <w:trHeight w:val="230"/>
        </w:trPr>
        <w:tc>
          <w:tcPr>
            <w:tcW w:w="140" w:type="dxa"/>
            <w:vAlign w:val="bottom"/>
          </w:tcPr>
          <w:p>
            <w:pPr>
              <w:spacing w:after="0"/>
              <w:rPr>
                <w:sz w:val="19"/>
                <w:szCs w:val="19"/>
                <w:color w:val="auto"/>
              </w:rPr>
            </w:pPr>
          </w:p>
        </w:tc>
        <w:tc>
          <w:tcPr>
            <w:tcW w:w="182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spacing w:after="0"/>
              <w:rPr>
                <w:sz w:val="19"/>
                <w:szCs w:val="19"/>
                <w:color w:val="auto"/>
              </w:rPr>
            </w:pPr>
          </w:p>
        </w:tc>
        <w:tc>
          <w:tcPr>
            <w:tcW w:w="140" w:type="dxa"/>
            <w:vAlign w:val="bottom"/>
            <w:gridSpan w:val="2"/>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7,015,515</w:t>
            </w:r>
          </w:p>
        </w:tc>
        <w:tc>
          <w:tcPr>
            <w:tcW w:w="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302,776,827</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2,023,348</w:t>
            </w:r>
          </w:p>
        </w:tc>
        <w:tc>
          <w:tcPr>
            <w:tcW w:w="220" w:type="dxa"/>
            <w:vAlign w:val="bottom"/>
          </w:tcPr>
          <w:p>
            <w:pPr>
              <w:spacing w:after="0"/>
              <w:rPr>
                <w:sz w:val="19"/>
                <w:szCs w:val="19"/>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-1285240</wp:posOffset>
            </wp:positionV>
            <wp:extent cx="641223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-1010920</wp:posOffset>
            </wp:positionV>
            <wp:extent cx="641223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-736600</wp:posOffset>
            </wp:positionV>
            <wp:extent cx="641223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-462280</wp:posOffset>
            </wp:positionV>
            <wp:extent cx="641223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-179070</wp:posOffset>
            </wp:positionV>
            <wp:extent cx="6412230" cy="162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760" w:space="720"/>
            <w:col w:w="6760"/>
          </w:cols>
          <w:pgMar w:left="320" w:top="688" w:right="339" w:bottom="650" w:gutter="0" w:footer="0" w:header="0"/>
          <w:type w:val="continuous"/>
        </w:sectPr>
      </w:pPr>
    </w:p>
    <w:p>
      <w:pPr>
        <w:ind w:left="360" w:hanging="292"/>
        <w:spacing w:after="0"/>
        <w:tabs>
          <w:tab w:leader="none" w:pos="3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consolidated statements of earnings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consolidated statements of earnings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65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 Level 1, 2 and 3 financial assets and financial liabilities measured at fair value on a nonrecurring basis by their classification in the consolidated balance sheet at December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Active Markets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Significant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 Identical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Observable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Assets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Inputs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3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178"/>
        </w:trPr>
        <w:tc>
          <w:tcPr>
            <w:tcW w:w="35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Assets accounted for at fair value on a</w:t>
            </w: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basis</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Impaired mortgage loans held for investment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794,224</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794,224</w:t>
            </w:r>
          </w:p>
        </w:tc>
      </w:tr>
      <w:tr>
        <w:trPr>
          <w:trHeight w:val="178"/>
        </w:trPr>
        <w:tc>
          <w:tcPr>
            <w:tcW w:w="35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assets accounted for at fair value on</w:t>
            </w: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61"/>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nonrecurring basis</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794,224</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794,224</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 Level 1, 2 and 3 financial assets and financial liabilities measured at fair value on a nonrecurring basis by their classification in the consolidated balance sheet at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Active Markets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Significant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Significant</w:t>
            </w:r>
          </w:p>
        </w:tc>
        <w:tc>
          <w:tcPr>
            <w:tcW w:w="114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 Identical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Observable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c>
          <w:tcPr>
            <w:tcW w:w="114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Assets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Inputs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Inputs</w:t>
            </w:r>
          </w:p>
        </w:tc>
        <w:tc>
          <w:tcPr>
            <w:tcW w:w="114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(Level 3)</w:t>
            </w:r>
          </w:p>
        </w:tc>
        <w:tc>
          <w:tcPr>
            <w:tcW w:w="1140" w:type="dxa"/>
            <w:vAlign w:val="bottom"/>
          </w:tcPr>
          <w:p>
            <w:pPr>
              <w:spacing w:after="0"/>
              <w:rPr>
                <w:sz w:val="20"/>
                <w:szCs w:val="20"/>
                <w:color w:val="auto"/>
              </w:rPr>
            </w:pPr>
          </w:p>
        </w:tc>
      </w:tr>
      <w:tr>
        <w:trPr>
          <w:trHeight w:val="178"/>
        </w:trPr>
        <w:tc>
          <w:tcPr>
            <w:tcW w:w="35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Assets accounted for at fair value on a</w:t>
            </w: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234"/>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basis</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Impaired mortgage loans held for investment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851,903</w:t>
            </w: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851,903</w:t>
            </w:r>
          </w:p>
        </w:tc>
        <w:tc>
          <w:tcPr>
            <w:tcW w:w="1140" w:type="dxa"/>
            <w:vAlign w:val="bottom"/>
          </w:tcPr>
          <w:p>
            <w:pPr>
              <w:spacing w:after="0"/>
              <w:rPr>
                <w:sz w:val="18"/>
                <w:szCs w:val="18"/>
                <w:color w:val="auto"/>
              </w:rPr>
            </w:pPr>
          </w:p>
        </w:tc>
      </w:tr>
      <w:tr>
        <w:trPr>
          <w:trHeight w:val="23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Impaired real estate held for sale</w:t>
            </w: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2,000,000</w:t>
            </w:r>
          </w:p>
        </w:tc>
        <w:tc>
          <w:tcPr>
            <w:tcW w:w="12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2,000,000</w:t>
            </w:r>
          </w:p>
        </w:tc>
        <w:tc>
          <w:tcPr>
            <w:tcW w:w="1140" w:type="dxa"/>
            <w:vAlign w:val="bottom"/>
          </w:tcPr>
          <w:p>
            <w:pPr>
              <w:spacing w:after="0"/>
              <w:rPr>
                <w:sz w:val="19"/>
                <w:szCs w:val="19"/>
                <w:color w:val="auto"/>
              </w:rPr>
            </w:pPr>
          </w:p>
        </w:tc>
      </w:tr>
      <w:tr>
        <w:trPr>
          <w:trHeight w:val="178"/>
        </w:trPr>
        <w:tc>
          <w:tcPr>
            <w:tcW w:w="35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assets accounted for at fair value on</w:t>
            </w:r>
          </w:p>
        </w:tc>
        <w:tc>
          <w:tcPr>
            <w:tcW w:w="3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61"/>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 nonrecurring basis</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2,851,903</w:t>
            </w: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2,851,903</w:t>
            </w:r>
          </w:p>
        </w:tc>
        <w:tc>
          <w:tcPr>
            <w:tcW w:w="1140" w:type="dxa"/>
            <w:vAlign w:val="bottom"/>
          </w:tcPr>
          <w:p>
            <w:pPr>
              <w:spacing w:after="0"/>
              <w:rPr>
                <w:sz w:val="22"/>
                <w:szCs w:val="22"/>
                <w:color w:val="auto"/>
              </w:rPr>
            </w:pPr>
          </w:p>
        </w:tc>
      </w:tr>
      <w:tr>
        <w:trPr>
          <w:trHeight w:val="20"/>
        </w:trPr>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9"/>
        </w:trPr>
        <w:tc>
          <w:tcPr>
            <w:tcW w:w="3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Carried at Other Than Fair Value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ASC 825, Financial Instruments, requires disclosure of fair value information about financial instruments, whether or not recognized in the balance sheet, for which it is practicable to estimate that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at December 31, 2022 and 2021.</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December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90,290,776</w:t>
            </w:r>
          </w:p>
        </w:tc>
        <w:tc>
          <w:tcPr>
            <w:tcW w:w="11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88,575,293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88,575,293</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172,139,077</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172,139,077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172,139,077</w:t>
            </w:r>
          </w:p>
        </w:tc>
      </w:tr>
      <w:tr>
        <w:trPr>
          <w:trHeight w:val="22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45,694,074</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44,079,537</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44,079,537</w:t>
            </w: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308,123,927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304,793,907</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304,793,907</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13,095,473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13,095,473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13,095,473</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45,332,585</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45,332,585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45,332,585</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1,731,469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1,731,469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1,731,469</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1,506,517</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1,506,517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1,506,517</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3,039,765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3,927,877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3,927,877</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(161,712,804)</w:t>
            </w:r>
          </w:p>
        </w:tc>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(161,712,804)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(161,712,804)</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(41,146,171)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(42,181,089)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(42,181,089)</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 - annuities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(106,637,094)</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(126,078,031)</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(126,078,031)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60" w:hanging="292"/>
        <w:spacing w:after="0"/>
        <w:tabs>
          <w:tab w:leader="none" w:pos="3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consolidated balance sheets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loans held for investment</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future policy benefits and unpaid claims on the consolidated balance sheets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51,396,172</w:t>
            </w:r>
          </w:p>
        </w:tc>
        <w:tc>
          <w:tcPr>
            <w:tcW w:w="11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55,159,167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55,159,167</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174,691,408</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174,691,408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174,691,408</w:t>
            </w:r>
          </w:p>
        </w:tc>
      </w:tr>
      <w:tr>
        <w:trPr>
          <w:trHeight w:val="22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51,218,466</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51,008,709</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51,008,709</w:t>
            </w: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277,306,046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280,859,284</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280,859,284</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13,478,214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13,478,214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13,478,214</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46,946,590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46,946,590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46,946,590</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2,732,320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2,732,320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2,732,320</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1,823,533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1,823,533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1,823,533</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53,060,455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68,811,809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68,811,809</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(251,286,927)</w:t>
            </w:r>
          </w:p>
        </w:tc>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(251,286,927)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(251,286,927)</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(42,939,055)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(35,855,934)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(35,855,934)</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 - annuities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(107,992,830)</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(116,215,717)</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(116,215,717)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60" w:hanging="292"/>
        <w:spacing w:after="0"/>
        <w:tabs>
          <w:tab w:leader="none" w:pos="3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consolidated balance sheets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loans held for investment</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future policy benefits and unpaid claims on the consolidated balance sheets</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methods, assumptions and significant valuation techniques and inputs used to estimate the fair value of financial instruments are summarized as follows: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Mortgage Loans Held for Investment</w:t>
      </w:r>
      <w:r>
        <w:rPr>
          <w:rFonts w:ascii="Times New Roman" w:cs="Times New Roman" w:eastAsia="Times New Roman" w:hAnsi="Times New Roman"/>
          <w:sz w:val="18"/>
          <w:szCs w:val="18"/>
          <w:color w:val="auto"/>
        </w:rPr>
        <w:t>: The estimated fair value of the Company’s mortgage loans held for investment is determined using various methods.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Residential — The estimated fair value of mortgage loans is determined through a combination of discounted cash flows (estimating expected future cash flows of payments and discounting them using current interest rates from single family mortgages) and considering pricing of similar loans that were sold recently.</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Residential Construction — These loans are primarily short in maturity. Accordingly, the estimated fair value is determined to be the carrying value.</w:t>
      </w:r>
    </w:p>
    <w:p>
      <w:pPr>
        <w:spacing w:after="0" w:line="162"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Commercial — The estimated fair value is determined by estimating expected future cash flows of payments and discounting them using current interest rates for commercial mortgages.</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Policy Loans</w:t>
      </w:r>
      <w:r>
        <w:rPr>
          <w:rFonts w:ascii="Times New Roman" w:cs="Times New Roman" w:eastAsia="Times New Roman" w:hAnsi="Times New Roman"/>
          <w:sz w:val="18"/>
          <w:szCs w:val="18"/>
          <w:color w:val="auto"/>
        </w:rPr>
        <w:t>: The carrying amounts reported in the accompanying consolidated balance sheet for these financial instruments approximate their fair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they are fully collateralized by the cash surrender value of the underlying insurance policies.</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Insurance Assignments, Net</w:t>
      </w:r>
      <w:r>
        <w:rPr>
          <w:rFonts w:ascii="Times New Roman" w:cs="Times New Roman" w:eastAsia="Times New Roman" w:hAnsi="Times New Roman"/>
          <w:sz w:val="18"/>
          <w:szCs w:val="18"/>
          <w:color w:val="auto"/>
        </w:rPr>
        <w:t>: These investments are short in maturity. Accordingly, the carrying amounts reported in the accompanying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for these financial instruments approximate their fair values.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ind w:right="90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Bank and Other Loans Payable</w:t>
      </w:r>
      <w:r>
        <w:rPr>
          <w:rFonts w:ascii="Times New Roman" w:cs="Times New Roman" w:eastAsia="Times New Roman" w:hAnsi="Times New Roman"/>
          <w:sz w:val="18"/>
          <w:szCs w:val="18"/>
          <w:color w:val="auto"/>
        </w:rPr>
        <w:t>: The carrying amounts reported in the accompanying consolidated balance sheet for these financial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 their fair values due to their relatively short-term maturities and variable interest rates.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Policyholder Account Balances and Future Policy Benefits-Annuities</w:t>
      </w:r>
      <w:r>
        <w:rPr>
          <w:rFonts w:ascii="Times New Roman" w:cs="Times New Roman" w:eastAsia="Times New Roman" w:hAnsi="Times New Roman"/>
          <w:sz w:val="18"/>
          <w:szCs w:val="18"/>
          <w:color w:val="auto"/>
        </w:rPr>
        <w:t>: Future policy benefit reserves for interest-sensitive insurance products are computed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 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1.5% to 6.5%. The fair values for these investment-type insurance contracts are estimated based on the present value of liability cash flows. 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185" w:lineRule="exact"/>
        <w:rPr>
          <w:sz w:val="20"/>
          <w:szCs w:val="20"/>
          <w:color w:val="auto"/>
        </w:rPr>
      </w:pPr>
    </w:p>
    <w:p>
      <w:pPr>
        <w:ind w:left="300" w:hanging="292"/>
        <w:spacing w:after="0"/>
        <w:tabs>
          <w:tab w:leader="none" w:pos="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Accumulated Other Comprehensive Income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changes in accumulated other comprehensive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9"/>
                <w:szCs w:val="19"/>
                <w:color w:val="auto"/>
              </w:rPr>
            </w:pPr>
          </w:p>
        </w:tc>
      </w:tr>
      <w:tr>
        <w:trPr>
          <w:trHeight w:val="209"/>
        </w:trPr>
        <w:tc>
          <w:tcPr>
            <w:tcW w:w="5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on fixed maturity securities available for sale</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(39,493,861)</w:t>
            </w: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(7,323,241)</w:t>
            </w: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into net earnings</w:t>
            </w:r>
          </w:p>
        </w:tc>
        <w:tc>
          <w:tcPr>
            <w:tcW w:w="340" w:type="dxa"/>
            <w:vAlign w:val="bottom"/>
          </w:tcPr>
          <w:p>
            <w:pPr>
              <w:spacing w:after="0"/>
              <w:rPr>
                <w:sz w:val="19"/>
                <w:szCs w:val="19"/>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162,173</w:t>
            </w:r>
          </w:p>
        </w:tc>
        <w:tc>
          <w:tcPr>
            <w:tcW w:w="460" w:type="dxa"/>
            <w:vAlign w:val="bottom"/>
          </w:tcPr>
          <w:p>
            <w:pPr>
              <w:spacing w:after="0"/>
              <w:rPr>
                <w:sz w:val="19"/>
                <w:szCs w:val="19"/>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805,510</w:t>
            </w: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 before taxes</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(39,331,688)</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(6,517,731)</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Tax expense</w:t>
            </w:r>
          </w:p>
        </w:tc>
        <w:tc>
          <w:tcPr>
            <w:tcW w:w="340" w:type="dxa"/>
            <w:vAlign w:val="bottom"/>
          </w:tcPr>
          <w:p>
            <w:pPr>
              <w:spacing w:after="0"/>
              <w:rPr>
                <w:sz w:val="19"/>
                <w:szCs w:val="19"/>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8,259,656</w:t>
            </w:r>
          </w:p>
        </w:tc>
        <w:tc>
          <w:tcPr>
            <w:tcW w:w="460" w:type="dxa"/>
            <w:vAlign w:val="bottom"/>
          </w:tcPr>
          <w:p>
            <w:pPr>
              <w:spacing w:after="0"/>
              <w:rPr>
                <w:sz w:val="19"/>
                <w:szCs w:val="19"/>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1,368,721</w:t>
            </w:r>
          </w:p>
        </w:tc>
      </w:tr>
      <w:tr>
        <w:trPr>
          <w:trHeight w:val="210"/>
        </w:trPr>
        <w:tc>
          <w:tcPr>
            <w:tcW w:w="56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(31,072,032</w:t>
            </w:r>
          </w:p>
        </w:tc>
        <w:tc>
          <w:tcPr>
            <w:tcW w:w="260" w:type="dxa"/>
            <w:vAlign w:val="bottom"/>
            <w:tcBorders>
              <w:top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(5,149,010</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on restricted assets (1)</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(71,035)</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(23,250)</w:t>
            </w:r>
          </w:p>
        </w:tc>
        <w:tc>
          <w:tcPr>
            <w:tcW w:w="80" w:type="dxa"/>
            <w:vAlign w:val="bottom"/>
          </w:tcPr>
          <w:p>
            <w:pPr>
              <w:spacing w:after="0"/>
              <w:rPr>
                <w:sz w:val="18"/>
                <w:szCs w:val="18"/>
                <w:color w:val="auto"/>
              </w:rPr>
            </w:pP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17,695</w:t>
            </w: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5,792</w:t>
            </w:r>
          </w:p>
        </w:tc>
      </w:tr>
      <w:tr>
        <w:trPr>
          <w:trHeight w:val="210"/>
        </w:trPr>
        <w:tc>
          <w:tcPr>
            <w:tcW w:w="5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(53,340</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(17,458</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on cemetery perpetual care trust investments (1)</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(20,446)</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80" w:type="dxa"/>
            <w:vAlign w:val="bottom"/>
            <w:shd w:val="clear" w:color="auto" w:fill="CCEEFF"/>
          </w:tcPr>
          <w:p>
            <w:pPr>
              <w:spacing w:after="0"/>
              <w:rPr>
                <w:sz w:val="18"/>
                <w:szCs w:val="18"/>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Tax expense</w:t>
            </w:r>
          </w:p>
        </w:tc>
        <w:tc>
          <w:tcPr>
            <w:tcW w:w="340" w:type="dxa"/>
            <w:vAlign w:val="bottom"/>
          </w:tcPr>
          <w:p>
            <w:pPr>
              <w:spacing w:after="0"/>
              <w:rPr>
                <w:sz w:val="19"/>
                <w:szCs w:val="19"/>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5,093</w:t>
            </w:r>
          </w:p>
        </w:tc>
        <w:tc>
          <w:tcPr>
            <w:tcW w:w="460" w:type="dxa"/>
            <w:vAlign w:val="bottom"/>
          </w:tcPr>
          <w:p>
            <w:pPr>
              <w:spacing w:after="0"/>
              <w:rPr>
                <w:sz w:val="19"/>
                <w:szCs w:val="19"/>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2,769</w:t>
            </w:r>
          </w:p>
        </w:tc>
      </w:tr>
      <w:tr>
        <w:trPr>
          <w:trHeight w:val="209"/>
        </w:trPr>
        <w:tc>
          <w:tcPr>
            <w:tcW w:w="56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(15,353</w:t>
            </w:r>
          </w:p>
        </w:tc>
        <w:tc>
          <w:tcPr>
            <w:tcW w:w="260" w:type="dxa"/>
            <w:vAlign w:val="bottom"/>
            <w:tcBorders>
              <w:top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for foreign currency translations adjustments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80" w:type="dxa"/>
            <w:vAlign w:val="bottom"/>
          </w:tcPr>
          <w:p>
            <w:pPr>
              <w:spacing w:after="0"/>
              <w:rPr>
                <w:sz w:val="18"/>
                <w:szCs w:val="18"/>
                <w:color w:val="auto"/>
              </w:rPr>
            </w:pP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10"/>
        </w:trPr>
        <w:tc>
          <w:tcPr>
            <w:tcW w:w="5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80" w:type="dxa"/>
            <w:vAlign w:val="bottom"/>
            <w:tcBorders>
              <w:bottom w:val="single" w:sz="8" w:color="CCEEFF"/>
            </w:tcBorders>
          </w:tcPr>
          <w:p>
            <w:pPr>
              <w:spacing w:after="0"/>
              <w:rPr>
                <w:sz w:val="18"/>
                <w:szCs w:val="18"/>
                <w:color w:val="auto"/>
              </w:rPr>
            </w:pPr>
          </w:p>
        </w:tc>
      </w:tr>
      <w:tr>
        <w:trPr>
          <w:trHeight w:val="22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changes</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(31,140,725</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(5,172,685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is the accumulated balances of other comprehensive income as of December 31, 2022:</w:t>
            </w: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Ending Balance</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Beginning Balance</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December 31, 2021</w:t>
            </w:r>
          </w:p>
        </w:tc>
        <w:tc>
          <w:tcPr>
            <w:tcW w:w="200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color w:val="auto"/>
              </w:rPr>
              <w:t>Change for the period</w:t>
            </w:r>
          </w:p>
        </w:tc>
        <w:tc>
          <w:tcPr>
            <w:tcW w:w="180" w:type="dxa"/>
            <w:vAlign w:val="bottom"/>
          </w:tcPr>
          <w:p>
            <w:pPr>
              <w:spacing w:after="0"/>
              <w:rPr>
                <w:sz w:val="20"/>
                <w:szCs w:val="20"/>
                <w:color w:val="auto"/>
              </w:rPr>
            </w:pPr>
          </w:p>
        </w:tc>
        <w:tc>
          <w:tcPr>
            <w:tcW w:w="15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8"/>
        </w:trPr>
        <w:tc>
          <w:tcPr>
            <w:tcW w:w="54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Unrealized gains (losses) on fixed maturity securities</w:t>
            </w:r>
          </w:p>
        </w:tc>
        <w:tc>
          <w:tcPr>
            <w:tcW w:w="12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18,021,265</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(31,072,032)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(13,050,767)</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restricted assets (1)</w:t>
            </w:r>
          </w:p>
        </w:tc>
        <w:tc>
          <w:tcPr>
            <w:tcW w:w="12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40,192</w:t>
            </w:r>
          </w:p>
        </w:tc>
        <w:tc>
          <w:tcPr>
            <w:tcW w:w="440" w:type="dxa"/>
            <w:vAlign w:val="bottom"/>
          </w:tcPr>
          <w:p>
            <w:pPr>
              <w:spacing w:after="0"/>
              <w:rPr>
                <w:sz w:val="18"/>
                <w:szCs w:val="18"/>
                <w:color w:val="auto"/>
              </w:rPr>
            </w:pPr>
          </w:p>
        </w:tc>
        <w:tc>
          <w:tcPr>
            <w:tcW w:w="15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(53,340)</w:t>
            </w:r>
          </w:p>
        </w:tc>
        <w:tc>
          <w:tcPr>
            <w:tcW w:w="180" w:type="dxa"/>
            <w:vAlign w:val="bottom"/>
          </w:tcPr>
          <w:p>
            <w:pPr>
              <w:spacing w:after="0"/>
              <w:rPr>
                <w:sz w:val="18"/>
                <w:szCs w:val="18"/>
                <w:color w:val="auto"/>
              </w:rPr>
            </w:pP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(13,148)</w:t>
            </w:r>
          </w:p>
        </w:tc>
      </w:tr>
      <w:tr>
        <w:trPr>
          <w:trHeight w:val="198"/>
        </w:trPr>
        <w:tc>
          <w:tcPr>
            <w:tcW w:w="5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gains (losses) on cemetery perpetual</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care trust investments (1)</w:t>
            </w:r>
          </w:p>
        </w:tc>
        <w:tc>
          <w:tcPr>
            <w:tcW w:w="12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8,991</w:t>
            </w:r>
          </w:p>
        </w:tc>
        <w:tc>
          <w:tcPr>
            <w:tcW w:w="4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(15,353)</w:t>
            </w:r>
          </w:p>
        </w:tc>
        <w:tc>
          <w:tcPr>
            <w:tcW w:w="18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(6,362)</w:t>
            </w: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18,070,448</w:t>
            </w:r>
          </w:p>
        </w:tc>
        <w:tc>
          <w:tcPr>
            <w:tcW w:w="36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(31,140,725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(13,070,277</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the accumulated balances of other comprehensive income as of December 31,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Beginning Balance</w:t>
            </w: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Ending Balance</w:t>
            </w: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December 31, 2020</w:t>
            </w:r>
          </w:p>
        </w:tc>
        <w:tc>
          <w:tcPr>
            <w:tcW w:w="200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color w:val="auto"/>
              </w:rPr>
              <w:t>Change for the period</w:t>
            </w:r>
          </w:p>
        </w:tc>
        <w:tc>
          <w:tcPr>
            <w:tcW w:w="10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178"/>
        </w:trPr>
        <w:tc>
          <w:tcPr>
            <w:tcW w:w="54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Unrealized gains (losses) on fixed maturity securities</w:t>
            </w:r>
          </w:p>
        </w:tc>
        <w:tc>
          <w:tcPr>
            <w:tcW w:w="12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23,170,275</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(5,149,010)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18,021,265</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restricted assets (1)</w:t>
            </w:r>
          </w:p>
        </w:tc>
        <w:tc>
          <w:tcPr>
            <w:tcW w:w="12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57,650</w:t>
            </w:r>
          </w:p>
        </w:tc>
        <w:tc>
          <w:tcPr>
            <w:tcW w:w="500" w:type="dxa"/>
            <w:vAlign w:val="bottom"/>
          </w:tcPr>
          <w:p>
            <w:pPr>
              <w:spacing w:after="0"/>
              <w:rPr>
                <w:sz w:val="18"/>
                <w:szCs w:val="18"/>
                <w:color w:val="auto"/>
              </w:rPr>
            </w:pPr>
          </w:p>
        </w:tc>
        <w:tc>
          <w:tcPr>
            <w:tcW w:w="15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(17,458)</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40,192</w:t>
            </w:r>
          </w:p>
        </w:tc>
      </w:tr>
      <w:tr>
        <w:trPr>
          <w:trHeight w:val="198"/>
        </w:trPr>
        <w:tc>
          <w:tcPr>
            <w:tcW w:w="5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gains (losses) on cemetery perpetual</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care trust investments (1)</w:t>
            </w:r>
          </w:p>
        </w:tc>
        <w:tc>
          <w:tcPr>
            <w:tcW w:w="12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17,336</w:t>
            </w:r>
          </w:p>
        </w:tc>
        <w:tc>
          <w:tcPr>
            <w:tcW w:w="5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(8,345)</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8,991</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tcPr>
          <w:p>
            <w:pPr>
              <w:spacing w:after="0"/>
              <w:rPr>
                <w:sz w:val="19"/>
                <w:szCs w:val="19"/>
                <w:color w:val="auto"/>
              </w:rPr>
            </w:pP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(2,128)</w:t>
            </w:r>
          </w:p>
        </w:tc>
        <w:tc>
          <w:tcPr>
            <w:tcW w:w="500" w:type="dxa"/>
            <w:vAlign w:val="bottom"/>
          </w:tcPr>
          <w:p>
            <w:pPr>
              <w:spacing w:after="0"/>
              <w:rPr>
                <w:sz w:val="19"/>
                <w:szCs w:val="19"/>
                <w:color w:val="auto"/>
              </w:rPr>
            </w:pPr>
          </w:p>
        </w:tc>
        <w:tc>
          <w:tcPr>
            <w:tcW w:w="15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23,243,133</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(5,172,685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18,070,448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fair value and notional amounts of derivative instruments.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Balance Sheet</w:t>
            </w:r>
          </w:p>
        </w:tc>
        <w:tc>
          <w:tcPr>
            <w:tcW w:w="180" w:type="dxa"/>
            <w:vAlign w:val="bottom"/>
          </w:tcPr>
          <w:p>
            <w:pPr>
              <w:spacing w:after="0"/>
              <w:rPr>
                <w:sz w:val="20"/>
                <w:szCs w:val="20"/>
                <w:color w:val="auto"/>
              </w:rPr>
            </w:pPr>
          </w:p>
        </w:tc>
        <w:tc>
          <w:tcPr>
            <w:tcW w:w="24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December 31, 2022</w:t>
            </w: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color w:val="auto"/>
              </w:rPr>
              <w:t>December 31, 2021</w:t>
            </w: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20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1120" w:type="dxa"/>
            <w:vAlign w:val="bottom"/>
            <w:gridSpan w:val="2"/>
          </w:tcPr>
          <w:p>
            <w:pPr>
              <w:jc w:val="right"/>
              <w:ind w:right="320"/>
              <w:spacing w:after="0" w:line="191" w:lineRule="exact"/>
              <w:rPr>
                <w:sz w:val="20"/>
                <w:szCs w:val="20"/>
                <w:color w:val="auto"/>
              </w:rPr>
            </w:pPr>
            <w:r>
              <w:rPr>
                <w:rFonts w:ascii="Times New Roman" w:cs="Times New Roman" w:eastAsia="Times New Roman" w:hAnsi="Times New Roman"/>
                <w:sz w:val="18"/>
                <w:szCs w:val="18"/>
                <w:color w:val="auto"/>
              </w:rPr>
              <w:t>Asset Fair</w:t>
            </w:r>
          </w:p>
        </w:tc>
        <w:tc>
          <w:tcPr>
            <w:tcW w:w="8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Liability</w:t>
            </w:r>
          </w:p>
        </w:tc>
        <w:tc>
          <w:tcPr>
            <w:tcW w:w="280" w:type="dxa"/>
            <w:vAlign w:val="bottom"/>
          </w:tcPr>
          <w:p>
            <w:pPr>
              <w:spacing w:after="0"/>
              <w:rPr>
                <w:sz w:val="16"/>
                <w:szCs w:val="16"/>
                <w:color w:val="auto"/>
              </w:rPr>
            </w:pPr>
          </w:p>
        </w:tc>
        <w:tc>
          <w:tcPr>
            <w:tcW w:w="1140" w:type="dxa"/>
            <w:vAlign w:val="bottom"/>
            <w:gridSpan w:val="2"/>
          </w:tcPr>
          <w:p>
            <w:pPr>
              <w:ind w:left="20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7"/>
              </w:rPr>
              <w:t>Asset Fair</w:t>
            </w:r>
          </w:p>
        </w:tc>
        <w:tc>
          <w:tcPr>
            <w:tcW w:w="20" w:type="dxa"/>
            <w:vAlign w:val="bottom"/>
          </w:tcPr>
          <w:p>
            <w:pPr>
              <w:spacing w:after="0"/>
              <w:rPr>
                <w:sz w:val="16"/>
                <w:szCs w:val="16"/>
                <w:color w:val="auto"/>
              </w:rPr>
            </w:pPr>
          </w:p>
        </w:tc>
        <w:tc>
          <w:tcPr>
            <w:tcW w:w="8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Liability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c>
          <w:tcPr>
            <w:tcW w:w="18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Amount</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Value</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Fair Value</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c>
          <w:tcPr>
            <w:tcW w:w="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178"/>
        </w:trPr>
        <w:tc>
          <w:tcPr>
            <w:tcW w:w="29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1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13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Other</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$ 453,371,808</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$ 4,089,856</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3"/>
              </w:rPr>
              <w:t>$ 1,382,979</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$ 862,568,967</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$ 8,563,410</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8"/>
              </w:rPr>
              <w:t>$ 1,547,895</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Call options</w:t>
            </w:r>
          </w:p>
        </w:tc>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868,600</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29,715</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982,500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50,936</w:t>
            </w:r>
          </w:p>
        </w:tc>
        <w:tc>
          <w:tcPr>
            <w:tcW w:w="0" w:type="dxa"/>
            <w:vAlign w:val="bottom"/>
          </w:tcPr>
          <w:p>
            <w:pPr>
              <w:spacing w:after="0"/>
              <w:rPr>
                <w:sz w:val="1"/>
                <w:szCs w:val="1"/>
                <w:color w:val="auto"/>
              </w:rPr>
            </w:pPr>
          </w:p>
        </w:tc>
      </w:tr>
      <w:tr>
        <w:trPr>
          <w:trHeight w:val="2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Put options</w:t>
            </w: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654,500</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13,888</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362,900</w:t>
            </w: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4,493</w:t>
            </w: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454,894,908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$ 4,089,856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$ 1,426,582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863,914,367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$ 8,563,410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$ 1,603,324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gains (losses) on derivatives. There were no gains or losses reclassified from accumulated other comprehensive income into income or gains or losses recognized in income on derivatives ineffective portion or any amounts excluded from effective testing.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2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color w:val="auto"/>
              </w:rPr>
              <w:t>Years ended December 31</w:t>
            </w:r>
          </w:p>
        </w:tc>
        <w:tc>
          <w:tcPr>
            <w:tcW w:w="2260" w:type="dxa"/>
            <w:vAlign w:val="bottom"/>
          </w:tcPr>
          <w:p>
            <w:pPr>
              <w:spacing w:after="0"/>
              <w:rPr>
                <w:sz w:val="20"/>
                <w:szCs w:val="20"/>
                <w:color w:val="auto"/>
              </w:rPr>
            </w:pPr>
          </w:p>
        </w:tc>
      </w:tr>
      <w:tr>
        <w:trPr>
          <w:trHeight w:val="223"/>
        </w:trPr>
        <w:tc>
          <w:tcPr>
            <w:tcW w:w="26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Derivative</w:t>
            </w:r>
          </w:p>
        </w:tc>
        <w:tc>
          <w:tcPr>
            <w:tcW w:w="180" w:type="dxa"/>
            <w:vAlign w:val="bottom"/>
            <w:tcBorders>
              <w:bottom w:val="single" w:sz="8" w:color="CCEEFF"/>
            </w:tcBorders>
          </w:tcPr>
          <w:p>
            <w:pPr>
              <w:spacing w:after="0"/>
              <w:rPr>
                <w:sz w:val="19"/>
                <w:szCs w:val="19"/>
                <w:color w:val="auto"/>
              </w:rPr>
            </w:pPr>
          </w:p>
        </w:tc>
        <w:tc>
          <w:tcPr>
            <w:tcW w:w="26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Classification</w:t>
            </w:r>
          </w:p>
        </w:tc>
        <w:tc>
          <w:tcPr>
            <w:tcW w:w="2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19"/>
                <w:szCs w:val="19"/>
                <w:color w:val="auto"/>
              </w:rPr>
            </w:pPr>
          </w:p>
        </w:tc>
        <w:tc>
          <w:tcPr>
            <w:tcW w:w="2260" w:type="dxa"/>
            <w:vAlign w:val="bottom"/>
          </w:tcPr>
          <w:p>
            <w:pPr>
              <w:spacing w:after="0"/>
              <w:rPr>
                <w:sz w:val="19"/>
                <w:szCs w:val="19"/>
                <w:color w:val="auto"/>
              </w:rPr>
            </w:pPr>
          </w:p>
        </w:tc>
      </w:tr>
      <w:tr>
        <w:trPr>
          <w:trHeight w:val="23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18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(4,308,638</w:t>
            </w:r>
          </w:p>
        </w:tc>
        <w:tc>
          <w:tcPr>
            <w:tcW w:w="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(3,113,095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60" w:type="dxa"/>
            <w:vAlign w:val="bottom"/>
          </w:tcPr>
          <w:p>
            <w:pPr>
              <w:spacing w:after="0"/>
              <w:rPr>
                <w:sz w:val="20"/>
                <w:szCs w:val="20"/>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7"/>
        </w:trPr>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198"/>
        </w:trPr>
        <w:tc>
          <w:tcPr>
            <w:tcW w:w="26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Gains on investments and other</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61"/>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Call and put options</w:t>
            </w:r>
          </w:p>
        </w:tc>
        <w:tc>
          <w:tcPr>
            <w:tcW w:w="2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202,886</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160,410</w:t>
            </w:r>
          </w:p>
        </w:tc>
        <w:tc>
          <w:tcPr>
            <w:tcW w:w="2260" w:type="dxa"/>
            <w:vAlign w:val="bottom"/>
          </w:tcPr>
          <w:p>
            <w:pPr>
              <w:spacing w:after="0"/>
              <w:rPr>
                <w:sz w:val="22"/>
                <w:szCs w:val="22"/>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635"/>
        </w:trPr>
        <w:tc>
          <w:tcPr>
            <w:tcW w:w="2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107</w:t>
            </w: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Rivera Funerals, Cremations and Memorial Gardens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21, 2021, the Company, through its wholly-owned subsidiary, Memorial Estates Inc., completed a business combination transaction with Rivera Funerals, Cremations and Memorial Gardens. The mortuaries and cemetery are located in New Mexico.</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transaction, as set forth in the Asset Purchase Agreement, dated December 21, 2021, Memorial Estates Inc. paid a net purchase price of $10,693,395 for the business and assets of Rivera Funerals, Cremations and Memorial Gardens, subject to holdback amounts held by Memorial Estates, Inc. in the total amount of $1,120,000. Pursuant to the Asset Purchase Agreement, Memorial Estates, Inc. used $70,000 of the holdback amount to pay trade accounts payable of Rivera Funerals, Cremations and Memorial Gardens to third parties that remained unpaid at the time of purchase. The remaining $1,050,000 holdback amount is to be released and paid by Memorial Estates Inc. in annual payments of up to $105,000 each, beginning in January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values of the assets acquired and liabilities assumed as of the date of acquisition were as follows:</w:t>
      </w:r>
    </w:p>
    <w:p>
      <w:pPr>
        <w:sectPr>
          <w:pgSz w:w="11900" w:h="16838" w:orient="portrait"/>
          <w:cols w:equalWidth="0" w:num="1">
            <w:col w:w="11240"/>
          </w:cols>
          <w:pgMar w:left="320" w:top="688"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assets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427736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27736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Cemetery land and improvements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277360"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4277360" cy="145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Cemetery perpetual care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277360"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 holdback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liabilities assumed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net assets acquired/consideration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277360" cy="162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27736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584" w:hanging="584"/>
        <w:spacing w:after="0"/>
        <w:tabs>
          <w:tab w:leader="none" w:pos="58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618,006</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6,255,836</w:t>
      </w:r>
    </w:p>
    <w:p>
      <w:pPr>
        <w:spacing w:after="0" w:line="9" w:lineRule="exact"/>
        <w:rPr>
          <w:rFonts w:ascii="Times New Roman" w:cs="Times New Roman" w:eastAsia="Times New Roman" w:hAnsi="Times New Roman"/>
          <w:sz w:val="18"/>
          <w:szCs w:val="18"/>
          <w:color w:val="auto"/>
        </w:rPr>
      </w:pPr>
    </w:p>
    <w:p>
      <w:pPr>
        <w:ind w:left="5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658,280</w:t>
      </w:r>
    </w:p>
    <w:p>
      <w:pPr>
        <w:spacing w:after="0" w:line="9"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1,338,763</w:t>
      </w:r>
    </w:p>
    <w:p>
      <w:pPr>
        <w:spacing w:after="0" w:line="9"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2,440,516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372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3" w:lineRule="exact"/>
        <w:rPr>
          <w:sz w:val="20"/>
          <w:szCs w:val="20"/>
          <w:color w:val="auto"/>
        </w:rPr>
      </w:pPr>
    </w:p>
    <w:p>
      <w:pPr>
        <w:jc w:val="right"/>
        <w:ind w:right="4560"/>
        <w:spacing w:after="0"/>
        <w:rPr>
          <w:sz w:val="20"/>
          <w:szCs w:val="20"/>
          <w:color w:val="auto"/>
        </w:rPr>
      </w:pPr>
      <w:r>
        <w:rPr>
          <w:rFonts w:ascii="Times New Roman" w:cs="Times New Roman" w:eastAsia="Times New Roman" w:hAnsi="Times New Roman"/>
          <w:sz w:val="18"/>
          <w:szCs w:val="18"/>
          <w:color w:val="auto"/>
        </w:rPr>
        <w:t>11,311,401</w:t>
      </w:r>
    </w:p>
    <w:p>
      <w:pPr>
        <w:spacing w:after="0" w:line="234" w:lineRule="exact"/>
        <w:rPr>
          <w:sz w:val="20"/>
          <w:szCs w:val="20"/>
          <w:color w:val="auto"/>
        </w:rPr>
      </w:pPr>
    </w:p>
    <w:p>
      <w:pPr>
        <w:jc w:val="right"/>
        <w:ind w:right="4500"/>
        <w:spacing w:after="0"/>
        <w:rPr>
          <w:sz w:val="20"/>
          <w:szCs w:val="20"/>
          <w:color w:val="auto"/>
        </w:rPr>
      </w:pPr>
      <w:r>
        <w:rPr>
          <w:rFonts w:ascii="Times New Roman" w:cs="Times New Roman" w:eastAsia="Times New Roman" w:hAnsi="Times New Roman"/>
          <w:sz w:val="18"/>
          <w:szCs w:val="18"/>
          <w:color w:val="auto"/>
        </w:rPr>
        <w:t>(618,006)</w:t>
      </w:r>
    </w:p>
    <w:p>
      <w:pPr>
        <w:spacing w:after="0" w:line="27" w:lineRule="exact"/>
        <w:rPr>
          <w:sz w:val="20"/>
          <w:szCs w:val="20"/>
          <w:color w:val="auto"/>
        </w:rPr>
      </w:pPr>
    </w:p>
    <w:p>
      <w:pPr>
        <w:jc w:val="right"/>
        <w:ind w:right="4500"/>
        <w:spacing w:after="0"/>
        <w:rPr>
          <w:sz w:val="20"/>
          <w:szCs w:val="20"/>
          <w:color w:val="auto"/>
        </w:rPr>
      </w:pPr>
      <w:r>
        <w:rPr>
          <w:rFonts w:ascii="Times New Roman" w:cs="Times New Roman" w:eastAsia="Times New Roman" w:hAnsi="Times New Roman"/>
          <w:sz w:val="18"/>
          <w:szCs w:val="18"/>
          <w:color w:val="auto"/>
        </w:rPr>
        <w:t>(1,120,000)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372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3" w:lineRule="exact"/>
        <w:rPr>
          <w:sz w:val="20"/>
          <w:szCs w:val="20"/>
          <w:color w:val="auto"/>
        </w:rPr>
      </w:pPr>
    </w:p>
    <w:p>
      <w:pPr>
        <w:jc w:val="right"/>
        <w:ind w:right="4500"/>
        <w:spacing w:after="0"/>
        <w:rPr>
          <w:sz w:val="20"/>
          <w:szCs w:val="20"/>
          <w:color w:val="auto"/>
        </w:rPr>
      </w:pPr>
      <w:r>
        <w:rPr>
          <w:rFonts w:ascii="Times New Roman" w:cs="Times New Roman" w:eastAsia="Times New Roman" w:hAnsi="Times New Roman"/>
          <w:sz w:val="18"/>
          <w:szCs w:val="18"/>
          <w:color w:val="auto"/>
        </w:rPr>
        <w:t>(1,738,006)</w:t>
      </w:r>
    </w:p>
    <w:p>
      <w:pPr>
        <w:spacing w:after="0" w:line="31" w:lineRule="exact"/>
        <w:rPr>
          <w:sz w:val="20"/>
          <w:szCs w:val="20"/>
          <w:color w:val="auto"/>
        </w:rPr>
      </w:pPr>
    </w:p>
    <w:p>
      <w:pPr>
        <w:ind w:left="444" w:hanging="444"/>
        <w:spacing w:after="0"/>
        <w:tabs>
          <w:tab w:leader="none" w:pos="44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9,573,395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372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96" w:space="720"/>
            <w:col w:w="5724"/>
          </w:cols>
          <w:pgMar w:left="320" w:top="688" w:right="339" w:bottom="1440" w:gutter="0" w:footer="0" w:header="0"/>
          <w:type w:val="continuous"/>
        </w:sectPr>
      </w:pPr>
    </w:p>
    <w:p>
      <w:pPr>
        <w:spacing w:after="0" w:line="93" w:lineRule="exact"/>
        <w:rPr>
          <w:sz w:val="20"/>
          <w:szCs w:val="20"/>
          <w:color w:val="auto"/>
        </w:rPr>
      </w:pPr>
    </w:p>
    <w:p>
      <w:pPr>
        <w:ind w:left="360" w:hanging="292"/>
        <w:spacing w:after="0" w:line="282" w:lineRule="auto"/>
        <w:tabs>
          <w:tab w:leader="none" w:pos="3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$39,000 of cash and $579,006 of fixed maturity securities, available for sale, at estimated fair value which is a Level 2 asset in the fair value hierarchy</w:t>
      </w:r>
    </w:p>
    <w:p>
      <w:pPr>
        <w:spacing w:after="0" w:line="53"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estimated fair value which is a Level 3 asset in the fair value hierarchy</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$2,310,000 of intangible assets</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Rivera Funerals, Cremations and Memorial Gardens revenues and net earnings since the date of acquisition for the year ended December 31, 2021 were $137,386 and $14,892,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Holbrook Mortuary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December 28, 2021, the Company, through its wholly-owned subsidiary, Memorial Mortuary Inc., completed a business combination transaction with Holbrook Mortuary located in Salt Lake City, Utah.</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Under the terms of the transaction, as set forth in the Asset Purchase Agreement, dated December 28, 2021, Memorial Mortuary Inc. paid a net purchase price of $3,051,747 for the business and assets of Holbrook Mortuary.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values of the assets acquired and liabilities assumed as of the date of acquisition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Property and equipment </w:t>
            </w:r>
            <w:r>
              <w:rPr>
                <w:rFonts w:ascii="Times New Roman" w:cs="Times New Roman" w:eastAsia="Times New Roman" w:hAnsi="Times New Roman"/>
                <w:sz w:val="29"/>
                <w:szCs w:val="29"/>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2,641,210</w:t>
            </w:r>
          </w:p>
        </w:tc>
        <w:tc>
          <w:tcPr>
            <w:tcW w:w="20" w:type="dxa"/>
            <w:vAlign w:val="bottom"/>
            <w:shd w:val="clear" w:color="auto" w:fill="CCEEFF"/>
          </w:tcPr>
          <w:p>
            <w:pPr>
              <w:spacing w:after="0"/>
              <w:rPr>
                <w:sz w:val="24"/>
                <w:szCs w:val="24"/>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395,432</w:t>
            </w:r>
          </w:p>
        </w:tc>
        <w:tc>
          <w:tcPr>
            <w:tcW w:w="20" w:type="dxa"/>
            <w:vAlign w:val="bottom"/>
          </w:tcPr>
          <w:p>
            <w:pPr>
              <w:spacing w:after="0"/>
              <w:rPr>
                <w:sz w:val="18"/>
                <w:szCs w:val="18"/>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15,105</w:t>
            </w:r>
          </w:p>
        </w:tc>
        <w:tc>
          <w:tcPr>
            <w:tcW w:w="20" w:type="dxa"/>
            <w:vAlign w:val="bottom"/>
            <w:shd w:val="clear" w:color="auto" w:fill="CCEEFF"/>
          </w:tcPr>
          <w:p>
            <w:pPr>
              <w:spacing w:after="0"/>
              <w:rPr>
                <w:sz w:val="19"/>
                <w:szCs w:val="19"/>
                <w:color w:val="auto"/>
              </w:rPr>
            </w:pPr>
          </w:p>
        </w:tc>
      </w:tr>
      <w:tr>
        <w:trPr>
          <w:trHeight w:val="210"/>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3,051,747</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r>
      <w:tr>
        <w:trPr>
          <w:trHeight w:val="223"/>
        </w:trPr>
        <w:tc>
          <w:tcPr>
            <w:tcW w:w="5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net assets acquired/consideration paid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3,051,747</w:t>
            </w:r>
          </w:p>
        </w:tc>
        <w:tc>
          <w:tcPr>
            <w:tcW w:w="20" w:type="dxa"/>
            <w:vAlign w:val="bottom"/>
          </w:tcPr>
          <w:p>
            <w:pPr>
              <w:spacing w:after="0"/>
              <w:rPr>
                <w:sz w:val="21"/>
                <w:szCs w:val="2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At estimated fair value which is a Level 3 asset in the fair value hierarchy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Holbrook Mortuary’s revenues and net loss since the date of acquisition for the year ended December 31, 2021 were nil and $(98,531), respectively.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reports MSRs pursuant to the accounting policy discussed in Note 1 of the Notes to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MSR activity.</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5"/>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Borders>
              <w:bottom w:val="single" w:sz="8" w:color="CCEEFF"/>
            </w:tcBorders>
          </w:tcPr>
          <w:p>
            <w:pPr>
              <w:spacing w:after="0"/>
              <w:rPr>
                <w:sz w:val="19"/>
                <w:szCs w:val="19"/>
                <w:color w:val="auto"/>
              </w:rPr>
            </w:pPr>
          </w:p>
        </w:tc>
      </w:tr>
      <w:tr>
        <w:trPr>
          <w:trHeight w:val="20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Balance before valuation allowance at beginning of year</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53,060,455</w:t>
            </w:r>
          </w:p>
        </w:tc>
        <w:tc>
          <w:tcPr>
            <w:tcW w:w="5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35,210,516</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MSR additions resulting from loan sales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10,243,922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32,701,819</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(9,078,706)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(14,851,880)</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MSRs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(51,185,906)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 with</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than temporary impairment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before valuation allowance at year end</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3,039,765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53,060,455</w:t>
            </w:r>
          </w:p>
        </w:tc>
        <w:tc>
          <w:tcPr>
            <w:tcW w:w="60" w:type="dxa"/>
            <w:vAlign w:val="bottom"/>
            <w:tcBorders>
              <w:top w:val="single" w:sz="8" w:color="CCEEFF"/>
            </w:tcBorders>
            <w:shd w:val="clear" w:color="auto" w:fill="CCEEFF"/>
          </w:tcPr>
          <w:p>
            <w:pPr>
              <w:spacing w:after="0"/>
              <w:rPr>
                <w:sz w:val="18"/>
                <w:szCs w:val="18"/>
                <w:color w:val="auto"/>
              </w:rPr>
            </w:pPr>
          </w:p>
        </w:tc>
      </w:tr>
      <w:tr>
        <w:trPr>
          <w:trHeight w:val="209"/>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for impairment of MSRs: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 with</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than temporary impairment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year end</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3,039,765</w:t>
            </w:r>
          </w:p>
        </w:tc>
        <w:tc>
          <w:tcPr>
            <w:tcW w:w="5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53,060,455</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196"/>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MSRs at year end</w:t>
            </w:r>
          </w:p>
        </w:tc>
        <w:tc>
          <w:tcPr>
            <w:tcW w:w="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3,927,877</w:t>
            </w:r>
          </w:p>
        </w:tc>
        <w:tc>
          <w:tcPr>
            <w:tcW w:w="5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68,811,809</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Included in other expenses on the consolidated statements of earnings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Company’s estimate of future amortization of its existing MSRs carried at amortized cost. This projection was developed using the assumptions made by management in its December 31, 2022 valuation of MSRs. The assumptions underlying the following estimate will change as market conditions and portfolio composition and behavior change, causing both actual and projected amortization levels to change over time. Therefore, the following estimates will change in a manner and amount not presently determinable by management.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Estimated</w:t>
            </w:r>
          </w:p>
        </w:tc>
      </w:t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MSR</w:t>
            </w:r>
          </w:p>
        </w:tc>
      </w:tr>
      <w:tr>
        <w:trPr>
          <w:trHeight w:val="234"/>
        </w:trPr>
        <w:tc>
          <w:tcPr>
            <w:tcW w:w="344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w:t>
            </w:r>
          </w:p>
        </w:tc>
      </w:tr>
      <w:tr>
        <w:trPr>
          <w:trHeight w:val="209"/>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316,449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286,934</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260,259</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234,139</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211,523</w:t>
            </w:r>
          </w:p>
        </w:tc>
      </w:tr>
      <w:tr>
        <w:trPr>
          <w:trHeight w:val="22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1,730,461</w:t>
            </w:r>
          </w:p>
        </w:tc>
      </w:tr>
      <w:tr>
        <w:trPr>
          <w:trHeight w:val="223"/>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3,039,765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collected the following contractual servicing fee income and late fee income as reported in other revenues on the consolidated statements of earnings.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26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Borders>
              <w:bottom w:val="single" w:sz="8" w:color="CCEEFF"/>
            </w:tcBorders>
          </w:tcPr>
          <w:p>
            <w:pPr>
              <w:spacing w:after="0"/>
              <w:rPr>
                <w:sz w:val="19"/>
                <w:szCs w:val="19"/>
                <w:color w:val="auto"/>
              </w:rPr>
            </w:pPr>
          </w:p>
        </w:tc>
      </w:tr>
      <w:tr>
        <w:trPr>
          <w:trHeight w:val="20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servicing fees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15,792,105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15,471,307</w:t>
            </w:r>
          </w:p>
        </w:tc>
        <w:tc>
          <w:tcPr>
            <w:tcW w:w="60" w:type="dxa"/>
            <w:vAlign w:val="bottom"/>
            <w:shd w:val="clear" w:color="auto" w:fill="CCEEFF"/>
          </w:tcPr>
          <w:p>
            <w:pPr>
              <w:spacing w:after="0"/>
              <w:rPr>
                <w:sz w:val="18"/>
                <w:szCs w:val="18"/>
                <w:color w:val="auto"/>
              </w:rPr>
            </w:pPr>
          </w:p>
        </w:tc>
      </w:tr>
      <w:tr>
        <w:trPr>
          <w:trHeight w:val="23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Late fees</w:t>
            </w:r>
          </w:p>
        </w:tc>
        <w:tc>
          <w:tcPr>
            <w:tcW w:w="1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398,754</w:t>
            </w: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321,337</w:t>
            </w:r>
          </w:p>
        </w:tc>
      </w:tr>
      <w:tr>
        <w:trPr>
          <w:trHeight w:val="223"/>
        </w:trPr>
        <w:tc>
          <w:tcPr>
            <w:tcW w:w="2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16,190,859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15,792,644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unpaid principal balances (“UPB”) of the servicing portfolio.</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244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26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Borders>
              <w:bottom w:val="single" w:sz="8" w:color="CCEEFF"/>
            </w:tcBorders>
          </w:tcPr>
          <w:p>
            <w:pPr>
              <w:spacing w:after="0"/>
              <w:rPr>
                <w:sz w:val="19"/>
                <w:szCs w:val="19"/>
                <w:color w:val="auto"/>
              </w:rPr>
            </w:pPr>
          </w:p>
        </w:tc>
      </w:tr>
      <w:tr>
        <w:trPr>
          <w:trHeight w:val="21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UPB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$ 360,023,384</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$7,060,536,350</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key assumptions were used in determining MSR value.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Prepayment</w:t>
            </w:r>
          </w:p>
        </w:tc>
        <w:tc>
          <w:tcPr>
            <w:tcW w:w="6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Average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Discount</w:t>
            </w:r>
          </w:p>
        </w:tc>
      </w:tr>
      <w:tr>
        <w:trPr>
          <w:trHeight w:val="234"/>
        </w:trPr>
        <w:tc>
          <w:tcPr>
            <w:tcW w:w="1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Speeds</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Life(Years)</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Rate</w:t>
            </w:r>
          </w:p>
        </w:tc>
      </w:tr>
      <w:tr>
        <w:trPr>
          <w:trHeight w:val="209"/>
        </w:trPr>
        <w:tc>
          <w:tcPr>
            <w:tcW w:w="1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11.60</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6.64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9.50</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31, 2022, the Company sold certain of its MSRs. The MSRs related to mortgage loans previously originated by the Company in aggregate unpaid principal amount of approximately $7.02 billion. As a result of the sale, the book value of the Company’s MSRs decreased $51,185,906 and generated a gain of $34,051,938 included in mortgage fee income on the consolidated statements of earnings. Substantially all of the consideration was received by the Company with the remainder subject to certain holdbacks during transfer of the MSRs. The Company completed the physical transfer of files prior to its deadline and anticipates the release of the holdbacks in the first quarter of 2023.</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Policy Benefits and Unpaid Claims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reports future policy benefits and unpaid claims pursuant to the accounting policy discussed in Note 1 of the Notes to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future policy benefits and unpaid claims and the related receivable from reinsurers.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196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Borders>
              <w:bottom w:val="single" w:sz="8" w:color="CCEEFF"/>
            </w:tcBorders>
          </w:tcPr>
          <w:p>
            <w:pPr>
              <w:spacing w:after="0"/>
              <w:rPr>
                <w:sz w:val="19"/>
                <w:szCs w:val="19"/>
                <w:color w:val="auto"/>
              </w:rPr>
            </w:pPr>
          </w:p>
        </w:tc>
      </w:tr>
      <w:tr>
        <w:trPr>
          <w:trHeight w:val="21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726,462,594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698,366,477</w:t>
            </w:r>
          </w:p>
        </w:tc>
        <w:tc>
          <w:tcPr>
            <w:tcW w:w="60" w:type="dxa"/>
            <w:vAlign w:val="bottom"/>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Annuities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106,637,094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107,992,830</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41,146,171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42,939,055</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Accident and health</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603,526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629,302</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policyholder funds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4,279,218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4,352,217</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Reported but unpaid claims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5,651,030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4,887,934</w:t>
            </w:r>
          </w:p>
        </w:tc>
      </w:tr>
      <w:tr>
        <w:trPr>
          <w:trHeight w:val="229"/>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 but not reported claims</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4,547,670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4,106,878</w:t>
            </w:r>
          </w:p>
        </w:tc>
      </w:tr>
      <w:tr>
        <w:trPr>
          <w:trHeight w:val="209"/>
        </w:trPr>
        <w:tc>
          <w:tcPr>
            <w:tcW w:w="1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future policy benefits and unpaid claims</w:t>
            </w:r>
          </w:p>
        </w:tc>
        <w:tc>
          <w:tcPr>
            <w:tcW w:w="10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889,327,303</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863,274,693</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197"/>
        </w:trPr>
        <w:tc>
          <w:tcPr>
            <w:tcW w:w="19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Receivable from reinsurers</w:t>
            </w: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960" w:type="dxa"/>
            <w:vAlign w:val="bottom"/>
            <w:tcBorders>
              <w:top w:val="single" w:sz="8" w:color="auto"/>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10,600,613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10,482,428</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Annuities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4,225,873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4,082,877</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Accident and health</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79,467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88,474</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Reported but unpaid claims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110,985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177,829</w:t>
            </w:r>
          </w:p>
        </w:tc>
      </w:tr>
      <w:tr>
        <w:trPr>
          <w:trHeight w:val="23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 but not reported claims</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19,000</w:t>
            </w:r>
          </w:p>
        </w:tc>
      </w:tr>
      <w:tr>
        <w:trPr>
          <w:trHeight w:val="210"/>
        </w:trPr>
        <w:tc>
          <w:tcPr>
            <w:tcW w:w="1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receivable from reinsurers</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15,033,938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14,850,608</w:t>
            </w:r>
          </w:p>
        </w:tc>
      </w:tr>
      <w:tr>
        <w:trPr>
          <w:trHeight w:val="209"/>
        </w:trPr>
        <w:tc>
          <w:tcPr>
            <w:tcW w:w="1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future policy benefits and unpaid claims</w:t>
            </w:r>
          </w:p>
        </w:tc>
        <w:tc>
          <w:tcPr>
            <w:tcW w:w="10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874,293,365</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848,424,085</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210"/>
        </w:trPr>
        <w:tc>
          <w:tcPr>
            <w:tcW w:w="1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unpaid claims</w:t>
            </w:r>
          </w:p>
        </w:tc>
        <w:tc>
          <w:tcPr>
            <w:tcW w:w="10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10,070,715</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8,797,983</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rollforward of the Company’s liability for reported but unpaid claims and incurred but not reported claims, net of the related receivable from reinsurers.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8"/>
              </w:rPr>
              <w:t>Accident and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Life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Annuities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Health</w:t>
            </w:r>
          </w:p>
        </w:tc>
        <w:tc>
          <w:tcPr>
            <w:tcW w:w="18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2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12/31/2020</w:t>
            </w: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10,286,319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1,111,441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11,414,760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Incurred</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63,247,616(1)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14,036,473(2)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230,395(3)</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77,514,484</w:t>
            </w:r>
          </w:p>
        </w:tc>
      </w:tr>
      <w:tr>
        <w:trPr>
          <w:trHeight w:val="230"/>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Settled</w:t>
            </w: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(65,518,834)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(14,469,536)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(142,891)</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(80,131,261)</w:t>
            </w:r>
          </w:p>
        </w:tc>
      </w:tr>
      <w:tr>
        <w:trPr>
          <w:trHeight w:val="210"/>
        </w:trPr>
        <w:tc>
          <w:tcPr>
            <w:tcW w:w="2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12/31/2021</w:t>
            </w:r>
          </w:p>
        </w:tc>
        <w:tc>
          <w:tcPr>
            <w:tcW w:w="7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8,015,101</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678,378</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104,504</w:t>
            </w:r>
          </w:p>
        </w:tc>
        <w:tc>
          <w:tcPr>
            <w:tcW w:w="4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8,797,983</w:t>
            </w:r>
          </w:p>
        </w:tc>
        <w:tc>
          <w:tcPr>
            <w:tcW w:w="80" w:type="dxa"/>
            <w:vAlign w:val="bottom"/>
            <w:tcBorders>
              <w:bottom w:val="single" w:sz="8" w:color="CCEEFF"/>
            </w:tcBorders>
          </w:tcPr>
          <w:p>
            <w:pPr>
              <w:spacing w:after="0"/>
              <w:rPr>
                <w:sz w:val="18"/>
                <w:szCs w:val="18"/>
                <w:color w:val="auto"/>
              </w:rPr>
            </w:pPr>
          </w:p>
        </w:tc>
      </w:tr>
      <w:tr>
        <w:trPr>
          <w:trHeight w:val="209"/>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59,377,962(1)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13,987,576(2)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40,744(3)</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73,406,282</w:t>
            </w:r>
          </w:p>
        </w:tc>
        <w:tc>
          <w:tcPr>
            <w:tcW w:w="80" w:type="dxa"/>
            <w:vAlign w:val="bottom"/>
            <w:shd w:val="clear" w:color="auto" w:fill="CCEEFF"/>
          </w:tcPr>
          <w:p>
            <w:pPr>
              <w:spacing w:after="0"/>
              <w:rPr>
                <w:sz w:val="18"/>
                <w:szCs w:val="18"/>
                <w:color w:val="auto"/>
              </w:rPr>
            </w:pPr>
          </w:p>
        </w:tc>
      </w:tr>
      <w:tr>
        <w:trPr>
          <w:trHeight w:val="230"/>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Settled</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(57,988,800)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(14,016,502)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(128,248)</w:t>
            </w: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(72,133,550)</w:t>
            </w:r>
          </w:p>
        </w:tc>
      </w:tr>
      <w:tr>
        <w:trPr>
          <w:trHeight w:val="223"/>
        </w:trPr>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12/31/2022</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9,404,263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649,452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10,070,715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60" w:hanging="292"/>
        <w:spacing w:after="0"/>
        <w:tabs>
          <w:tab w:leader="none" w:pos="3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death benefits on the consolidated statements of earnings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increase in future benefits on the consolidated statements of earnings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surrender and other policy benefits on the consolidated statements of earnings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reports revenues from contracts with customers pursuant to ASC No. 606, Revenue from Contracts with Customers.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Contracts with 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Information about Performance Obligations and Contract Balances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cemetery and mortuary segment sells a variety of goods and services to customers in both at-need and pre-need situations. Due to the timing of the fulfillment of the obligation, revenue is deferred until that obligation is fulfilled. The total contract liability for future obligations is included in deferred pre-need cemetery and mortuary contract revenues on the consolidated balance sheets and, as of December 31, 2022 and 2021, the balances were $16,226,836 and $14,508,022,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types of future obligations are as follows: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Pre-need Merchandise and Service Revenue</w:t>
      </w:r>
      <w:r>
        <w:rPr>
          <w:rFonts w:ascii="Times New Roman" w:cs="Times New Roman" w:eastAsia="Times New Roman" w:hAnsi="Times New Roman"/>
          <w:sz w:val="18"/>
          <w:szCs w:val="18"/>
          <w:color w:val="auto"/>
        </w:rPr>
        <w:t>: All pre-need merchandise and service revenue is deferred and the funds are placed in trust until the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arises, the merchandise is received or the service is performed. The trust is then relieved, and the revenue and commissions are recognized. As of December 31, 2022 and 2021, the balances were $15,289,901 and $13,722,348, respectively.</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At-need Specialty Merchandise Revenue</w:t>
      </w:r>
      <w:r>
        <w:rPr>
          <w:rFonts w:ascii="Times New Roman" w:cs="Times New Roman" w:eastAsia="Times New Roman" w:hAnsi="Times New Roman"/>
          <w:sz w:val="18"/>
          <w:szCs w:val="18"/>
          <w:color w:val="auto"/>
        </w:rPr>
        <w:t>: At-need specialty merchandise revenue consists of customizable merchandise ordered from a manufacturer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markers and bases. When specialty merchandise is ordered, it can take time to manufacture and deliver the product. Revenue is deferred until the at-need merchandise is received. As of December 31, 2022 and 2021, the balances were $936,935 and $785,674, respectively. Deferred revenue for at-need specialty revenue is not placed in trust.</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Deferred Pre-need Land Revenue</w:t>
      </w:r>
      <w:r>
        <w:rPr>
          <w:rFonts w:ascii="Times New Roman" w:cs="Times New Roman" w:eastAsia="Times New Roman" w:hAnsi="Times New Roman"/>
          <w:sz w:val="18"/>
          <w:szCs w:val="18"/>
          <w:color w:val="auto"/>
        </w:rPr>
        <w:t>: Deferred pre-need revenue and corresponding commissions are deferred until 10% of the funds are received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through regular monthly payments. As of December 31, 2022 and 2021, the balances were nil and nil, respectively. Deferred pre-need land revenue is not placed in trust.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Complete payment of the contract does not constitute fulfillment of the performance obligation. Goods or services are deferred until such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A transfer of goods and services does not fulfill an obligation and revenue remains deferred.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and closing balances of the Company’s receivables, contract assets and contract liabilities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Contract Balances</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Receivables (1)</w:t>
            </w:r>
          </w:p>
        </w:tc>
        <w:tc>
          <w:tcPr>
            <w:tcW w:w="140" w:type="dxa"/>
            <w:vAlign w:val="bottom"/>
          </w:tcPr>
          <w:p>
            <w:pPr>
              <w:spacing w:after="0"/>
              <w:rPr>
                <w:sz w:val="19"/>
                <w:szCs w:val="19"/>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Contract Asset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Contract Liability</w:t>
            </w:r>
          </w:p>
        </w:tc>
        <w:tc>
          <w:tcPr>
            <w:tcW w:w="80" w:type="dxa"/>
            <w:vAlign w:val="bottom"/>
          </w:tcPr>
          <w:p>
            <w:pPr>
              <w:spacing w:after="0"/>
              <w:rPr>
                <w:sz w:val="19"/>
                <w:szCs w:val="19"/>
                <w:color w:val="auto"/>
              </w:rPr>
            </w:pPr>
          </w:p>
        </w:tc>
      </w:tr>
      <w:tr>
        <w:trPr>
          <w:trHeight w:val="209"/>
        </w:trPr>
        <w:tc>
          <w:tcPr>
            <w:tcW w:w="2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(1/1/2022)</w:t>
            </w: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7"/>
              </w:rPr>
              <w:t>5,298,636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14,508,022</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Closing (12/31/2022)</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5,392,779</w:t>
            </w:r>
          </w:p>
        </w:tc>
        <w:tc>
          <w:tcPr>
            <w:tcW w:w="140" w:type="dxa"/>
            <w:vAlign w:val="bottom"/>
          </w:tcPr>
          <w:p>
            <w:pPr>
              <w:spacing w:after="0"/>
              <w:rPr>
                <w:sz w:val="19"/>
                <w:szCs w:val="19"/>
                <w:color w:val="auto"/>
              </w:rPr>
            </w:pPr>
          </w:p>
        </w:tc>
        <w:tc>
          <w:tcPr>
            <w:tcW w:w="17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16,226,836</w:t>
            </w:r>
          </w:p>
        </w:tc>
      </w:tr>
      <w:tr>
        <w:trPr>
          <w:trHeight w:val="223"/>
        </w:trPr>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2"/>
              </w:rPr>
              <w:t>94,143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1,718,814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2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Contract Balances</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2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Receivables (1)</w:t>
            </w:r>
          </w:p>
        </w:tc>
        <w:tc>
          <w:tcPr>
            <w:tcW w:w="140" w:type="dxa"/>
            <w:vAlign w:val="bottom"/>
          </w:tcPr>
          <w:p>
            <w:pPr>
              <w:spacing w:after="0"/>
              <w:rPr>
                <w:sz w:val="19"/>
                <w:szCs w:val="19"/>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Contract Asset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Contract Liability</w:t>
            </w:r>
          </w:p>
        </w:tc>
        <w:tc>
          <w:tcPr>
            <w:tcW w:w="80" w:type="dxa"/>
            <w:vAlign w:val="bottom"/>
          </w:tcPr>
          <w:p>
            <w:pPr>
              <w:spacing w:after="0"/>
              <w:rPr>
                <w:sz w:val="19"/>
                <w:szCs w:val="19"/>
                <w:color w:val="auto"/>
              </w:rPr>
            </w:pPr>
          </w:p>
        </w:tc>
      </w:tr>
      <w:tr>
        <w:trPr>
          <w:trHeight w:val="209"/>
        </w:trPr>
        <w:tc>
          <w:tcPr>
            <w:tcW w:w="2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(1/1/2021)</w:t>
            </w: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4"/>
              </w:rPr>
              <w:t>4,119,988</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13,080,179</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Closing (12/31/2021)</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5,298,636</w:t>
            </w:r>
          </w:p>
        </w:tc>
        <w:tc>
          <w:tcPr>
            <w:tcW w:w="140" w:type="dxa"/>
            <w:vAlign w:val="bottom"/>
          </w:tcPr>
          <w:p>
            <w:pPr>
              <w:spacing w:after="0"/>
              <w:rPr>
                <w:sz w:val="19"/>
                <w:szCs w:val="19"/>
                <w:color w:val="auto"/>
              </w:rPr>
            </w:pPr>
          </w:p>
        </w:tc>
        <w:tc>
          <w:tcPr>
            <w:tcW w:w="17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14,508,022</w:t>
            </w:r>
          </w:p>
        </w:tc>
      </w:tr>
      <w:tr>
        <w:trPr>
          <w:trHeight w:val="223"/>
        </w:trPr>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7"/>
              </w:rPr>
              <w:t>1,178,648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1,427,843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Included in Receivables, net on the consolidated balance sheets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opening and closing balances of the Company’s contract balances.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0" w:type="dxa"/>
            <w:vAlign w:val="bottom"/>
            <w:gridSpan w:val="5"/>
          </w:tcPr>
          <w:p>
            <w:pPr>
              <w:jc w:val="right"/>
              <w:ind w:right="1090"/>
              <w:spacing w:after="0"/>
              <w:rPr>
                <w:sz w:val="20"/>
                <w:szCs w:val="20"/>
                <w:color w:val="auto"/>
              </w:rPr>
            </w:pPr>
            <w:r>
              <w:rPr>
                <w:rFonts w:ascii="Times New Roman" w:cs="Times New Roman" w:eastAsia="Times New Roman" w:hAnsi="Times New Roman"/>
                <w:sz w:val="18"/>
                <w:szCs w:val="18"/>
                <w:color w:val="auto"/>
              </w:rPr>
              <w:t>Contract Balances</w:t>
            </w:r>
          </w:p>
        </w:tc>
        <w:tc>
          <w:tcPr>
            <w:tcW w:w="3380" w:type="dxa"/>
            <w:vAlign w:val="bottom"/>
          </w:tcPr>
          <w:p>
            <w:pPr>
              <w:spacing w:after="0"/>
              <w:rPr>
                <w:sz w:val="20"/>
                <w:szCs w:val="20"/>
                <w:color w:val="auto"/>
              </w:rPr>
            </w:pPr>
          </w:p>
        </w:tc>
      </w:tr>
      <w:tr>
        <w:trPr>
          <w:trHeight w:val="223"/>
        </w:trPr>
        <w:tc>
          <w:tcPr>
            <w:tcW w:w="34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Contract Asset</w:t>
            </w: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Contract Liability</w:t>
            </w:r>
          </w:p>
        </w:tc>
        <w:tc>
          <w:tcPr>
            <w:tcW w:w="3380" w:type="dxa"/>
            <w:vAlign w:val="bottom"/>
          </w:tcPr>
          <w:p>
            <w:pPr>
              <w:spacing w:after="0"/>
              <w:rPr>
                <w:sz w:val="19"/>
                <w:szCs w:val="19"/>
                <w:color w:val="auto"/>
              </w:rPr>
            </w:pP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 merchandise and services</w:t>
            </w:r>
          </w:p>
        </w:tc>
        <w:tc>
          <w:tcPr>
            <w:tcW w:w="8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13,722,348</w:t>
            </w:r>
          </w:p>
        </w:tc>
        <w:tc>
          <w:tcPr>
            <w:tcW w:w="3380" w:type="dxa"/>
            <w:vAlign w:val="bottom"/>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At-need specialty merchandise</w:t>
            </w: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785,674</w:t>
            </w:r>
          </w:p>
        </w:tc>
        <w:tc>
          <w:tcPr>
            <w:tcW w:w="3380" w:type="dxa"/>
            <w:vAlign w:val="bottom"/>
          </w:tcPr>
          <w:p>
            <w:pPr>
              <w:spacing w:after="0"/>
              <w:rPr>
                <w:sz w:val="18"/>
                <w:szCs w:val="18"/>
                <w:color w:val="auto"/>
              </w:rPr>
            </w:pPr>
          </w:p>
        </w:tc>
      </w:tr>
      <w:tr>
        <w:trPr>
          <w:trHeight w:val="23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 land sales</w:t>
            </w:r>
          </w:p>
        </w:tc>
        <w:tc>
          <w:tcPr>
            <w:tcW w:w="8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19"/>
                <w:szCs w:val="19"/>
                <w:color w:val="auto"/>
              </w:rPr>
            </w:pPr>
          </w:p>
        </w:tc>
      </w:tr>
      <w:tr>
        <w:trPr>
          <w:trHeight w:val="263"/>
        </w:trPr>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Opening (1/1/2022)</w:t>
            </w:r>
          </w:p>
        </w:tc>
        <w:tc>
          <w:tcPr>
            <w:tcW w:w="860" w:type="dxa"/>
            <w:vAlign w:val="bottom"/>
            <w:tcBorders>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14,508,022</w:t>
            </w:r>
          </w:p>
        </w:tc>
        <w:tc>
          <w:tcPr>
            <w:tcW w:w="3380" w:type="dxa"/>
            <w:vAlign w:val="bottom"/>
          </w:tcPr>
          <w:p>
            <w:pPr>
              <w:spacing w:after="0"/>
              <w:rPr>
                <w:sz w:val="22"/>
                <w:szCs w:val="22"/>
                <w:color w:val="auto"/>
              </w:rPr>
            </w:pPr>
          </w:p>
        </w:tc>
      </w:tr>
      <w:tr>
        <w:trPr>
          <w:trHeight w:val="197"/>
        </w:trPr>
        <w:tc>
          <w:tcPr>
            <w:tcW w:w="3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tcBorders>
              <w:right w:val="single" w:sz="8" w:color="CCEEFF"/>
            </w:tcBorders>
            <w:shd w:val="clear" w:color="auto" w:fill="CCEEFF"/>
          </w:tcPr>
          <w:p>
            <w:pPr>
              <w:spacing w:after="0"/>
              <w:rPr>
                <w:sz w:val="17"/>
                <w:szCs w:val="17"/>
                <w:color w:val="auto"/>
              </w:rPr>
            </w:pPr>
          </w:p>
        </w:tc>
        <w:tc>
          <w:tcPr>
            <w:tcW w:w="3380" w:type="dxa"/>
            <w:vAlign w:val="bottom"/>
          </w:tcPr>
          <w:p>
            <w:pPr>
              <w:spacing w:after="0"/>
              <w:rPr>
                <w:sz w:val="17"/>
                <w:szCs w:val="17"/>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Pre-need merchandise and services</w:t>
            </w:r>
          </w:p>
        </w:tc>
        <w:tc>
          <w:tcPr>
            <w:tcW w:w="240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15,289,901</w:t>
            </w:r>
          </w:p>
        </w:tc>
        <w:tc>
          <w:tcPr>
            <w:tcW w:w="338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At-need specialty merchandise</w:t>
            </w:r>
          </w:p>
        </w:tc>
        <w:tc>
          <w:tcPr>
            <w:tcW w:w="8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936,935</w:t>
            </w:r>
          </w:p>
        </w:tc>
        <w:tc>
          <w:tcPr>
            <w:tcW w:w="3380" w:type="dxa"/>
            <w:vAlign w:val="bottom"/>
          </w:tcPr>
          <w:p>
            <w:pPr>
              <w:spacing w:after="0"/>
              <w:rPr>
                <w:sz w:val="18"/>
                <w:szCs w:val="18"/>
                <w:color w:val="auto"/>
              </w:rPr>
            </w:pPr>
          </w:p>
        </w:tc>
      </w:t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Pre-need land sales</w:t>
            </w:r>
          </w:p>
        </w:tc>
        <w:tc>
          <w:tcPr>
            <w:tcW w:w="8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19"/>
                <w:szCs w:val="19"/>
                <w:color w:val="auto"/>
              </w:rPr>
            </w:pPr>
          </w:p>
        </w:tc>
      </w:tr>
      <w:tr>
        <w:trPr>
          <w:trHeight w:val="223"/>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(12/31/2022)</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16,226,836</w:t>
            </w:r>
          </w:p>
        </w:tc>
        <w:tc>
          <w:tcPr>
            <w:tcW w:w="338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26"/>
        </w:trPr>
        <w:tc>
          <w:tcPr>
            <w:tcW w:w="3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0" w:type="dxa"/>
            <w:vAlign w:val="bottom"/>
            <w:gridSpan w:val="5"/>
          </w:tcPr>
          <w:p>
            <w:pPr>
              <w:jc w:val="right"/>
              <w:ind w:right="1090"/>
              <w:spacing w:after="0"/>
              <w:rPr>
                <w:sz w:val="20"/>
                <w:szCs w:val="20"/>
                <w:color w:val="auto"/>
              </w:rPr>
            </w:pPr>
            <w:r>
              <w:rPr>
                <w:rFonts w:ascii="Times New Roman" w:cs="Times New Roman" w:eastAsia="Times New Roman" w:hAnsi="Times New Roman"/>
                <w:sz w:val="18"/>
                <w:szCs w:val="18"/>
                <w:color w:val="auto"/>
              </w:rPr>
              <w:t>Contract Balances</w:t>
            </w:r>
          </w:p>
        </w:tc>
        <w:tc>
          <w:tcPr>
            <w:tcW w:w="3380" w:type="dxa"/>
            <w:vAlign w:val="bottom"/>
          </w:tcPr>
          <w:p>
            <w:pPr>
              <w:spacing w:after="0"/>
              <w:rPr>
                <w:sz w:val="24"/>
                <w:szCs w:val="24"/>
                <w:color w:val="auto"/>
              </w:rPr>
            </w:pPr>
          </w:p>
        </w:tc>
      </w:tr>
      <w:tr>
        <w:trPr>
          <w:trHeight w:val="223"/>
        </w:trPr>
        <w:tc>
          <w:tcPr>
            <w:tcW w:w="34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Contract Asset</w:t>
            </w: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Contract Liability</w:t>
            </w:r>
          </w:p>
        </w:tc>
        <w:tc>
          <w:tcPr>
            <w:tcW w:w="3380" w:type="dxa"/>
            <w:vAlign w:val="bottom"/>
          </w:tcPr>
          <w:p>
            <w:pPr>
              <w:spacing w:after="0"/>
              <w:rPr>
                <w:sz w:val="19"/>
                <w:szCs w:val="19"/>
                <w:color w:val="auto"/>
              </w:rPr>
            </w:pP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 merchandise and services</w:t>
            </w:r>
          </w:p>
        </w:tc>
        <w:tc>
          <w:tcPr>
            <w:tcW w:w="8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12,545,753</w:t>
            </w:r>
          </w:p>
        </w:tc>
        <w:tc>
          <w:tcPr>
            <w:tcW w:w="3380" w:type="dxa"/>
            <w:vAlign w:val="bottom"/>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At-need specialty merchandise</w:t>
            </w: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534,426</w:t>
            </w:r>
          </w:p>
        </w:tc>
        <w:tc>
          <w:tcPr>
            <w:tcW w:w="3380" w:type="dxa"/>
            <w:vAlign w:val="bottom"/>
          </w:tcPr>
          <w:p>
            <w:pPr>
              <w:spacing w:after="0"/>
              <w:rPr>
                <w:sz w:val="18"/>
                <w:szCs w:val="18"/>
                <w:color w:val="auto"/>
              </w:rPr>
            </w:pPr>
          </w:p>
        </w:tc>
      </w:tr>
      <w:tr>
        <w:trPr>
          <w:trHeight w:val="23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 land sales</w:t>
            </w:r>
          </w:p>
        </w:tc>
        <w:tc>
          <w:tcPr>
            <w:tcW w:w="8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19"/>
                <w:szCs w:val="19"/>
                <w:color w:val="auto"/>
              </w:rPr>
            </w:pPr>
          </w:p>
        </w:tc>
      </w:tr>
      <w:tr>
        <w:trPr>
          <w:trHeight w:val="263"/>
        </w:trPr>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Opening (1/1/2021)</w:t>
            </w:r>
          </w:p>
        </w:tc>
        <w:tc>
          <w:tcPr>
            <w:tcW w:w="860" w:type="dxa"/>
            <w:vAlign w:val="bottom"/>
            <w:tcBorders>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13,080,179</w:t>
            </w:r>
          </w:p>
        </w:tc>
        <w:tc>
          <w:tcPr>
            <w:tcW w:w="3380" w:type="dxa"/>
            <w:vAlign w:val="bottom"/>
          </w:tcPr>
          <w:p>
            <w:pPr>
              <w:spacing w:after="0"/>
              <w:rPr>
                <w:sz w:val="22"/>
                <w:szCs w:val="22"/>
                <w:color w:val="auto"/>
              </w:rPr>
            </w:pPr>
          </w:p>
        </w:tc>
      </w:tr>
      <w:tr>
        <w:trPr>
          <w:trHeight w:val="196"/>
        </w:trPr>
        <w:tc>
          <w:tcPr>
            <w:tcW w:w="3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tcBorders>
              <w:right w:val="single" w:sz="8" w:color="CCEEFF"/>
            </w:tcBorders>
            <w:shd w:val="clear" w:color="auto" w:fill="CCEEFF"/>
          </w:tcPr>
          <w:p>
            <w:pPr>
              <w:spacing w:after="0"/>
              <w:rPr>
                <w:sz w:val="17"/>
                <w:szCs w:val="17"/>
                <w:color w:val="auto"/>
              </w:rPr>
            </w:pPr>
          </w:p>
        </w:tc>
        <w:tc>
          <w:tcPr>
            <w:tcW w:w="3380" w:type="dxa"/>
            <w:vAlign w:val="bottom"/>
          </w:tcPr>
          <w:p>
            <w:pPr>
              <w:spacing w:after="0"/>
              <w:rPr>
                <w:sz w:val="17"/>
                <w:szCs w:val="17"/>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Pre-need merchandise and services</w:t>
            </w:r>
          </w:p>
        </w:tc>
        <w:tc>
          <w:tcPr>
            <w:tcW w:w="240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13,722,348</w:t>
            </w:r>
          </w:p>
        </w:tc>
        <w:tc>
          <w:tcPr>
            <w:tcW w:w="338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At-need specialty merchandise</w:t>
            </w:r>
          </w:p>
        </w:tc>
        <w:tc>
          <w:tcPr>
            <w:tcW w:w="8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785,674</w:t>
            </w:r>
          </w:p>
        </w:tc>
        <w:tc>
          <w:tcPr>
            <w:tcW w:w="338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Pre-need land sales</w:t>
            </w:r>
          </w:p>
        </w:tc>
        <w:tc>
          <w:tcPr>
            <w:tcW w:w="8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19"/>
                <w:szCs w:val="19"/>
                <w:color w:val="auto"/>
              </w:rPr>
            </w:pPr>
          </w:p>
        </w:tc>
      </w:tr>
      <w:tr>
        <w:trPr>
          <w:trHeight w:val="223"/>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(12/31/2021)</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14,508,022</w:t>
            </w:r>
          </w:p>
        </w:tc>
        <w:tc>
          <w:tcPr>
            <w:tcW w:w="338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20"/>
        </w:trPr>
        <w:tc>
          <w:tcPr>
            <w:tcW w:w="34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for the years ended December 31, 2022 and 2021 that was included in the opening contract liability balance was $4,588,290 and $4,528,646,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revenue for the Company’s cemetery and mortuary contracts.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18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Borders>
              <w:bottom w:val="single" w:sz="8" w:color="CCEEFF"/>
            </w:tcBorders>
          </w:tcPr>
          <w:p>
            <w:pPr>
              <w:spacing w:after="0"/>
              <w:rPr>
                <w:sz w:val="19"/>
                <w:szCs w:val="19"/>
                <w:color w:val="auto"/>
              </w:rPr>
            </w:pPr>
          </w:p>
        </w:tc>
      </w:tr>
      <w:tr>
        <w:trPr>
          <w:trHeight w:val="190"/>
        </w:trPr>
        <w:tc>
          <w:tcPr>
            <w:tcW w:w="380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Major goods/service lines</w:t>
            </w: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At-need</w:t>
            </w:r>
          </w:p>
        </w:tc>
        <w:tc>
          <w:tcPr>
            <w:tcW w:w="1940" w:type="dxa"/>
            <w:vAlign w:val="bottom"/>
            <w:tcBorders>
              <w:top w:val="single" w:sz="8" w:color="CCEEFF"/>
            </w:tcBorders>
            <w:gridSpan w:val="2"/>
          </w:tcPr>
          <w:p>
            <w:pPr>
              <w:spacing w:after="0"/>
              <w:rPr>
                <w:sz w:val="18"/>
                <w:szCs w:val="18"/>
                <w:color w:val="auto"/>
              </w:rPr>
            </w:pPr>
          </w:p>
        </w:tc>
        <w:tc>
          <w:tcPr>
            <w:tcW w:w="1380" w:type="dxa"/>
            <w:vAlign w:val="bottom"/>
            <w:tcBorders>
              <w:top w:val="single" w:sz="8" w:color="CCEEFF"/>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21,283,237</w:t>
            </w:r>
          </w:p>
        </w:tc>
        <w:tc>
          <w:tcPr>
            <w:tcW w:w="400" w:type="dxa"/>
            <w:vAlign w:val="bottom"/>
            <w:tcBorders>
              <w:top w:val="single" w:sz="8" w:color="CCEEFF"/>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16,220,541</w:t>
            </w:r>
          </w:p>
        </w:tc>
      </w:tr>
      <w:tr>
        <w:trPr>
          <w:trHeight w:val="229"/>
        </w:trPr>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w:t>
            </w: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5,710,618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7,776,772</w:t>
            </w:r>
          </w:p>
        </w:tc>
      </w:tr>
      <w:tr>
        <w:trPr>
          <w:trHeight w:val="263"/>
        </w:trPr>
        <w:tc>
          <w:tcPr>
            <w:tcW w:w="18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26,993,855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23,997,313</w:t>
            </w:r>
          </w:p>
        </w:tc>
        <w:tc>
          <w:tcPr>
            <w:tcW w:w="60" w:type="dxa"/>
            <w:vAlign w:val="bottom"/>
            <w:tcBorders>
              <w:bottom w:val="single" w:sz="8" w:color="CCEEFF"/>
            </w:tcBorders>
          </w:tcPr>
          <w:p>
            <w:pPr>
              <w:spacing w:after="0"/>
              <w:rPr>
                <w:sz w:val="22"/>
                <w:szCs w:val="22"/>
                <w:color w:val="auto"/>
              </w:rPr>
            </w:pPr>
          </w:p>
        </w:tc>
      </w:tr>
      <w:tr>
        <w:trPr>
          <w:trHeight w:val="197"/>
        </w:trPr>
        <w:tc>
          <w:tcPr>
            <w:tcW w:w="1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75"/>
        </w:trPr>
        <w:tc>
          <w:tcPr>
            <w:tcW w:w="38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Timing of Revenue Recognition</w:t>
            </w: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
        </w:trPr>
        <w:tc>
          <w:tcPr>
            <w:tcW w:w="18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Goods transferred at a point in time</w:t>
            </w:r>
          </w:p>
        </w:tc>
        <w:tc>
          <w:tcPr>
            <w:tcW w:w="1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16,412,963</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16,793,439</w:t>
            </w:r>
          </w:p>
        </w:tc>
      </w:tr>
      <w:tr>
        <w:trPr>
          <w:trHeight w:val="230"/>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10,580,892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7,203,874</w:t>
            </w:r>
          </w:p>
        </w:tc>
      </w:tr>
      <w:tr>
        <w:trPr>
          <w:trHeight w:val="223"/>
        </w:trPr>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26,993,855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23,997,313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Judgments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cemetery and mortuary segment recognizes revenue on future performance obligations when goods are delivered and when services are performed and is not determined by the terms or payments of the contract as long as any good or service is paid in full prior to delivery. Prices are determined based on the market at the time a contract is created. Goods or services are not partially completed. There are no significant judgements, estimations or allocation methods when revenue should be recognized.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Practical Expedients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elected to use any of the practical expedients under ASC 606.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cemetery and mortuary segment defers certain costs associated with obtaining a contract on future obligations.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Pre-need Merchandise and Service Revenue</w:t>
      </w:r>
      <w:r>
        <w:rPr>
          <w:rFonts w:ascii="Times New Roman" w:cs="Times New Roman" w:eastAsia="Times New Roman" w:hAnsi="Times New Roman"/>
          <w:sz w:val="18"/>
          <w:szCs w:val="18"/>
          <w:color w:val="auto"/>
        </w:rPr>
        <w:t>: Pre-need merchandise and service revenues are deferred until the goods or services are delivered. Recognition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be years until the obligations are satisfied. Commissions and other costs are capitalized and deferred until the obligation is satisfied. Other costs include rent on pre-need offices and training rooms, and call center costs. Costs that are allocated based on a percentage include family service advisor compensation, bonuses, utilities and supplies that are all used to procure a pre-need sale.</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At-need Specialty Merchandise Revenue</w:t>
      </w:r>
      <w:r>
        <w:rPr>
          <w:rFonts w:ascii="Times New Roman" w:cs="Times New Roman" w:eastAsia="Times New Roman" w:hAnsi="Times New Roman"/>
          <w:sz w:val="18"/>
          <w:szCs w:val="18"/>
          <w:color w:val="auto"/>
        </w:rPr>
        <w:t>: At-need specialty merchandise is ordered from a third-party manufacturer. Generally, at-need specialty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is ordered and received within 90 days of order. These orders are also short-term in nature and are deferred until the product is received from the manufacturer and the obligation is satisfied.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ind w:left="300" w:hanging="292"/>
        <w:spacing w:after="0"/>
        <w:tabs>
          <w:tab w:leader="none" w:pos="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Deferred Pre-need Land Revenue</w:t>
      </w:r>
      <w:r>
        <w:rPr>
          <w:rFonts w:ascii="Times New Roman" w:cs="Times New Roman" w:eastAsia="Times New Roman" w:hAnsi="Times New Roman"/>
          <w:sz w:val="18"/>
          <w:szCs w:val="18"/>
          <w:color w:val="auto"/>
        </w:rPr>
        <w:t>: Revenue is recognized on pre-need land sales when the customer has paid at least 10% toward the land price. In cases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customers pay less than 10% the revenue and associated commissions are deferred until such time when 10% of the contract price is received.</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contract costs that are included in deferred policy and pre-need contract acquisition costs on the consolidated balances sheets.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37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0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 merchandise and services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3,780,173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3,688,579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At-need specialty merchandise</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35,371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29,688</w:t>
            </w:r>
          </w:p>
        </w:tc>
        <w:tc>
          <w:tcPr>
            <w:tcW w:w="40" w:type="dxa"/>
            <w:vAlign w:val="bottom"/>
          </w:tcPr>
          <w:p>
            <w:pPr>
              <w:spacing w:after="0"/>
              <w:rPr>
                <w:sz w:val="18"/>
                <w:szCs w:val="18"/>
                <w:color w:val="auto"/>
              </w:rPr>
            </w:pPr>
          </w:p>
        </w:tc>
      </w:tr>
      <w:tr>
        <w:trPr>
          <w:trHeight w:val="22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 land sales</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r>
      <w:tr>
        <w:trPr>
          <w:trHeight w:val="223"/>
        </w:trPr>
        <w:tc>
          <w:tcPr>
            <w:tcW w:w="3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3,815,544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3,718,267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lease is defined as a contract, or part of a contract, that conveys the right to control the use of identified property, plant, or equipment (an identified asset) for a period of time in exchange for consideration. The Company determines if a contract is a lease at the inception of the contract. At the commencement date of a lease, the Company measures the lease liability at the present value of the lease payments over the lease term, discounted using the discount rate for the lease. The Company uses the rate implicit in the lease, if available, otherwise the Company uses its incremental borrowing rate. Also, at the commencement date of a lease, the Company measures the cost of the related right-of-use asset which consists of the amount of the initial measurement of the lease liability, any lease payments made to the lessor at or before the commencement date, minus any lease incentives received and any initial direct costs incurred by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Nature of Leases and Subleases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leases office space and equipment from third-parties under various non-cancelable agreements. The Company has operating leases for office space for its segments in areas where it conducts business. The Company subleases some of this office space. The Company also has finance leases for certain equipment, such as copy machines and postage machines. The Company does not have any lease agreements with variable lease payments. The Company has not included any options to extend or terminate leases in the recognition of the right-of-use assets or lease liabilities because of the uncertainty that they will be exercised. No residual value guarantees have been provided to the Company. The Company does not have any restrictions or covenants imposed by leases.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 that have not Commenced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leases that have not commenced that create significant rights or obligations for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Lease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related party lease transactions that require disclosure as of December 31,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made an accounting policy election not to apply the recognition requirements of ASC 842 to short-term leases, which are leases that, at the commencement date, have a lease term of 12 months or less and do not include an option to purchase the underlying assets that the lessee is reasonably certain to exercise.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Judgments and Assumptions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use any significant judgments or assumptions regarding the determination of whether a contract contains a lease; the allocation of the consideration in a contract between lease and nonlease components; or the determination of the discount rates for the leases. The following table presents the Company’s total lease cost recognized in earnings, amounts capitalized as right-of-use assets and cash flows from lease transactions.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20" w:type="dxa"/>
            <w:vAlign w:val="bottom"/>
            <w:gridSpan w:val="5"/>
          </w:tcPr>
          <w:p>
            <w:pPr>
              <w:jc w:val="right"/>
              <w:ind w:right="108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62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CCEEFF"/>
            </w:tcBorders>
          </w:tcPr>
          <w:p>
            <w:pPr>
              <w:spacing w:after="0"/>
              <w:rPr>
                <w:sz w:val="19"/>
                <w:szCs w:val="19"/>
                <w:color w:val="auto"/>
              </w:rPr>
            </w:pP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 (1)</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30,163</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41,925</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 (2)</w:t>
            </w:r>
          </w:p>
        </w:tc>
        <w:tc>
          <w:tcPr>
            <w:tcW w:w="38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2,773</w:t>
            </w:r>
          </w:p>
        </w:tc>
        <w:tc>
          <w:tcPr>
            <w:tcW w:w="3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4,713</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 (3)</w:t>
            </w: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4,498,894</w:t>
            </w: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4,896,315</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 (3)(4)</w:t>
            </w:r>
          </w:p>
        </w:tc>
        <w:tc>
          <w:tcPr>
            <w:tcW w:w="38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1,135,003</w:t>
            </w:r>
          </w:p>
        </w:tc>
        <w:tc>
          <w:tcPr>
            <w:tcW w:w="3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167,551</w:t>
            </w:r>
          </w:p>
        </w:tc>
      </w:tr>
      <w:tr>
        <w:trPr>
          <w:trHeight w:val="23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 (3)</w:t>
            </w:r>
          </w:p>
        </w:tc>
        <w:tc>
          <w:tcPr>
            <w:tcW w:w="3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(209,455)</w:t>
            </w: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(275,038)</w:t>
            </w:r>
          </w:p>
        </w:tc>
      </w:tr>
      <w:tr>
        <w:trPr>
          <w:trHeight w:val="263"/>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5,457,378</w:t>
            </w:r>
          </w:p>
        </w:tc>
        <w:tc>
          <w:tcPr>
            <w:tcW w:w="34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4,835,466</w:t>
            </w:r>
          </w:p>
        </w:tc>
        <w:tc>
          <w:tcPr>
            <w:tcW w:w="160" w:type="dxa"/>
            <w:vAlign w:val="bottom"/>
            <w:tcBorders>
              <w:bottom w:val="single" w:sz="8" w:color="CCEEFF"/>
            </w:tcBorders>
          </w:tcPr>
          <w:p>
            <w:pPr>
              <w:spacing w:after="0"/>
              <w:rPr>
                <w:sz w:val="22"/>
                <w:szCs w:val="22"/>
                <w:color w:val="auto"/>
              </w:rPr>
            </w:pPr>
          </w:p>
        </w:tc>
      </w:tr>
      <w:tr>
        <w:trPr>
          <w:trHeight w:val="196"/>
        </w:trPr>
        <w:tc>
          <w:tcPr>
            <w:tcW w:w="6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4,250,630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4,697,819</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2,773</w:t>
            </w: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4,713</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8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31,685</w:t>
            </w:r>
          </w:p>
        </w:tc>
        <w:tc>
          <w:tcPr>
            <w:tcW w:w="3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42,184</w:t>
            </w:r>
          </w:p>
        </w:tc>
      </w:tr>
      <w:tr>
        <w:trPr>
          <w:trHeight w:val="216"/>
        </w:trPr>
        <w:tc>
          <w:tcPr>
            <w:tcW w:w="6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2,054,534</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5,216,048</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38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1.25</w:t>
            </w: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3.46</w:t>
            </w:r>
          </w:p>
        </w:tc>
        <w:tc>
          <w:tcPr>
            <w:tcW w:w="3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6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5.78%</w:t>
            </w: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34"/>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60" w:hanging="292"/>
        <w:spacing w:after="0"/>
        <w:tabs>
          <w:tab w:leader="none" w:pos="3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Depreciation on property and equipment on the consolidated statements of earnings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Interest expense on the consolidated statements of earnings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Rent and rent related expenses on the consolidated statements of earnings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leases with a term of 12 months or less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2022 and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maturity analysis of the Company’s lease liabilities.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80" w:type="dxa"/>
            <w:vAlign w:val="bottom"/>
            <w:gridSpan w:val="4"/>
          </w:tcPr>
          <w:p>
            <w:pPr>
              <w:jc w:val="right"/>
              <w:ind w:right="221"/>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5"/>
          </w:tcPr>
          <w:p>
            <w:pPr>
              <w:jc w:val="right"/>
              <w:ind w:right="181"/>
              <w:spacing w:after="0"/>
              <w:rPr>
                <w:sz w:val="20"/>
                <w:szCs w:val="20"/>
                <w:color w:val="auto"/>
              </w:rPr>
            </w:pPr>
            <w:r>
              <w:rPr>
                <w:rFonts w:ascii="Times New Roman" w:cs="Times New Roman" w:eastAsia="Times New Roman" w:hAnsi="Times New Roman"/>
                <w:sz w:val="18"/>
                <w:szCs w:val="18"/>
                <w:color w:val="auto"/>
              </w:rPr>
              <w:t>Operating Leases</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9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payments due in:</w:t>
            </w:r>
          </w:p>
        </w:tc>
        <w:tc>
          <w:tcPr>
            <w:tcW w:w="13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27,220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3,929,227</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3,328,744</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2,166,880</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1,454,848</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340,112</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2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324,548</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29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36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32,266</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11,544,359</w:t>
            </w:r>
          </w:p>
        </w:tc>
        <w:tc>
          <w:tcPr>
            <w:tcW w:w="60" w:type="dxa"/>
            <w:vAlign w:val="bottom"/>
            <w:tcBorders>
              <w:bottom w:val="single" w:sz="8" w:color="CCEEFF"/>
            </w:tcBorders>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Discount on cash flows</w:t>
            </w:r>
          </w:p>
        </w:tc>
        <w:tc>
          <w:tcPr>
            <w:tcW w:w="13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(947,888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2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360" w:type="dxa"/>
            <w:vAlign w:val="bottom"/>
          </w:tcPr>
          <w:p>
            <w:pPr>
              <w:spacing w:after="0"/>
              <w:rPr>
                <w:sz w:val="19"/>
                <w:szCs w:val="19"/>
                <w:color w:val="auto"/>
              </w:rPr>
            </w:pPr>
          </w:p>
        </w:tc>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31,082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10,596,471</w:t>
            </w: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62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presents the Company’s right-of-use assets and lease liabilities.</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7"/>
          </w:tcPr>
          <w:p>
            <w:pPr>
              <w:jc w:val="right"/>
              <w:ind w:right="64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23"/>
        </w:trPr>
        <w:tc>
          <w:tcPr>
            <w:tcW w:w="1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240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Balance Sheet Location</w:t>
            </w: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19"/>
                <w:szCs w:val="19"/>
                <w:color w:val="auto"/>
              </w:rPr>
            </w:pPr>
          </w:p>
        </w:tc>
      </w:tr>
      <w:tr>
        <w:trPr>
          <w:trHeight w:val="169"/>
        </w:trPr>
        <w:tc>
          <w:tcPr>
            <w:tcW w:w="290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Operating Leases</w:t>
            </w:r>
          </w:p>
        </w:tc>
        <w:tc>
          <w:tcPr>
            <w:tcW w:w="13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
        </w:trPr>
        <w:tc>
          <w:tcPr>
            <w:tcW w:w="11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9,987,699</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12,483,638</w:t>
            </w:r>
          </w:p>
        </w:tc>
      </w:tr>
      <w:tr>
        <w:trPr>
          <w:trHeight w:val="216"/>
        </w:trPr>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80" w:type="dxa"/>
            <w:vAlign w:val="bottom"/>
            <w:gridSpan w:val="3"/>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10,596,471</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12,939,691</w:t>
            </w:r>
          </w:p>
        </w:tc>
      </w:tr>
      <w:tr>
        <w:trPr>
          <w:trHeight w:val="216"/>
        </w:trPr>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5"/>
        </w:trPr>
        <w:tc>
          <w:tcPr>
            <w:tcW w:w="2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Finance Leases</w:t>
            </w: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1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2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228,221</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235,867</w:t>
            </w:r>
          </w:p>
        </w:tc>
      </w:tr>
      <w:tr>
        <w:trPr>
          <w:trHeight w:val="229"/>
        </w:trPr>
        <w:tc>
          <w:tcPr>
            <w:tcW w:w="2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(200,178)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(177,660)</w:t>
            </w:r>
          </w:p>
        </w:tc>
      </w:tr>
      <w:tr>
        <w:trPr>
          <w:trHeight w:val="223"/>
        </w:trPr>
        <w:tc>
          <w:tcPr>
            <w:tcW w:w="29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2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31,082</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62,767</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also a lessor and has operating lease agreements with various tenants that lease its commercial and residential properties. See Note 2 for information about the Company’s real estate held for investment.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the Company’s management, including the Chief Executive Officer and Chief Financial Officer, the Company has evaluated the effectiveness of its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Management’s annual report on internal control over financial reporting.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The Company’s internal control over financial reporting is a process that is designed to provide reasonable assurance regarding the reliability of financial reporting and the preparation of financial statements for external purposes in accordance with generally accepted accounting principles (“GAAP”), and includes those policies and procedures that:</w:t>
      </w:r>
    </w:p>
    <w:p>
      <w:pPr>
        <w:spacing w:after="0" w:line="180" w:lineRule="exact"/>
        <w:rPr>
          <w:sz w:val="20"/>
          <w:szCs w:val="20"/>
          <w:color w:val="auto"/>
        </w:rPr>
      </w:pPr>
    </w:p>
    <w:p>
      <w:pPr>
        <w:ind w:left="660" w:hanging="328"/>
        <w:spacing w:after="0" w:line="282"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assets of the Company,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are being made only in accordance with authorizations of management and the Board of Directors of the Company, and 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performed an assessment of the effectiveness of the Company’s internal control over financial reporting as of December 31, 2022 based on the framework in “Internal Control-Integrated Framework (2013)” issued by the Committee of Sponsoring Organizations of the Treadway Commission. The objective of this assessment was to determine whether the Company’s internal control over financial reporting was effective as of December 31, 2022. Based on that assessment management believes that at December 31, 2022, the Company’s internal control over financial reporting was effective.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annual report on internal control over financial reporting does not include an attestation report of the Company’s registered public accounting firm regarding internal control over financial reporting. Management’s report was not subject to attestation by the Company’s registered public accounting firm pursuant to rules of the Securities and Exchange Commission that permit the Company to provide only management’s report in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Changes in internal control over financial reporting.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that occurred in the fourth quarter 2022 that has materially affected, or is reasonably likely to materially affect,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8"/>
          <w:szCs w:val="18"/>
          <w:color w:val="auto"/>
        </w:rPr>
        <w:t>PART III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 11, 12, 13 and 14.</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by these items is incorporated by reference to the Company’s definitive proxy statement relating to its 2023 Annual Meeting of Shareholders. The Company currently anticipates that its definitive proxy statement will be filed with the SEC not later than 120 days after December 31, 2022, pursuant to Regulation 14A of the Securities and Exchange Act of 1934, as amended.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PART IV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8"/>
          <w:szCs w:val="18"/>
          <w:u w:val="single" w:color="auto"/>
          <w:color w:val="auto"/>
        </w:rPr>
        <w:t>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Consolidated Financial Statements” under Item 8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(a)(2) </w:t>
      </w:r>
      <w:r>
        <w:rPr>
          <w:rFonts w:ascii="Times New Roman" w:cs="Times New Roman" w:eastAsia="Times New Roman" w:hAnsi="Times New Roman"/>
          <w:sz w:val="18"/>
          <w:szCs w:val="18"/>
          <w:u w:val="single" w:color="auto"/>
          <w:color w:val="auto"/>
        </w:rPr>
        <w:t>Financial Statement Schedules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IV. Reinsurance</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V. Valuation and Qualifying Accounts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other schedules to the consolidated financial statements required by Article 7 of Regulation S-X are not required under the related instructions or are inapplicable and therefore have been omitted.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herewith pursuant to Rule 601 of Regulation S-K or are incorporated by reference to previous filings.</w:t>
      </w:r>
    </w:p>
    <w:p>
      <w:pPr>
        <w:spacing w:after="0" w:line="212"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7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Amended and Restated Articles of Incorporation (4)</w:t>
              </w:r>
            </w:hyperlink>
          </w:p>
        </w:tc>
        <w:tc>
          <w:tcPr>
            <w:tcW w:w="2900" w:type="dxa"/>
            <w:vAlign w:val="bottom"/>
            <w:gridSpan w:val="3"/>
          </w:tcPr>
          <w:p>
            <w:pPr>
              <w:spacing w:after="0"/>
              <w:rPr>
                <w:sz w:val="18"/>
                <w:szCs w:val="18"/>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6660" w:type="dxa"/>
            <w:vAlign w:val="bottom"/>
            <w:gridSpan w:val="7"/>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Amended and Restated Bylaws (6)</w:t>
              </w:r>
            </w:hyperlink>
          </w:p>
        </w:tc>
      </w:tr>
      <w:tr>
        <w:trPr>
          <w:trHeight w:val="20"/>
        </w:trPr>
        <w:tc>
          <w:tcPr>
            <w:tcW w:w="84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6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Specimen Class A Stock Certificate (1)</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6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Specimen Class C Stock Certificate (1)</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66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Specimen Preferred Stock Certificate and Certificate of Designation of Preferred Stock (1)</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66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Employee Stock Ownership Plan, as amended and restated (ESOP) and Trust Agreement (1)</w:t>
            </w:r>
          </w:p>
        </w:tc>
      </w:tr>
      <w:tr>
        <w:trPr>
          <w:trHeight w:val="194"/>
        </w:trPr>
        <w:tc>
          <w:tcPr>
            <w:tcW w:w="8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6280" w:type="dxa"/>
            <w:vAlign w:val="bottom"/>
            <w:tcBorders>
              <w:bottom w:val="single" w:sz="8" w:color="0000EE"/>
            </w:tcBorders>
            <w:gridSpan w:val="6"/>
          </w:tcPr>
          <w:p>
            <w:pPr>
              <w:spacing w:after="0" w:line="194"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Amended and Restated 2013 Stock Option and Other Equity Incentive Awards Plan (3)</w:t>
              </w:r>
            </w:hyperlink>
          </w:p>
        </w:tc>
        <w:tc>
          <w:tcPr>
            <w:tcW w:w="380" w:type="dxa"/>
            <w:vAlign w:val="bottom"/>
          </w:tcPr>
          <w:p>
            <w:pPr>
              <w:spacing w:after="0"/>
              <w:rPr>
                <w:sz w:val="16"/>
                <w:szCs w:val="16"/>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43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Amended and Restated 2014 Director Stock Option Plan (7)</w:t>
              </w:r>
            </w:hyperlink>
          </w:p>
        </w:tc>
        <w:tc>
          <w:tcPr>
            <w:tcW w:w="2320" w:type="dxa"/>
            <w:vAlign w:val="bottom"/>
            <w:gridSpan w:val="2"/>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35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Employment Agreement with Scott M. Quist (2)</w:t>
              </w:r>
            </w:hyperlink>
          </w:p>
        </w:tc>
        <w:tc>
          <w:tcPr>
            <w:tcW w:w="3160" w:type="dxa"/>
            <w:vAlign w:val="bottom"/>
            <w:gridSpan w:val="4"/>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9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Stock Repurchase Plan (5)</w:t>
              </w:r>
            </w:hyperlink>
          </w:p>
        </w:tc>
        <w:tc>
          <w:tcPr>
            <w:tcW w:w="4740" w:type="dxa"/>
            <w:vAlign w:val="bottom"/>
            <w:gridSpan w:val="6"/>
          </w:tcPr>
          <w:p>
            <w:pPr>
              <w:spacing w:after="0"/>
              <w:rPr>
                <w:sz w:val="17"/>
                <w:szCs w:val="17"/>
                <w:color w:val="auto"/>
              </w:rPr>
            </w:pPr>
          </w:p>
        </w:tc>
      </w:tr>
    </w:tbl>
    <w:p>
      <w:pPr>
        <w:spacing w:after="0" w:line="9" w:lineRule="exact"/>
        <w:rPr>
          <w:sz w:val="20"/>
          <w:szCs w:val="20"/>
          <w:color w:val="auto"/>
        </w:rPr>
      </w:pPr>
    </w:p>
    <w:p>
      <w:pPr>
        <w:ind w:left="1820" w:hanging="840"/>
        <w:spacing w:after="0"/>
        <w:tabs>
          <w:tab w:leader="none" w:pos="1820" w:val="left"/>
        </w:tabs>
        <w:numPr>
          <w:ilvl w:val="0"/>
          <w:numId w:val="108"/>
        </w:numPr>
        <w:rPr>
          <w:rFonts w:ascii="Times New Roman" w:cs="Times New Roman" w:eastAsia="Times New Roman" w:hAnsi="Times New Roman"/>
          <w:sz w:val="18"/>
          <w:szCs w:val="18"/>
          <w:u w:val="single" w:color="auto"/>
          <w:color w:val="0000EE"/>
        </w:rPr>
      </w:pPr>
      <w:hyperlink r:id="rId201">
        <w:r>
          <w:rPr>
            <w:rFonts w:ascii="Times New Roman" w:cs="Times New Roman" w:eastAsia="Times New Roman" w:hAnsi="Times New Roman"/>
            <w:sz w:val="18"/>
            <w:szCs w:val="18"/>
            <w:u w:val="single" w:color="auto"/>
            <w:color w:val="0000EE"/>
          </w:rPr>
          <w:t>Code of Business Conduct and Ethics (6)</w:t>
        </w:r>
      </w:hyperlink>
    </w:p>
    <w:p>
      <w:pPr>
        <w:spacing w:after="0" w:line="27" w:lineRule="exact"/>
        <w:rPr>
          <w:sz w:val="20"/>
          <w:szCs w:val="20"/>
          <w:color w:val="auto"/>
        </w:rPr>
      </w:pPr>
    </w:p>
    <w:p>
      <w:pPr>
        <w:ind w:left="1820" w:hanging="840"/>
        <w:spacing w:after="0"/>
        <w:tabs>
          <w:tab w:leader="none" w:pos="18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Subsidiaries of the Registrant</w:t>
      </w:r>
    </w:p>
    <w:tbl>
      <w:tblPr>
        <w:tblLayout w:type="fixed"/>
        <w:tblInd w:w="980" w:type="dxa"/>
        <w:tblCellMar>
          <w:top w:w="0" w:type="dxa"/>
          <w:left w:w="0" w:type="dxa"/>
          <w:bottom w:w="0" w:type="dxa"/>
          <w:right w:w="0" w:type="dxa"/>
        </w:tblCellMar>
      </w:tblPr>
      <w:tr>
        <w:trPr>
          <w:trHeight w:val="185"/>
        </w:trPr>
        <w:tc>
          <w:tcPr>
            <w:tcW w:w="8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31.1</w:t>
            </w:r>
          </w:p>
        </w:tc>
        <w:tc>
          <w:tcPr>
            <w:tcW w:w="2000" w:type="dxa"/>
            <w:vAlign w:val="bottom"/>
            <w:tcBorders>
              <w:bottom w:val="single" w:sz="8" w:color="0000EE"/>
            </w:tcBorders>
          </w:tcPr>
          <w:p>
            <w:pPr>
              <w:spacing w:after="0" w:line="184" w:lineRule="exact"/>
              <w:rPr>
                <w:sz w:val="20"/>
                <w:szCs w:val="20"/>
                <w:color w:val="auto"/>
              </w:rPr>
            </w:pPr>
            <w:r>
              <w:rPr>
                <w:rFonts w:ascii="Times New Roman" w:cs="Times New Roman" w:eastAsia="Times New Roman" w:hAnsi="Times New Roman"/>
                <w:sz w:val="18"/>
                <w:szCs w:val="18"/>
                <w:color w:val="0000EE"/>
                <w:w w:val="99"/>
              </w:rPr>
              <w:t>Certification pursuant to 18</w:t>
            </w:r>
          </w:p>
        </w:tc>
        <w:tc>
          <w:tcPr>
            <w:tcW w:w="6020" w:type="dxa"/>
            <w:vAlign w:val="bottom"/>
            <w:tcBorders>
              <w:bottom w:val="single" w:sz="8" w:color="0000EE"/>
            </w:tcBorders>
          </w:tcPr>
          <w:p>
            <w:pPr>
              <w:ind w:left="20"/>
              <w:spacing w:after="0" w:line="184" w:lineRule="exact"/>
              <w:rPr>
                <w:sz w:val="20"/>
                <w:szCs w:val="20"/>
                <w:color w:val="auto"/>
              </w:rPr>
            </w:pPr>
            <w:r>
              <w:rPr>
                <w:rFonts w:ascii="Times New Roman" w:cs="Times New Roman" w:eastAsia="Times New Roman" w:hAnsi="Times New Roman"/>
                <w:sz w:val="18"/>
                <w:szCs w:val="18"/>
                <w:color w:val="0000EE"/>
                <w:w w:val="99"/>
              </w:rPr>
              <w:t>U.S.C. Section 1350, as enacted by Section 302 of the Sarbanes-Oxley Act of 2002</w:t>
            </w:r>
          </w:p>
        </w:tc>
        <w:tc>
          <w:tcPr>
            <w:tcW w:w="640" w:type="dxa"/>
            <w:vAlign w:val="bottom"/>
          </w:tcPr>
          <w:p>
            <w:pPr>
              <w:spacing w:after="0"/>
              <w:rPr>
                <w:sz w:val="16"/>
                <w:szCs w:val="16"/>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0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w:t>
            </w:r>
          </w:p>
        </w:tc>
        <w:tc>
          <w:tcPr>
            <w:tcW w:w="602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enacted by Section 302 of the Sarbanes-Oxley Act of 2002</w:t>
            </w:r>
          </w:p>
        </w:tc>
        <w:tc>
          <w:tcPr>
            <w:tcW w:w="640" w:type="dxa"/>
            <w:vAlign w:val="bottom"/>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0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w:t>
            </w:r>
          </w:p>
        </w:tc>
        <w:tc>
          <w:tcPr>
            <w:tcW w:w="66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0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w:t>
            </w:r>
          </w:p>
        </w:tc>
        <w:tc>
          <w:tcPr>
            <w:tcW w:w="66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r>
      <w:tr>
        <w:trPr>
          <w:trHeight w:val="2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1820" w:hanging="840"/>
        <w:spacing w:after="0"/>
        <w:tabs>
          <w:tab w:leader="none" w:pos="18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Registration Statement on Form S-1, as filed on June 29, 1987</w:t>
      </w:r>
    </w:p>
    <w:p>
      <w:pPr>
        <w:spacing w:after="0" w:line="27" w:lineRule="exact"/>
        <w:rPr>
          <w:rFonts w:ascii="Times New Roman" w:cs="Times New Roman" w:eastAsia="Times New Roman" w:hAnsi="Times New Roman"/>
          <w:sz w:val="18"/>
          <w:szCs w:val="18"/>
          <w:color w:val="auto"/>
        </w:rPr>
      </w:pPr>
    </w:p>
    <w:p>
      <w:pPr>
        <w:ind w:left="1820" w:hanging="840"/>
        <w:spacing w:after="0"/>
        <w:tabs>
          <w:tab w:leader="none" w:pos="18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November 13, 2015</w:t>
      </w:r>
    </w:p>
    <w:p>
      <w:pPr>
        <w:spacing w:after="0" w:line="9" w:lineRule="exact"/>
        <w:rPr>
          <w:rFonts w:ascii="Times New Roman" w:cs="Times New Roman" w:eastAsia="Times New Roman" w:hAnsi="Times New Roman"/>
          <w:sz w:val="18"/>
          <w:szCs w:val="18"/>
          <w:color w:val="auto"/>
        </w:rPr>
      </w:pPr>
    </w:p>
    <w:p>
      <w:pPr>
        <w:ind w:left="1820" w:hanging="840"/>
        <w:spacing w:after="0"/>
        <w:tabs>
          <w:tab w:leader="none" w:pos="18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August 15, 2016</w:t>
      </w:r>
    </w:p>
    <w:p>
      <w:pPr>
        <w:spacing w:after="0" w:line="9" w:lineRule="exact"/>
        <w:rPr>
          <w:rFonts w:ascii="Times New Roman" w:cs="Times New Roman" w:eastAsia="Times New Roman" w:hAnsi="Times New Roman"/>
          <w:sz w:val="18"/>
          <w:szCs w:val="18"/>
          <w:color w:val="auto"/>
        </w:rPr>
      </w:pPr>
    </w:p>
    <w:p>
      <w:pPr>
        <w:ind w:left="1820" w:hanging="840"/>
        <w:spacing w:after="0"/>
        <w:tabs>
          <w:tab w:leader="none" w:pos="18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10-K, as filed on March 31, 2017</w:t>
      </w:r>
    </w:p>
    <w:p>
      <w:pPr>
        <w:spacing w:after="0" w:line="9" w:lineRule="exact"/>
        <w:rPr>
          <w:rFonts w:ascii="Times New Roman" w:cs="Times New Roman" w:eastAsia="Times New Roman" w:hAnsi="Times New Roman"/>
          <w:sz w:val="18"/>
          <w:szCs w:val="18"/>
          <w:color w:val="auto"/>
        </w:rPr>
      </w:pPr>
    </w:p>
    <w:p>
      <w:pPr>
        <w:ind w:left="1820" w:hanging="840"/>
        <w:spacing w:after="0"/>
        <w:tabs>
          <w:tab w:leader="none" w:pos="18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November 13, 2018</w:t>
      </w:r>
    </w:p>
    <w:p>
      <w:pPr>
        <w:spacing w:after="0" w:line="9" w:lineRule="exact"/>
        <w:rPr>
          <w:rFonts w:ascii="Times New Roman" w:cs="Times New Roman" w:eastAsia="Times New Roman" w:hAnsi="Times New Roman"/>
          <w:sz w:val="18"/>
          <w:szCs w:val="18"/>
          <w:color w:val="auto"/>
        </w:rPr>
      </w:pPr>
    </w:p>
    <w:p>
      <w:pPr>
        <w:ind w:left="1820" w:hanging="840"/>
        <w:spacing w:after="0"/>
        <w:tabs>
          <w:tab w:leader="none" w:pos="18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May 15, 2019</w:t>
      </w:r>
    </w:p>
    <w:p>
      <w:pPr>
        <w:spacing w:after="0" w:line="9" w:lineRule="exact"/>
        <w:rPr>
          <w:rFonts w:ascii="Times New Roman" w:cs="Times New Roman" w:eastAsia="Times New Roman" w:hAnsi="Times New Roman"/>
          <w:sz w:val="18"/>
          <w:szCs w:val="18"/>
          <w:color w:val="auto"/>
        </w:rPr>
      </w:pPr>
    </w:p>
    <w:p>
      <w:pPr>
        <w:ind w:left="1820" w:hanging="840"/>
        <w:spacing w:after="0"/>
        <w:tabs>
          <w:tab w:leader="none" w:pos="18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August 14, 2020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SECURITY NATIONAL FINANCIAL CORPORATION</w:t>
            </w:r>
          </w:p>
        </w:tc>
      </w:tr>
      <w:tr>
        <w:trPr>
          <w:trHeight w:val="43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31, 2023</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Scott M. Quist</w:t>
            </w:r>
          </w:p>
        </w:tc>
      </w:tr>
      <w:tr>
        <w:trPr>
          <w:trHeight w:val="198"/>
        </w:trPr>
        <w:tc>
          <w:tcPr>
            <w:tcW w:w="36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2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Scott M. Quist</w:t>
            </w:r>
          </w:p>
        </w:tc>
      </w:tr>
      <w:tr>
        <w:trPr>
          <w:trHeight w:val="234"/>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SIGNATURE</w:t>
            </w:r>
          </w:p>
        </w:tc>
        <w:tc>
          <w:tcPr>
            <w:tcW w:w="240" w:type="dxa"/>
            <w:vAlign w:val="bottom"/>
          </w:tcPr>
          <w:p>
            <w:pPr>
              <w:spacing w:after="0"/>
              <w:rPr>
                <w:sz w:val="20"/>
                <w:szCs w:val="20"/>
                <w:color w:val="auto"/>
              </w:rPr>
            </w:pPr>
          </w:p>
        </w:tc>
        <w:tc>
          <w:tcPr>
            <w:tcW w:w="506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220" w:type="dxa"/>
            <w:vAlign w:val="bottom"/>
          </w:tcPr>
          <w:p>
            <w:pPr>
              <w:spacing w:after="0"/>
              <w:rPr>
                <w:sz w:val="20"/>
                <w:szCs w:val="20"/>
                <w:color w:val="auto"/>
              </w:rPr>
            </w:pPr>
          </w:p>
        </w:tc>
        <w:tc>
          <w:tcPr>
            <w:tcW w:w="26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DATE</w:t>
            </w:r>
          </w:p>
        </w:tc>
      </w:tr>
      <w:tr>
        <w:trPr>
          <w:trHeight w:val="432"/>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c>
          <w:tcPr>
            <w:tcW w:w="2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President, and Chief Executive</w:t>
            </w: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Scott M. Quist</w:t>
            </w:r>
          </w:p>
        </w:tc>
        <w:tc>
          <w:tcPr>
            <w:tcW w:w="24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Officer (Principal Executive Officer)</w:t>
            </w:r>
          </w:p>
        </w:tc>
        <w:tc>
          <w:tcPr>
            <w:tcW w:w="2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31, 2023</w:t>
            </w:r>
          </w:p>
        </w:tc>
      </w:tr>
      <w:tr>
        <w:trPr>
          <w:trHeight w:val="414"/>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c>
          <w:tcPr>
            <w:tcW w:w="2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Garrett S. Sill</w:t>
            </w:r>
          </w:p>
        </w:tc>
        <w:tc>
          <w:tcPr>
            <w:tcW w:w="24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31, 2023</w:t>
            </w:r>
          </w:p>
        </w:tc>
      </w:tr>
      <w:tr>
        <w:trPr>
          <w:trHeight w:val="414"/>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Jason G. Overbaugh</w:t>
            </w:r>
          </w:p>
        </w:tc>
        <w:tc>
          <w:tcPr>
            <w:tcW w:w="2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Director</w:t>
            </w:r>
          </w:p>
        </w:tc>
        <w:tc>
          <w:tcPr>
            <w:tcW w:w="2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31, 2023</w:t>
            </w: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Jason G. Overbaugh</w:t>
            </w:r>
          </w:p>
        </w:tc>
        <w:tc>
          <w:tcPr>
            <w:tcW w:w="2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4"/>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 Andrew Quist</w:t>
            </w:r>
          </w:p>
        </w:tc>
        <w:tc>
          <w:tcPr>
            <w:tcW w:w="2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Director</w:t>
            </w:r>
          </w:p>
        </w:tc>
        <w:tc>
          <w:tcPr>
            <w:tcW w:w="2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31, 2023</w:t>
            </w: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 Andrew Quist</w:t>
            </w:r>
          </w:p>
        </w:tc>
        <w:tc>
          <w:tcPr>
            <w:tcW w:w="2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4"/>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Adam G. Quist</w:t>
            </w:r>
          </w:p>
        </w:tc>
        <w:tc>
          <w:tcPr>
            <w:tcW w:w="2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Director</w:t>
            </w:r>
          </w:p>
        </w:tc>
        <w:tc>
          <w:tcPr>
            <w:tcW w:w="2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31, 2023</w:t>
            </w: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Adam G. Quist</w:t>
            </w:r>
          </w:p>
        </w:tc>
        <w:tc>
          <w:tcPr>
            <w:tcW w:w="2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4"/>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John L. Cook</w:t>
            </w:r>
          </w:p>
        </w:tc>
        <w:tc>
          <w:tcPr>
            <w:tcW w:w="2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31, 2023</w:t>
            </w: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John L. Cook</w:t>
            </w:r>
          </w:p>
        </w:tc>
        <w:tc>
          <w:tcPr>
            <w:tcW w:w="2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4"/>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Gilbert A. Fuller</w:t>
            </w:r>
          </w:p>
        </w:tc>
        <w:tc>
          <w:tcPr>
            <w:tcW w:w="2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31, 2023</w:t>
            </w: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Gilbert A. Fuller</w:t>
            </w:r>
          </w:p>
        </w:tc>
        <w:tc>
          <w:tcPr>
            <w:tcW w:w="2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4"/>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Robert G. Hunter</w:t>
            </w:r>
          </w:p>
        </w:tc>
        <w:tc>
          <w:tcPr>
            <w:tcW w:w="2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31, 2023</w:t>
            </w: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Robert G. Hunter</w:t>
            </w:r>
          </w:p>
        </w:tc>
        <w:tc>
          <w:tcPr>
            <w:tcW w:w="2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4"/>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Ludmya B. Love</w:t>
            </w:r>
          </w:p>
        </w:tc>
        <w:tc>
          <w:tcPr>
            <w:tcW w:w="2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31, 2023</w:t>
            </w: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Ludmya B. Love</w:t>
            </w:r>
          </w:p>
        </w:tc>
        <w:tc>
          <w:tcPr>
            <w:tcW w:w="2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4"/>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Shital A. Mehta</w:t>
            </w:r>
          </w:p>
        </w:tc>
        <w:tc>
          <w:tcPr>
            <w:tcW w:w="2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31, 2023</w:t>
            </w: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Shital A. Mehta</w:t>
            </w:r>
          </w:p>
        </w:tc>
        <w:tc>
          <w:tcPr>
            <w:tcW w:w="2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4"/>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 Craig Moody</w:t>
            </w:r>
          </w:p>
        </w:tc>
        <w:tc>
          <w:tcPr>
            <w:tcW w:w="2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31, 2023</w:t>
            </w: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H. Craig Moody</w:t>
            </w:r>
          </w:p>
        </w:tc>
        <w:tc>
          <w:tcPr>
            <w:tcW w:w="2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21"/>
        </w:trPr>
        <w:tc>
          <w:tcPr>
            <w:tcW w:w="30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2"/>
          </w:tcPr>
          <w:p>
            <w:pPr>
              <w:jc w:val="right"/>
              <w:ind w:right="2490"/>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 Insurance in force ($000)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Premiums: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Life Insurance</w:t>
      </w:r>
    </w:p>
    <w:p>
      <w:pPr>
        <w:spacing w:after="0" w:line="9" w:lineRule="exact"/>
        <w:rPr>
          <w:sz w:val="20"/>
          <w:szCs w:val="20"/>
          <w:color w:val="auto"/>
        </w:rPr>
      </w:pPr>
    </w:p>
    <w:p>
      <w:pPr>
        <w:ind w:left="360" w:right="400" w:hanging="179"/>
        <w:spacing w:after="0" w:line="276" w:lineRule="auto"/>
        <w:rPr>
          <w:sz w:val="20"/>
          <w:szCs w:val="20"/>
          <w:color w:val="auto"/>
        </w:rPr>
      </w:pPr>
      <w:r>
        <w:rPr>
          <w:rFonts w:ascii="Times New Roman" w:cs="Times New Roman" w:eastAsia="Times New Roman" w:hAnsi="Times New Roman"/>
          <w:sz w:val="18"/>
          <w:szCs w:val="18"/>
          <w:color w:val="auto"/>
        </w:rPr>
        <w:t>Accident and Health Insurance Total premiums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 Insurance in force ($000)</w:t>
      </w:r>
    </w:p>
    <w:p>
      <w:pPr>
        <w:spacing w:after="0" w:line="20" w:lineRule="exact"/>
        <w:rPr>
          <w:sz w:val="20"/>
          <w:szCs w:val="20"/>
          <w:color w:val="auto"/>
        </w:rPr>
      </w:pPr>
      <w:r>
        <w:rPr>
          <w:sz w:val="20"/>
          <w:szCs w:val="20"/>
          <w:color w:val="auto"/>
        </w:rPr>
        <w:br w:type="column"/>
      </w:r>
    </w:p>
    <w:p>
      <w:pPr>
        <w:jc w:val="center"/>
        <w:ind w:right="3540"/>
        <w:spacing w:after="0"/>
        <w:rPr>
          <w:sz w:val="20"/>
          <w:szCs w:val="20"/>
          <w:color w:val="auto"/>
        </w:rPr>
      </w:pPr>
      <w:r>
        <w:rPr>
          <w:rFonts w:ascii="Times New Roman" w:cs="Times New Roman" w:eastAsia="Times New Roman" w:hAnsi="Times New Roman"/>
          <w:sz w:val="18"/>
          <w:szCs w:val="18"/>
          <w:color w:val="auto"/>
        </w:rPr>
        <w:t>Schedule IV</w:t>
      </w:r>
    </w:p>
    <w:p>
      <w:pPr>
        <w:spacing w:after="0" w:line="225"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39"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color w:val="auto"/>
              </w:rPr>
              <w:t>Reinsurance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Percentage</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Ceded to</w:t>
            </w:r>
          </w:p>
        </w:tc>
        <w:tc>
          <w:tcPr>
            <w:tcW w:w="12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Assumed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Amount</w:t>
            </w:r>
          </w:p>
        </w:tc>
      </w:tr>
      <w:tr>
        <w:trPr>
          <w:trHeight w:val="22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Other</w:t>
            </w:r>
          </w:p>
        </w:tc>
        <w:tc>
          <w:tcPr>
            <w:tcW w:w="120" w:type="dxa"/>
            <w:vAlign w:val="bottom"/>
          </w:tcPr>
          <w:p>
            <w:pPr>
              <w:spacing w:after="0"/>
              <w:rPr>
                <w:sz w:val="19"/>
                <w:szCs w:val="19"/>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from Other</w:t>
            </w:r>
          </w:p>
        </w:tc>
        <w:tc>
          <w:tcPr>
            <w:tcW w:w="140" w:type="dxa"/>
            <w:vAlign w:val="bottom"/>
          </w:tcPr>
          <w:p>
            <w:pPr>
              <w:spacing w:after="0"/>
              <w:rPr>
                <w:sz w:val="19"/>
                <w:szCs w:val="19"/>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Net</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Assumed</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Companies</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Companies</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Amount</w:t>
            </w:r>
          </w:p>
        </w:tc>
        <w:tc>
          <w:tcPr>
            <w:tcW w:w="3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 Net</w:t>
            </w:r>
          </w:p>
        </w:tc>
        <w:tc>
          <w:tcPr>
            <w:tcW w:w="140" w:type="dxa"/>
            <w:vAlign w:val="bottom"/>
            <w:gridSpan w:val="2"/>
          </w:tcPr>
          <w:p>
            <w:pPr>
              <w:spacing w:after="0"/>
              <w:rPr>
                <w:sz w:val="20"/>
                <w:szCs w:val="20"/>
                <w:color w:val="auto"/>
              </w:rPr>
            </w:pPr>
          </w:p>
        </w:tc>
      </w:tr>
      <w:tr>
        <w:trPr>
          <w:trHeight w:val="453"/>
        </w:trPr>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2,741,183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346,749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124,774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2,519,208</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10"/>
        </w:trPr>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105,697,658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2,004,925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766,529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104,459,262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8"/>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542,370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1"/>
                <w:szCs w:val="21"/>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542,378</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106,240,028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2,004,925</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766,537</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105,001,640</w:t>
            </w:r>
          </w:p>
        </w:tc>
        <w:tc>
          <w:tcPr>
            <w:tcW w:w="340" w:type="dxa"/>
            <w:vAlign w:val="bottom"/>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655"/>
        </w:trPr>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2,734,592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364,471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129,166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2,499,287</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-1516380</wp:posOffset>
            </wp:positionV>
            <wp:extent cx="7132320" cy="145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-1207770</wp:posOffset>
            </wp:positionV>
            <wp:extent cx="713232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-916305</wp:posOffset>
            </wp:positionV>
            <wp:extent cx="71323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-633730</wp:posOffset>
            </wp:positionV>
            <wp:extent cx="7132320" cy="163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-316865</wp:posOffset>
            </wp:positionV>
            <wp:extent cx="713232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820" w:space="720"/>
            <w:col w:w="7700"/>
          </w:cols>
          <w:pgMar w:left="320" w:top="688"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3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Premiums: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Life Insurance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101,448,883</w:t>
            </w:r>
          </w:p>
        </w:tc>
        <w:tc>
          <w:tcPr>
            <w:tcW w:w="5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2,074,552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527,702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99,902,033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Accident and Health Insurance</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352,528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352,540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3"/>
        </w:trPr>
        <w:tc>
          <w:tcPr>
            <w:tcW w:w="33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premiums</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101,801,411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2,074,552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527,714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100,254,573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9"/>
        </w:trPr>
        <w:tc>
          <w:tcPr>
            <w:tcW w:w="3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122</w:t>
            </w: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type w:val="continuous"/>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color w:val="auto"/>
        </w:rPr>
        <w:t>Schedule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Valuation and Qualifying Accounts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24"/>
                <w:szCs w:val="24"/>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Deductions</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Charged to</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Disposals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Balance</w:t>
            </w:r>
          </w:p>
        </w:tc>
      </w:tr>
      <w:tr>
        <w:trPr>
          <w:trHeight w:val="229"/>
        </w:trPr>
        <w:tc>
          <w:tcPr>
            <w:tcW w:w="2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Beginning</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Costs and</w:t>
            </w:r>
          </w:p>
        </w:tc>
        <w:tc>
          <w:tcPr>
            <w:tcW w:w="120" w:type="dxa"/>
            <w:vAlign w:val="bottom"/>
          </w:tcPr>
          <w:p>
            <w:pPr>
              <w:spacing w:after="0"/>
              <w:rPr>
                <w:sz w:val="19"/>
                <w:szCs w:val="19"/>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and</w:t>
            </w:r>
          </w:p>
        </w:tc>
        <w:tc>
          <w:tcPr>
            <w:tcW w:w="15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Other Items and</w:t>
            </w:r>
          </w:p>
        </w:tc>
        <w:tc>
          <w:tcPr>
            <w:tcW w:w="16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at End of</w:t>
            </w:r>
          </w:p>
        </w:tc>
      </w:tr>
      <w:tr>
        <w:trPr>
          <w:trHeight w:val="234"/>
        </w:trPr>
        <w:tc>
          <w:tcPr>
            <w:tcW w:w="2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of Year</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Expenses</w:t>
            </w:r>
          </w:p>
        </w:tc>
        <w:tc>
          <w:tcPr>
            <w:tcW w:w="120" w:type="dxa"/>
            <w:vAlign w:val="bottom"/>
          </w:tcPr>
          <w:p>
            <w:pPr>
              <w:spacing w:after="0"/>
              <w:rPr>
                <w:sz w:val="20"/>
                <w:szCs w:val="20"/>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Write-offs</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1"/>
              </w:rPr>
              <w:t>Year</w:t>
            </w:r>
          </w:p>
        </w:tc>
      </w:tr>
      <w:tr>
        <w:trPr>
          <w:trHeight w:val="169"/>
        </w:trPr>
        <w:tc>
          <w:tcPr>
            <w:tcW w:w="394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For the Year Ended December 31, 2022</w:t>
            </w: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
        </w:trPr>
        <w:tc>
          <w:tcPr>
            <w:tcW w:w="286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39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Accumulated depreciation on real estate held for</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17,692,038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6,101,166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23,793,204</w:t>
            </w:r>
          </w:p>
        </w:tc>
      </w:tr>
      <w:tr>
        <w:trPr>
          <w:trHeight w:val="216"/>
        </w:trPr>
        <w:tc>
          <w:tcPr>
            <w:tcW w:w="2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39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Allowance for losses on mortgage loans held for</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1,699,902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270,409</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1,970,311</w:t>
            </w:r>
          </w:p>
        </w:tc>
      </w:tr>
      <w:tr>
        <w:trPr>
          <w:trHeight w:val="216"/>
        </w:trPr>
        <w:tc>
          <w:tcPr>
            <w:tcW w:w="2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39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Accumulated depreciation on property and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19,814,110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2,496,906</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(8,776,960)</w:t>
            </w:r>
          </w:p>
        </w:tc>
        <w:tc>
          <w:tcPr>
            <w:tcW w:w="3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13,534,056</w:t>
            </w:r>
          </w:p>
        </w:tc>
      </w:tr>
      <w:tr>
        <w:trPr>
          <w:trHeight w:val="216"/>
        </w:trPr>
        <w:tc>
          <w:tcPr>
            <w:tcW w:w="2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 on receivables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1,800,725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171,998</w:t>
            </w:r>
          </w:p>
        </w:tc>
        <w:tc>
          <w:tcPr>
            <w:tcW w:w="1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(370,820)</w:t>
            </w:r>
          </w:p>
        </w:tc>
        <w:tc>
          <w:tcPr>
            <w:tcW w:w="3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627,888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2,229,791</w:t>
            </w:r>
          </w:p>
        </w:tc>
      </w:tr>
      <w:tr>
        <w:trPr>
          <w:trHeight w:val="216"/>
        </w:trPr>
        <w:tc>
          <w:tcPr>
            <w:tcW w:w="2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39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Allowance for doubtful accounts on other</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1,686,218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889,480</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(965,747)</w:t>
            </w:r>
          </w:p>
        </w:tc>
        <w:tc>
          <w:tcPr>
            <w:tcW w:w="3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1,609,951</w:t>
            </w:r>
          </w:p>
        </w:tc>
      </w:tr>
      <w:tr>
        <w:trPr>
          <w:trHeight w:val="216"/>
        </w:trPr>
        <w:tc>
          <w:tcPr>
            <w:tcW w:w="2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9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For the Year Ended December 31, 2021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86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39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Accumulated depreciation on real estate held for</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13,800,973</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3,605,059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(246,068)</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532,074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17,692,038</w:t>
            </w:r>
          </w:p>
        </w:tc>
      </w:tr>
      <w:tr>
        <w:trPr>
          <w:trHeight w:val="216"/>
        </w:trPr>
        <w:tc>
          <w:tcPr>
            <w:tcW w:w="2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9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Allowance for losses on mortgage loans held for</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2,005,127</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(305,225)</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1,699,902</w:t>
            </w:r>
          </w:p>
        </w:tc>
      </w:tr>
      <w:tr>
        <w:trPr>
          <w:trHeight w:val="216"/>
        </w:trPr>
        <w:tc>
          <w:tcPr>
            <w:tcW w:w="2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9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Accumulated depreciation on property and</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19,179,139</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1,935,613</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(742,252)</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(558,390)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19,814,110</w:t>
            </w:r>
          </w:p>
        </w:tc>
      </w:tr>
      <w:tr>
        <w:trPr>
          <w:trHeight w:val="216"/>
        </w:trPr>
        <w:tc>
          <w:tcPr>
            <w:tcW w:w="2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 on receivables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1,685,382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327,905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(212,562)</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1,800,725</w:t>
            </w:r>
          </w:p>
        </w:tc>
      </w:tr>
      <w:tr>
        <w:trPr>
          <w:trHeight w:val="216"/>
        </w:trPr>
        <w:tc>
          <w:tcPr>
            <w:tcW w:w="2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9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Allowance for doubtful accounts on other</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1,645,475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943,055</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(902,312)</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1,686,218</w:t>
            </w:r>
          </w:p>
        </w:tc>
      </w:tr>
      <w:tr>
        <w:trPr>
          <w:trHeight w:val="439"/>
        </w:trPr>
        <w:tc>
          <w:tcPr>
            <w:tcW w:w="28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SUBSIDIARIES OF THE REGISTRANT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Life Insurance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National Life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Reppond Holding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Guaranty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Kilpatrick Life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Kilpatrick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Security Life Insurance Company,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Trans-Western Life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Farmington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434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5300 Development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Ascension 433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Diamond LLC</w:t>
      </w:r>
    </w:p>
    <w:p>
      <w:pPr>
        <w:spacing w:after="0" w:line="9" w:lineRule="exact"/>
        <w:rPr>
          <w:sz w:val="20"/>
          <w:szCs w:val="20"/>
          <w:color w:val="auto"/>
        </w:rPr>
      </w:pPr>
    </w:p>
    <w:p>
      <w:pPr>
        <w:ind w:right="4980"/>
        <w:spacing w:after="0" w:line="250" w:lineRule="auto"/>
        <w:rPr>
          <w:sz w:val="20"/>
          <w:szCs w:val="20"/>
          <w:color w:val="auto"/>
        </w:rPr>
      </w:pPr>
      <w:r>
        <w:rPr>
          <w:rFonts w:ascii="Times New Roman" w:cs="Times New Roman" w:eastAsia="Times New Roman" w:hAnsi="Times New Roman"/>
          <w:sz w:val="18"/>
          <w:szCs w:val="18"/>
          <w:color w:val="auto"/>
        </w:rPr>
        <w:t>Security National Real Estate Services, Inc. dba Security National Commercial Capital Marketing Source Center, Inc. dba Security National Travel Services SNFC Subsidiary,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Funeral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FFC Acquisition Co., LLC dba Funeral Funding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Funeral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Mortician’s Choice,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&amp; J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Beta Capital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Beneficiary Advance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SNA-Venture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SNCH Venture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SNA-AM LLC, SNA-MB LLC, SNA-MV LLC, SNA-SE LLC, SNA-SW LLC, SNA-TM LLC, SNA-WF LLC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Mortgage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SecurityNational Mortgage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EverLEND Mortgage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Sunset LLC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Cemetery/Mortuary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Memorial Estates, Inc. dba Singing Hills Memorial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 Memorial Park,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Cottonwood Mortuary,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Deseret Memorial,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 Cottonwood Memorial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Estates,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Silver Creek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Mortuary,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Affordable Funerals and Cremations of America,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Probst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SN-Holbrook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SN-Rivera LLC, SNR-LA LLC, SNR-Taos LLC, SNR-SF Cemetery LLC, SNR-SF Mortuary LLC, SNR-Espanola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9" w:name="page130"/>
    <w:bookmarkEnd w:id="129"/>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Quist, certify that:</w:t>
      </w:r>
    </w:p>
    <w:p>
      <w:pPr>
        <w:spacing w:after="0" w:line="225" w:lineRule="exact"/>
        <w:rPr>
          <w:sz w:val="20"/>
          <w:szCs w:val="20"/>
          <w:color w:val="auto"/>
        </w:rPr>
      </w:pPr>
    </w:p>
    <w:p>
      <w:pPr>
        <w:ind w:left="180" w:hanging="172"/>
        <w:spacing w:after="0"/>
        <w:tabs>
          <w:tab w:leader="none" w:pos="1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Security National Financial Corporation;</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8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440"/>
        <w:spacing w:after="0" w:line="266" w:lineRule="auto"/>
        <w:tabs>
          <w:tab w:leader="none" w:pos="694"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440"/>
        <w:spacing w:after="0" w:line="266" w:lineRule="auto"/>
        <w:tabs>
          <w:tab w:leader="none" w:pos="723"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440"/>
        <w:spacing w:after="0" w:line="282" w:lineRule="auto"/>
        <w:tabs>
          <w:tab w:leader="none" w:pos="721"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440"/>
        <w:spacing w:after="0" w:line="266" w:lineRule="auto"/>
        <w:tabs>
          <w:tab w:leader="none" w:pos="702"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413"/>
        <w:spacing w:after="0" w:line="282" w:lineRule="auto"/>
        <w:tabs>
          <w:tab w:leader="none" w:pos="65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413"/>
        <w:spacing w:after="0" w:line="282" w:lineRule="auto"/>
        <w:tabs>
          <w:tab w:leader="none" w:pos="6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March 31, 2023</w:t>
      </w:r>
      <w:r>
        <w:rPr>
          <w:sz w:val="20"/>
          <w:szCs w:val="20"/>
          <w:color w:val="auto"/>
        </w:rPr>
        <w:tab/>
      </w:r>
      <w:r>
        <w:rPr>
          <w:rFonts w:ascii="Times New Roman" w:cs="Times New Roman" w:eastAsia="Times New Roman" w:hAnsi="Times New Roman"/>
          <w:sz w:val="18"/>
          <w:szCs w:val="18"/>
          <w:i w:val="1"/>
          <w:iCs w:val="1"/>
          <w:color w:val="auto"/>
        </w:rPr>
        <w:t>/s/ Scott M. Quist</w:t>
      </w:r>
    </w:p>
    <w:p>
      <w:pPr>
        <w:spacing w:after="0" w:line="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0" w:name="page131"/>
    <w:bookmarkEnd w:id="130"/>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Garrett S. Sill, certify that:</w:t>
      </w:r>
    </w:p>
    <w:p>
      <w:pPr>
        <w:spacing w:after="0" w:line="225" w:lineRule="exact"/>
        <w:rPr>
          <w:sz w:val="20"/>
          <w:szCs w:val="20"/>
          <w:color w:val="auto"/>
        </w:rPr>
      </w:pPr>
    </w:p>
    <w:p>
      <w:pPr>
        <w:ind w:left="180" w:hanging="172"/>
        <w:spacing w:after="0"/>
        <w:tabs>
          <w:tab w:leader="none" w:pos="1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Security National Financial Corporation;</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8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440"/>
        <w:spacing w:after="0" w:line="266" w:lineRule="auto"/>
        <w:tabs>
          <w:tab w:leader="none" w:pos="694"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440"/>
        <w:spacing w:after="0" w:line="266" w:lineRule="auto"/>
        <w:tabs>
          <w:tab w:leader="none" w:pos="723"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440"/>
        <w:spacing w:after="0" w:line="282" w:lineRule="auto"/>
        <w:tabs>
          <w:tab w:leader="none" w:pos="721"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440"/>
        <w:spacing w:after="0" w:line="266" w:lineRule="auto"/>
        <w:tabs>
          <w:tab w:leader="none" w:pos="702"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413"/>
        <w:spacing w:after="0" w:line="282" w:lineRule="auto"/>
        <w:tabs>
          <w:tab w:leader="none" w:pos="654"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413"/>
        <w:spacing w:after="0" w:line="282" w:lineRule="auto"/>
        <w:tabs>
          <w:tab w:leader="none" w:pos="6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March 31, 2023</w:t>
      </w:r>
      <w:r>
        <w:rPr>
          <w:sz w:val="20"/>
          <w:szCs w:val="20"/>
          <w:color w:val="auto"/>
        </w:rPr>
        <w:tab/>
      </w:r>
      <w:r>
        <w:rPr>
          <w:rFonts w:ascii="Times New Roman" w:cs="Times New Roman" w:eastAsia="Times New Roman" w:hAnsi="Times New Roman"/>
          <w:sz w:val="17"/>
          <w:szCs w:val="17"/>
          <w:i w:val="1"/>
          <w:iCs w:val="1"/>
          <w:color w:val="auto"/>
        </w:rPr>
        <w:t>/s/ Garrett S. Sill</w:t>
      </w:r>
    </w:p>
    <w:p>
      <w:pPr>
        <w:spacing w:after="0" w:line="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Garrett S. Sill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1" w:name="page132"/>
    <w:bookmarkEnd w:id="131"/>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Security National Financial Corporation (the “Company”) on Form 10-K for the period ending December 31, 2022, as filed with the Securities and Exchange Commission on the date hereof (the “Report”), I, Scott M. Quist, Chairman of the Board, President and Chief Executive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March 31, 2023</w:t>
      </w:r>
      <w:r>
        <w:rPr>
          <w:sz w:val="20"/>
          <w:szCs w:val="20"/>
          <w:color w:val="auto"/>
        </w:rPr>
        <w:tab/>
      </w:r>
      <w:r>
        <w:rPr>
          <w:rFonts w:ascii="Times New Roman" w:cs="Times New Roman" w:eastAsia="Times New Roman" w:hAnsi="Times New Roman"/>
          <w:sz w:val="18"/>
          <w:szCs w:val="18"/>
          <w:i w:val="1"/>
          <w:iCs w:val="1"/>
          <w:color w:val="auto"/>
        </w:rPr>
        <w:t>/s/ Scott M. Quist</w:t>
      </w:r>
    </w:p>
    <w:p>
      <w:pPr>
        <w:spacing w:after="0" w:line="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2" w:name="page133"/>
    <w:bookmarkEnd w:id="132"/>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Security National Financial Corporation (the “Company”) on Form 10-K for the period ending December 31, 2022, as filed with the Securities and Exchange Commission on the date hereof (the “Report”), I, Garrett S. Sill, Chief Financial Officer and Treasurer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31, 2023</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1)"/>
      <w:numFmt w:val="decimal"/>
      <w:start w:val="1"/>
    </w:lvl>
  </w:abstractNum>
  <w:abstractNum w:abstractNumId="3">
    <w:nsid w:val="354FE9F9"/>
    <w:multiLevelType w:val="hybridMultilevel"/>
    <w:lvl w:ilvl="0">
      <w:lvlJc w:val="left"/>
      <w:lvlText w:val="(%1)"/>
      <w:numFmt w:val="decimal"/>
      <w:start w:val="1"/>
    </w:lvl>
  </w:abstractNum>
  <w:abstractNum w:abstractNumId="4">
    <w:nsid w:val="15B5AF5C"/>
    <w:multiLevelType w:val="hybridMultilevel"/>
    <w:lvl w:ilvl="0">
      <w:lvlJc w:val="left"/>
      <w:lvlText w:val="(%1)"/>
      <w:numFmt w:val="decimal"/>
      <w:start w:val="1"/>
    </w:lvl>
  </w:abstractNum>
  <w:abstractNum w:abstractNumId="5">
    <w:nsid w:val="741226BB"/>
    <w:multiLevelType w:val="hybridMultilevel"/>
    <w:lvl w:ilvl="0">
      <w:lvlJc w:val="left"/>
      <w:lvlText w:val="(%1)"/>
      <w:numFmt w:val="lowerLetter"/>
      <w:start w:val="3"/>
    </w:lvl>
  </w:abstractNum>
  <w:abstractNum w:abstractNumId="6">
    <w:nsid w:val="D34B6A8"/>
    <w:multiLevelType w:val="hybridMultilevel"/>
    <w:lvl w:ilvl="0">
      <w:lvlJc w:val="left"/>
      <w:lvlText w:val="(%1)"/>
      <w:numFmt w:val="lowerLetter"/>
      <w:start w:val="2"/>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lvl w:ilvl="1">
      <w:lvlJc w:val="left"/>
      <w:lvlText w:val="●"/>
      <w:numFmt w:val="bullet"/>
      <w:start w:val="1"/>
    </w:lvl>
  </w:abstractNum>
  <w:abstractNum w:abstractNumId="11">
    <w:nsid w:val="77AE35EB"/>
    <w:multiLevelType w:val="hybridMultilevel"/>
    <w:lvl w:ilvl="0">
      <w:lvlJc w:val="left"/>
      <w:lvlText w:val="(%1)"/>
      <w:numFmt w:val="decimal"/>
      <w:start w:val="1"/>
    </w:lvl>
  </w:abstractNum>
  <w:abstractNum w:abstractNumId="12">
    <w:nsid w:val="579BE4F1"/>
    <w:multiLevelType w:val="hybridMultilevel"/>
    <w:lvl w:ilvl="0">
      <w:lvlJc w:val="left"/>
      <w:lvlText w:val="%1)"/>
      <w:numFmt w:val="decimal"/>
      <w:start w:val="1"/>
    </w:lvl>
  </w:abstractNum>
  <w:abstractNum w:abstractNumId="13">
    <w:nsid w:val="310C50B3"/>
    <w:multiLevelType w:val="hybridMultilevel"/>
    <w:lvl w:ilvl="0">
      <w:lvlJc w:val="left"/>
      <w:lvlText w:val="%1)"/>
      <w:numFmt w:val="decimal"/>
      <w:start w:val="1"/>
    </w:lvl>
  </w:abstractNum>
  <w:abstractNum w:abstractNumId="14">
    <w:nsid w:val="5FF87E05"/>
    <w:multiLevelType w:val="hybridMultilevel"/>
    <w:lvl w:ilvl="0">
      <w:lvlJc w:val="left"/>
      <w:lvlText w:val="%1)"/>
      <w:numFmt w:val="decimal"/>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1)"/>
      <w:numFmt w:val="decimal"/>
      <w:start w:val="1"/>
    </w:lvl>
  </w:abstractNum>
  <w:abstractNum w:abstractNumId="19">
    <w:nsid w:val="1F48EAA1"/>
    <w:multiLevelType w:val="hybridMultilevel"/>
    <w:lvl w:ilvl="0">
      <w:lvlJc w:val="left"/>
      <w:lvlText w:val="%1)"/>
      <w:numFmt w:val="decimal"/>
      <w:start w:val="1"/>
    </w:lvl>
  </w:abstractNum>
  <w:abstractNum w:abstractNumId="20">
    <w:nsid w:val="1381823A"/>
    <w:multiLevelType w:val="hybridMultilevel"/>
    <w:lvl w:ilvl="0">
      <w:lvlJc w:val="left"/>
      <w:lvlText w:val="%1)"/>
      <w:numFmt w:val="decimal"/>
      <w:start w:val="1"/>
    </w:lvl>
  </w:abstractNum>
  <w:abstractNum w:abstractNumId="21">
    <w:nsid w:val="5DB70AE5"/>
    <w:multiLevelType w:val="hybridMultilevel"/>
    <w:lvl w:ilvl="0">
      <w:lvlJc w:val="left"/>
      <w:lvlText w:val="%1)"/>
      <w:numFmt w:val="decimal"/>
      <w:start w:val="1"/>
    </w:lvl>
  </w:abstractNum>
  <w:abstractNum w:abstractNumId="22">
    <w:nsid w:val="100F8FCA"/>
    <w:multiLevelType w:val="hybridMultilevel"/>
    <w:lvl w:ilvl="0">
      <w:lvlJc w:val="left"/>
      <w:lvlText w:val="%1)"/>
      <w:numFmt w:val="decimal"/>
      <w:start w:val="1"/>
    </w:lvl>
  </w:abstractNum>
  <w:abstractNum w:abstractNumId="23">
    <w:nsid w:val="6590700B"/>
    <w:multiLevelType w:val="hybridMultilevel"/>
    <w:lvl w:ilvl="0">
      <w:lvlJc w:val="left"/>
      <w:lvlText w:val="%1)"/>
      <w:numFmt w:val="decimal"/>
      <w:start w:val="1"/>
    </w:lvl>
  </w:abstractNum>
  <w:abstractNum w:abstractNumId="24">
    <w:nsid w:val="15014ACB"/>
    <w:multiLevelType w:val="hybridMultilevel"/>
    <w:lvl w:ilvl="0">
      <w:lvlJc w:val="left"/>
      <w:lvlText w:val="%1)"/>
      <w:numFmt w:val="decimal"/>
      <w:start w:val="1"/>
    </w:lvl>
  </w:abstractNum>
  <w:abstractNum w:abstractNumId="25">
    <w:nsid w:val="5F5E7FD0"/>
    <w:multiLevelType w:val="hybridMultilevel"/>
    <w:lvl w:ilvl="0">
      <w:lvlJc w:val="left"/>
      <w:lvlText w:val="%1)"/>
      <w:numFmt w:val="decimal"/>
      <w:start w:val="1"/>
    </w:lvl>
  </w:abstractNum>
  <w:abstractNum w:abstractNumId="26">
    <w:nsid w:val="98A3148"/>
    <w:multiLevelType w:val="hybridMultilevel"/>
    <w:lvl w:ilvl="0">
      <w:lvlJc w:val="left"/>
      <w:lvlText w:val="%1)"/>
      <w:numFmt w:val="decimal"/>
      <w:start w:val="1"/>
    </w:lvl>
  </w:abstractNum>
  <w:abstractNum w:abstractNumId="27">
    <w:nsid w:val="799D0247"/>
    <w:multiLevelType w:val="hybridMultilevel"/>
    <w:lvl w:ilvl="0">
      <w:lvlJc w:val="left"/>
      <w:lvlText w:val="%1)"/>
      <w:numFmt w:val="decimal"/>
      <w:start w:val="1"/>
    </w:lvl>
  </w:abstractNum>
  <w:abstractNum w:abstractNumId="28">
    <w:nsid w:val="6B94764"/>
    <w:multiLevelType w:val="hybridMultilevel"/>
    <w:lvl w:ilvl="0">
      <w:lvlJc w:val="left"/>
      <w:lvlText w:val="%1)"/>
      <w:numFmt w:val="decimal"/>
      <w:start w:val="2"/>
    </w:lvl>
  </w:abstractNum>
  <w:abstractNum w:abstractNumId="29">
    <w:nsid w:val="42C296BD"/>
    <w:multiLevelType w:val="hybridMultilevel"/>
    <w:lvl w:ilvl="0">
      <w:lvlJc w:val="left"/>
      <w:lvlText w:val="%1)"/>
      <w:numFmt w:val="decimal"/>
      <w:start w:val="2"/>
    </w:lvl>
  </w:abstractNum>
  <w:abstractNum w:abstractNumId="30">
    <w:nsid w:val="168E121F"/>
    <w:multiLevelType w:val="hybridMultilevel"/>
    <w:lvl w:ilvl="0">
      <w:lvlJc w:val="left"/>
      <w:lvlText w:val="%1)"/>
      <w:numFmt w:val="decimal"/>
      <w:start w:val="2"/>
    </w:lvl>
  </w:abstractNum>
  <w:abstractNum w:abstractNumId="31">
    <w:nsid w:val="1EBA5D23"/>
    <w:multiLevelType w:val="hybridMultilevel"/>
    <w:lvl w:ilvl="0">
      <w:lvlJc w:val="left"/>
      <w:lvlText w:val="%1)"/>
      <w:numFmt w:val="decimal"/>
      <w:start w:val="2"/>
    </w:lvl>
  </w:abstractNum>
  <w:abstractNum w:abstractNumId="32">
    <w:nsid w:val="661E3F1E"/>
    <w:multiLevelType w:val="hybridMultilevel"/>
    <w:lvl w:ilvl="0">
      <w:lvlJc w:val="left"/>
      <w:lvlText w:val="%1)"/>
      <w:numFmt w:val="decimal"/>
      <w:start w:val="2"/>
    </w:lvl>
  </w:abstractNum>
  <w:abstractNum w:abstractNumId="33">
    <w:nsid w:val="5DC79EA8"/>
    <w:multiLevelType w:val="hybridMultilevel"/>
    <w:lvl w:ilvl="0">
      <w:lvlJc w:val="left"/>
      <w:lvlText w:val="%1)"/>
      <w:numFmt w:val="decimal"/>
      <w:start w:val="2"/>
    </w:lvl>
  </w:abstractNum>
  <w:abstractNum w:abstractNumId="34">
    <w:nsid w:val="540A471C"/>
    <w:multiLevelType w:val="hybridMultilevel"/>
    <w:lvl w:ilvl="0">
      <w:lvlJc w:val="left"/>
      <w:lvlText w:val="%1)"/>
      <w:numFmt w:val="decimal"/>
      <w:start w:val="2"/>
    </w:lvl>
  </w:abstractNum>
  <w:abstractNum w:abstractNumId="35">
    <w:nsid w:val="7BD3EE7B"/>
    <w:multiLevelType w:val="hybridMultilevel"/>
    <w:lvl w:ilvl="0">
      <w:lvlJc w:val="left"/>
      <w:lvlText w:val="%1)"/>
      <w:numFmt w:val="decimal"/>
      <w:start w:val="2"/>
    </w:lvl>
  </w:abstractNum>
  <w:abstractNum w:abstractNumId="36">
    <w:nsid w:val="51D9C564"/>
    <w:multiLevelType w:val="hybridMultilevel"/>
    <w:lvl w:ilvl="0">
      <w:lvlJc w:val="left"/>
      <w:lvlText w:val="(%1)"/>
      <w:numFmt w:val="decimal"/>
      <w:start w:val="1"/>
    </w:lvl>
  </w:abstractNum>
  <w:abstractNum w:abstractNumId="37">
    <w:nsid w:val="613EFDC5"/>
    <w:multiLevelType w:val="hybridMultilevel"/>
    <w:lvl w:ilvl="0">
      <w:lvlJc w:val="left"/>
      <w:lvlText w:val="%1)"/>
      <w:numFmt w:val="decimal"/>
      <w:start w:val="2"/>
    </w:lvl>
  </w:abstractNum>
  <w:abstractNum w:abstractNumId="38">
    <w:nsid w:val="BF72B14"/>
    <w:multiLevelType w:val="hybridMultilevel"/>
    <w:lvl w:ilvl="0">
      <w:lvlJc w:val="left"/>
      <w:lvlText w:val="%1)"/>
      <w:numFmt w:val="decimal"/>
      <w:start w:val="2"/>
    </w:lvl>
  </w:abstractNum>
  <w:abstractNum w:abstractNumId="39">
    <w:nsid w:val="11447B73"/>
    <w:multiLevelType w:val="hybridMultilevel"/>
    <w:lvl w:ilvl="0">
      <w:lvlJc w:val="left"/>
      <w:lvlText w:val="(%1)"/>
      <w:numFmt w:val="decimal"/>
      <w:start w:val="1"/>
    </w:lvl>
  </w:abstractNum>
  <w:abstractNum w:abstractNumId="40">
    <w:nsid w:val="42963E5A"/>
    <w:multiLevelType w:val="hybridMultilevel"/>
    <w:lvl w:ilvl="0">
      <w:lvlJc w:val="left"/>
      <w:lvlText w:val="%1)"/>
      <w:numFmt w:val="decimal"/>
      <w:start w:val="2"/>
    </w:lvl>
  </w:abstractNum>
  <w:abstractNum w:abstractNumId="41">
    <w:nsid w:val="A0382C5"/>
    <w:multiLevelType w:val="hybridMultilevel"/>
    <w:lvl w:ilvl="0">
      <w:lvlJc w:val="left"/>
      <w:lvlText w:val="(%1)"/>
      <w:numFmt w:val="decimal"/>
      <w:start w:val="1"/>
    </w:lvl>
  </w:abstractNum>
  <w:abstractNum w:abstractNumId="42">
    <w:nsid w:val="8F2B15E"/>
    <w:multiLevelType w:val="hybridMultilevel"/>
    <w:lvl w:ilvl="0">
      <w:lvlJc w:val="left"/>
      <w:lvlText w:val="%1)"/>
      <w:numFmt w:val="decimal"/>
      <w:start w:val="2"/>
    </w:lvl>
  </w:abstractNum>
  <w:abstractNum w:abstractNumId="43">
    <w:nsid w:val="1A32234B"/>
    <w:multiLevelType w:val="hybridMultilevel"/>
    <w:lvl w:ilvl="0">
      <w:lvlJc w:val="left"/>
      <w:lvlText w:val="%1)"/>
      <w:numFmt w:val="decimal"/>
      <w:start w:val="2"/>
    </w:lvl>
  </w:abstractNum>
  <w:abstractNum w:abstractNumId="44">
    <w:nsid w:val="3B0FD379"/>
    <w:multiLevelType w:val="hybridMultilevel"/>
    <w:lvl w:ilvl="0">
      <w:lvlJc w:val="left"/>
      <w:lvlText w:val="%1)"/>
      <w:numFmt w:val="decimal"/>
      <w:start w:val="3"/>
    </w:lvl>
  </w:abstractNum>
  <w:abstractNum w:abstractNumId="45">
    <w:nsid w:val="68EB2F63"/>
    <w:multiLevelType w:val="hybridMultilevel"/>
    <w:lvl w:ilvl="0">
      <w:lvlJc w:val="left"/>
      <w:lvlText w:val="%1)"/>
      <w:numFmt w:val="decimal"/>
      <w:start w:val="3"/>
    </w:lvl>
  </w:abstractNum>
  <w:abstractNum w:abstractNumId="46">
    <w:nsid w:val="4962813B"/>
    <w:multiLevelType w:val="hybridMultilevel"/>
    <w:lvl w:ilvl="0">
      <w:lvlJc w:val="left"/>
      <w:lvlText w:val="%1)"/>
      <w:numFmt w:val="decimal"/>
      <w:start w:val="5"/>
    </w:lvl>
  </w:abstractNum>
  <w:abstractNum w:abstractNumId="47">
    <w:nsid w:val="60B6DF70"/>
    <w:multiLevelType w:val="hybridMultilevel"/>
    <w:lvl w:ilvl="0">
      <w:lvlJc w:val="left"/>
      <w:lvlText w:val="%1)"/>
      <w:numFmt w:val="decimal"/>
      <w:start w:val="5"/>
    </w:lvl>
  </w:abstractNum>
  <w:abstractNum w:abstractNumId="48">
    <w:nsid w:val="6A5EE64"/>
    <w:multiLevelType w:val="hybridMultilevel"/>
    <w:lvl w:ilvl="0">
      <w:lvlJc w:val="left"/>
      <w:lvlText w:val="%1)"/>
      <w:numFmt w:val="decimal"/>
      <w:start w:val="5"/>
    </w:lvl>
  </w:abstractNum>
  <w:abstractNum w:abstractNumId="49">
    <w:nsid w:val="14330624"/>
    <w:multiLevelType w:val="hybridMultilevel"/>
    <w:lvl w:ilvl="0">
      <w:lvlJc w:val="left"/>
      <w:lvlText w:val="(%1)"/>
      <w:numFmt w:val="decimal"/>
      <w:start w:val="1"/>
    </w:lvl>
  </w:abstractNum>
  <w:abstractNum w:abstractNumId="50">
    <w:nsid w:val="7FFFCA11"/>
    <w:multiLevelType w:val="hybridMultilevel"/>
    <w:lvl w:ilvl="0">
      <w:lvlJc w:val="left"/>
      <w:lvlText w:val="%1)"/>
      <w:numFmt w:val="decimal"/>
      <w:start w:val="6"/>
    </w:lvl>
  </w:abstractNum>
  <w:abstractNum w:abstractNumId="51">
    <w:nsid w:val="1A27709E"/>
    <w:multiLevelType w:val="hybridMultilevel"/>
    <w:lvl w:ilvl="0">
      <w:lvlJc w:val="left"/>
      <w:lvlText w:val="$"/>
      <w:numFmt w:val="bullet"/>
      <w:start w:val="1"/>
    </w:lvl>
  </w:abstractNum>
  <w:abstractNum w:abstractNumId="52">
    <w:nsid w:val="71EA1109"/>
    <w:multiLevelType w:val="hybridMultilevel"/>
    <w:lvl w:ilvl="0">
      <w:lvlJc w:val="left"/>
      <w:lvlText w:val="%1)"/>
      <w:numFmt w:val="decimal"/>
      <w:start w:val="7"/>
    </w:lvl>
  </w:abstractNum>
  <w:abstractNum w:abstractNumId="53">
    <w:nsid w:val="100F59DC"/>
    <w:multiLevelType w:val="hybridMultilevel"/>
    <w:lvl w:ilvl="0">
      <w:lvlJc w:val="left"/>
      <w:lvlText w:val="%1)"/>
      <w:numFmt w:val="decimal"/>
      <w:start w:val="7"/>
    </w:lvl>
  </w:abstractNum>
  <w:abstractNum w:abstractNumId="54">
    <w:nsid w:val="7FB7E0AA"/>
    <w:multiLevelType w:val="hybridMultilevel"/>
    <w:lvl w:ilvl="0">
      <w:lvlJc w:val="left"/>
      <w:lvlText w:val="%1)"/>
      <w:numFmt w:val="decimal"/>
      <w:start w:val="8"/>
    </w:lvl>
  </w:abstractNum>
  <w:abstractNum w:abstractNumId="55">
    <w:nsid w:val="6EB5BD4"/>
    <w:multiLevelType w:val="hybridMultilevel"/>
    <w:lvl w:ilvl="0">
      <w:lvlJc w:val="left"/>
      <w:lvlText w:val="%1)"/>
      <w:numFmt w:val="decimal"/>
      <w:start w:val="8"/>
    </w:lvl>
  </w:abstractNum>
  <w:abstractNum w:abstractNumId="56">
    <w:nsid w:val="6F6DD9AC"/>
    <w:multiLevelType w:val="hybridMultilevel"/>
    <w:lvl w:ilvl="0">
      <w:lvlJc w:val="left"/>
      <w:lvlText w:val="%1)"/>
      <w:numFmt w:val="decimal"/>
      <w:start w:val="8"/>
    </w:lvl>
  </w:abstractNum>
  <w:abstractNum w:abstractNumId="57">
    <w:nsid w:val="94211F2"/>
    <w:multiLevelType w:val="hybridMultilevel"/>
    <w:lvl w:ilvl="0">
      <w:lvlJc w:val="left"/>
      <w:lvlText w:val="(%1)"/>
      <w:numFmt w:val="decimal"/>
      <w:start w:val="1"/>
    </w:lvl>
  </w:abstractNum>
  <w:abstractNum w:abstractNumId="58">
    <w:nsid w:val="885E1B"/>
    <w:multiLevelType w:val="hybridMultilevel"/>
    <w:lvl w:ilvl="0">
      <w:lvlJc w:val="left"/>
      <w:lvlText w:val="%1)"/>
      <w:numFmt w:val="decimal"/>
      <w:start w:val="8"/>
    </w:lvl>
  </w:abstractNum>
  <w:abstractNum w:abstractNumId="59">
    <w:nsid w:val="76272110"/>
    <w:multiLevelType w:val="hybridMultilevel"/>
    <w:lvl w:ilvl="0">
      <w:lvlJc w:val="left"/>
      <w:lvlText w:val="%1)"/>
      <w:numFmt w:val="decimal"/>
      <w:start w:val="8"/>
    </w:lvl>
  </w:abstractNum>
  <w:abstractNum w:abstractNumId="60">
    <w:nsid w:val="4C04A8AF"/>
    <w:multiLevelType w:val="hybridMultilevel"/>
    <w:lvl w:ilvl="0">
      <w:lvlJc w:val="left"/>
      <w:lvlText w:val="%1)"/>
      <w:numFmt w:val="decimal"/>
      <w:start w:val="10"/>
    </w:lvl>
  </w:abstractNum>
  <w:abstractNum w:abstractNumId="61">
    <w:nsid w:val="1716703B"/>
    <w:multiLevelType w:val="hybridMultilevel"/>
    <w:lvl w:ilvl="0">
      <w:lvlJc w:val="left"/>
      <w:lvlText w:val="%1)"/>
      <w:numFmt w:val="decimal"/>
      <w:start w:val="10"/>
    </w:lvl>
  </w:abstractNum>
  <w:abstractNum w:abstractNumId="62">
    <w:nsid w:val="14E17E33"/>
    <w:multiLevelType w:val="hybridMultilevel"/>
    <w:lvl w:ilvl="0">
      <w:lvlJc w:val="left"/>
      <w:lvlText w:val="%1)"/>
      <w:numFmt w:val="decimal"/>
      <w:start w:val="11"/>
    </w:lvl>
  </w:abstractNum>
  <w:abstractNum w:abstractNumId="63">
    <w:nsid w:val="3222E7CD"/>
    <w:multiLevelType w:val="hybridMultilevel"/>
    <w:lvl w:ilvl="0">
      <w:lvlJc w:val="left"/>
      <w:lvlText w:val="%1)"/>
      <w:numFmt w:val="decimal"/>
      <w:start w:val="11"/>
    </w:lvl>
  </w:abstractNum>
  <w:abstractNum w:abstractNumId="64">
    <w:nsid w:val="74DE0EE3"/>
    <w:multiLevelType w:val="hybridMultilevel"/>
    <w:lvl w:ilvl="0">
      <w:lvlJc w:val="left"/>
      <w:lvlText w:val="%1)"/>
      <w:numFmt w:val="decimal"/>
      <w:start w:val="12"/>
    </w:lvl>
  </w:abstractNum>
  <w:abstractNum w:abstractNumId="65">
    <w:nsid w:val="68EBC550"/>
    <w:multiLevelType w:val="hybridMultilevel"/>
    <w:lvl w:ilvl="0">
      <w:lvlJc w:val="left"/>
      <w:lvlText w:val="%1)"/>
      <w:numFmt w:val="decimal"/>
      <w:start w:val="12"/>
    </w:lvl>
  </w:abstractNum>
  <w:abstractNum w:abstractNumId="66">
    <w:nsid w:val="2DF6D648"/>
    <w:multiLevelType w:val="hybridMultilevel"/>
    <w:lvl w:ilvl="0">
      <w:lvlJc w:val="left"/>
      <w:lvlText w:val="%1)"/>
      <w:numFmt w:val="decimal"/>
      <w:start w:val="13"/>
    </w:lvl>
  </w:abstractNum>
  <w:abstractNum w:abstractNumId="67">
    <w:nsid w:val="46B7D447"/>
    <w:multiLevelType w:val="hybridMultilevel"/>
    <w:lvl w:ilvl="0">
      <w:lvlJc w:val="left"/>
      <w:lvlText w:val="%1)"/>
      <w:numFmt w:val="decimal"/>
      <w:start w:val="13"/>
    </w:lvl>
  </w:abstractNum>
  <w:abstractNum w:abstractNumId="68">
    <w:nsid w:val="4A2AC315"/>
    <w:multiLevelType w:val="hybridMultilevel"/>
    <w:lvl w:ilvl="0">
      <w:lvlJc w:val="left"/>
      <w:lvlText w:val="%1)"/>
      <w:numFmt w:val="decimal"/>
      <w:start w:val="13"/>
    </w:lvl>
  </w:abstractNum>
  <w:abstractNum w:abstractNumId="69">
    <w:nsid w:val="39EE015C"/>
    <w:multiLevelType w:val="hybridMultilevel"/>
    <w:lvl w:ilvl="0">
      <w:lvlJc w:val="left"/>
      <w:lvlText w:val="(%1)"/>
      <w:numFmt w:val="decimal"/>
      <w:start w:val="1"/>
    </w:lvl>
  </w:abstractNum>
  <w:abstractNum w:abstractNumId="70">
    <w:nsid w:val="57FC4FBB"/>
    <w:multiLevelType w:val="hybridMultilevel"/>
    <w:lvl w:ilvl="0">
      <w:lvlJc w:val="left"/>
      <w:lvlText w:val="%1)"/>
      <w:numFmt w:val="decimal"/>
      <w:start w:val="14"/>
    </w:lvl>
  </w:abstractNum>
  <w:abstractNum w:abstractNumId="71">
    <w:nsid w:val="CC1016F"/>
    <w:multiLevelType w:val="hybridMultilevel"/>
    <w:lvl w:ilvl="0">
      <w:lvlJc w:val="left"/>
      <w:lvlText w:val="%1)"/>
      <w:numFmt w:val="decimal"/>
      <w:start w:val="14"/>
    </w:lvl>
  </w:abstractNum>
  <w:abstractNum w:abstractNumId="72">
    <w:nsid w:val="43F18422"/>
    <w:multiLevelType w:val="hybridMultilevel"/>
    <w:lvl w:ilvl="0">
      <w:lvlJc w:val="left"/>
      <w:lvlText w:val="%1)"/>
      <w:numFmt w:val="decimal"/>
      <w:start w:val="15"/>
    </w:lvl>
  </w:abstractNum>
  <w:abstractNum w:abstractNumId="73">
    <w:nsid w:val="60EF0119"/>
    <w:multiLevelType w:val="hybridMultilevel"/>
    <w:lvl w:ilvl="0">
      <w:lvlJc w:val="left"/>
      <w:lvlText w:val="%1)"/>
      <w:numFmt w:val="decimal"/>
      <w:start w:val="16"/>
    </w:lvl>
  </w:abstractNum>
  <w:abstractNum w:abstractNumId="74">
    <w:nsid w:val="26F324BA"/>
    <w:multiLevelType w:val="hybridMultilevel"/>
    <w:lvl w:ilvl="0">
      <w:lvlJc w:val="left"/>
      <w:lvlText w:val="%1)"/>
      <w:numFmt w:val="decimal"/>
      <w:start w:val="17"/>
    </w:lvl>
  </w:abstractNum>
  <w:abstractNum w:abstractNumId="75">
    <w:nsid w:val="7F01579B"/>
    <w:multiLevelType w:val="hybridMultilevel"/>
    <w:lvl w:ilvl="0">
      <w:lvlJc w:val="left"/>
      <w:lvlText w:val="%1)"/>
      <w:numFmt w:val="lowerLetter"/>
      <w:start w:val="1"/>
    </w:lvl>
  </w:abstractNum>
  <w:abstractNum w:abstractNumId="76">
    <w:nsid w:val="49DA307D"/>
    <w:multiLevelType w:val="hybridMultilevel"/>
    <w:lvl w:ilvl="0">
      <w:lvlJc w:val="left"/>
      <w:lvlText w:val="%1)"/>
      <w:numFmt w:val="decimal"/>
      <w:start w:val="17"/>
    </w:lvl>
  </w:abstractNum>
  <w:abstractNum w:abstractNumId="77">
    <w:nsid w:val="7055A5F5"/>
    <w:multiLevelType w:val="hybridMultilevel"/>
    <w:lvl w:ilvl="0">
      <w:lvlJc w:val="left"/>
      <w:lvlText w:val="%1)"/>
      <w:numFmt w:val="decimal"/>
      <w:start w:val="17"/>
    </w:lvl>
  </w:abstractNum>
  <w:abstractNum w:abstractNumId="78">
    <w:nsid w:val="5FB8370B"/>
    <w:multiLevelType w:val="hybridMultilevel"/>
    <w:lvl w:ilvl="0">
      <w:lvlJc w:val="left"/>
      <w:lvlText w:val="(%1)"/>
      <w:numFmt w:val="decimal"/>
      <w:start w:val="1"/>
    </w:lvl>
  </w:abstractNum>
  <w:abstractNum w:abstractNumId="79">
    <w:nsid w:val="50801EE1"/>
    <w:multiLevelType w:val="hybridMultilevel"/>
    <w:lvl w:ilvl="0">
      <w:lvlJc w:val="left"/>
      <w:lvlText w:val="%1)"/>
      <w:numFmt w:val="decimal"/>
      <w:start w:val="17"/>
    </w:lvl>
  </w:abstractNum>
  <w:abstractNum w:abstractNumId="80">
    <w:nsid w:val="488AC1A"/>
    <w:multiLevelType w:val="hybridMultilevel"/>
    <w:lvl w:ilvl="0">
      <w:lvlJc w:val="left"/>
      <w:lvlText w:val="(%1)"/>
      <w:numFmt w:val="decimal"/>
      <w:start w:val="1"/>
    </w:lvl>
  </w:abstractNum>
  <w:abstractNum w:abstractNumId="81">
    <w:nsid w:val="5FB8011C"/>
    <w:multiLevelType w:val="hybridMultilevel"/>
    <w:lvl w:ilvl="0">
      <w:lvlJc w:val="left"/>
      <w:lvlText w:val="%1)"/>
      <w:numFmt w:val="decimal"/>
      <w:start w:val="17"/>
    </w:lvl>
  </w:abstractNum>
  <w:abstractNum w:abstractNumId="82">
    <w:nsid w:val="6AA78F7F"/>
    <w:multiLevelType w:val="hybridMultilevel"/>
    <w:lvl w:ilvl="0">
      <w:lvlJc w:val="left"/>
      <w:lvlText w:val="(%1)"/>
      <w:numFmt w:val="decimal"/>
      <w:start w:val="1"/>
    </w:lvl>
  </w:abstractNum>
  <w:abstractNum w:abstractNumId="83">
    <w:nsid w:val="7672BD23"/>
    <w:multiLevelType w:val="hybridMultilevel"/>
    <w:lvl w:ilvl="0">
      <w:lvlJc w:val="left"/>
      <w:lvlText w:val="(%1)"/>
      <w:numFmt w:val="decimal"/>
      <w:start w:val="1"/>
    </w:lvl>
  </w:abstractNum>
  <w:abstractNum w:abstractNumId="84">
    <w:nsid w:val="6FC75AF8"/>
    <w:multiLevelType w:val="hybridMultilevel"/>
    <w:lvl w:ilvl="0">
      <w:lvlJc w:val="left"/>
      <w:lvlText w:val="%1)"/>
      <w:numFmt w:val="decimal"/>
      <w:start w:val="17"/>
    </w:lvl>
  </w:abstractNum>
  <w:abstractNum w:abstractNumId="85">
    <w:nsid w:val="6A5F7029"/>
    <w:multiLevelType w:val="hybridMultilevel"/>
    <w:lvl w:ilvl="0">
      <w:lvlJc w:val="left"/>
      <w:lvlText w:val="%1)"/>
      <w:numFmt w:val="decimal"/>
      <w:start w:val="17"/>
    </w:lvl>
  </w:abstractNum>
  <w:abstractNum w:abstractNumId="86">
    <w:nsid w:val="7D5E18F8"/>
    <w:multiLevelType w:val="hybridMultilevel"/>
    <w:lvl w:ilvl="0">
      <w:lvlJc w:val="left"/>
      <w:lvlText w:val="(%1)"/>
      <w:numFmt w:val="decimal"/>
      <w:start w:val="1"/>
    </w:lvl>
  </w:abstractNum>
  <w:abstractNum w:abstractNumId="87">
    <w:nsid w:val="5F3534A4"/>
    <w:multiLevelType w:val="hybridMultilevel"/>
    <w:lvl w:ilvl="0">
      <w:lvlJc w:val="left"/>
      <w:lvlText w:val="%1)"/>
      <w:numFmt w:val="decimal"/>
      <w:start w:val="17"/>
    </w:lvl>
  </w:abstractNum>
  <w:abstractNum w:abstractNumId="88">
    <w:nsid w:val="73A1821B"/>
    <w:multiLevelType w:val="hybridMultilevel"/>
    <w:lvl w:ilvl="0">
      <w:lvlJc w:val="left"/>
      <w:lvlText w:val="(%1)"/>
      <w:numFmt w:val="decimal"/>
      <w:start w:val="1"/>
    </w:lvl>
  </w:abstractNum>
  <w:abstractNum w:abstractNumId="89">
    <w:nsid w:val="7DE67713"/>
    <w:multiLevelType w:val="hybridMultilevel"/>
    <w:lvl w:ilvl="0">
      <w:lvlJc w:val="left"/>
      <w:lvlText w:val="%1)"/>
      <w:numFmt w:val="decimal"/>
      <w:start w:val="17"/>
    </w:lvl>
  </w:abstractNum>
  <w:abstractNum w:abstractNumId="90">
    <w:nsid w:val="555C55B5"/>
    <w:multiLevelType w:val="hybridMultilevel"/>
    <w:lvl w:ilvl="0">
      <w:lvlJc w:val="left"/>
      <w:lvlText w:val="%1)"/>
      <w:numFmt w:val="decimal"/>
      <w:start w:val="18"/>
    </w:lvl>
  </w:abstractNum>
  <w:abstractNum w:abstractNumId="91">
    <w:nsid w:val="3FA62ACA"/>
    <w:multiLevelType w:val="hybridMultilevel"/>
    <w:lvl w:ilvl="0">
      <w:lvlJc w:val="left"/>
      <w:lvlText w:val="%1)"/>
      <w:numFmt w:val="decimal"/>
      <w:start w:val="19"/>
    </w:lvl>
  </w:abstractNum>
  <w:abstractNum w:abstractNumId="92">
    <w:nsid w:val="14FCE74E"/>
    <w:multiLevelType w:val="hybridMultilevel"/>
    <w:lvl w:ilvl="0">
      <w:lvlJc w:val="left"/>
      <w:lvlText w:val="%1)"/>
      <w:numFmt w:val="decimal"/>
      <w:start w:val="20"/>
    </w:lvl>
  </w:abstractNum>
  <w:abstractNum w:abstractNumId="93">
    <w:nsid w:val="6A3DD3E8"/>
    <w:multiLevelType w:val="hybridMultilevel"/>
    <w:lvl w:ilvl="0">
      <w:lvlJc w:val="left"/>
      <w:lvlText w:val="$"/>
      <w:numFmt w:val="bullet"/>
      <w:start w:val="1"/>
    </w:lvl>
  </w:abstractNum>
  <w:abstractNum w:abstractNumId="94">
    <w:nsid w:val="71C91298"/>
    <w:multiLevelType w:val="hybridMultilevel"/>
    <w:lvl w:ilvl="0">
      <w:lvlJc w:val="left"/>
      <w:lvlText w:val="$"/>
      <w:numFmt w:val="bullet"/>
      <w:start w:val="1"/>
    </w:lvl>
  </w:abstractNum>
  <w:abstractNum w:abstractNumId="95">
    <w:nsid w:val="9DAF632"/>
    <w:multiLevelType w:val="hybridMultilevel"/>
    <w:lvl w:ilvl="0">
      <w:lvlJc w:val="left"/>
      <w:lvlText w:val="(%1)"/>
      <w:numFmt w:val="decimal"/>
      <w:start w:val="1"/>
    </w:lvl>
  </w:abstractNum>
  <w:abstractNum w:abstractNumId="96">
    <w:nsid w:val="53299938"/>
    <w:multiLevelType w:val="hybridMultilevel"/>
    <w:lvl w:ilvl="0">
      <w:lvlJc w:val="left"/>
      <w:lvlText w:val="%1)"/>
      <w:numFmt w:val="decimal"/>
      <w:start w:val="20"/>
    </w:lvl>
  </w:abstractNum>
  <w:abstractNum w:abstractNumId="97">
    <w:nsid w:val="1FBFE8E0"/>
    <w:multiLevelType w:val="hybridMultilevel"/>
    <w:lvl w:ilvl="0">
      <w:lvlJc w:val="left"/>
      <w:lvlText w:val="%1)"/>
      <w:numFmt w:val="decimal"/>
      <w:start w:val="21"/>
    </w:lvl>
  </w:abstractNum>
  <w:abstractNum w:abstractNumId="98">
    <w:nsid w:val="5092CA79"/>
    <w:multiLevelType w:val="hybridMultilevel"/>
    <w:lvl w:ilvl="0">
      <w:lvlJc w:val="left"/>
      <w:lvlText w:val="%1)"/>
      <w:numFmt w:val="decimal"/>
      <w:start w:val="21"/>
    </w:lvl>
  </w:abstractNum>
  <w:abstractNum w:abstractNumId="99">
    <w:nsid w:val="1D545C4D"/>
    <w:multiLevelType w:val="hybridMultilevel"/>
    <w:lvl w:ilvl="0">
      <w:lvlJc w:val="left"/>
      <w:lvlText w:val="%1)"/>
      <w:numFmt w:val="decimal"/>
      <w:start w:val="22"/>
    </w:lvl>
  </w:abstractNum>
  <w:abstractNum w:abstractNumId="100">
    <w:nsid w:val="59ADEA3D"/>
    <w:multiLevelType w:val="hybridMultilevel"/>
    <w:lvl w:ilvl="0">
      <w:lvlJc w:val="left"/>
      <w:lvlText w:val="(%1)"/>
      <w:numFmt w:val="decimal"/>
      <w:start w:val="1"/>
    </w:lvl>
  </w:abstractNum>
  <w:abstractNum w:abstractNumId="101">
    <w:nsid w:val="288F1A34"/>
    <w:multiLevelType w:val="hybridMultilevel"/>
    <w:lvl w:ilvl="0">
      <w:lvlJc w:val="left"/>
      <w:lvlText w:val="%1)"/>
      <w:numFmt w:val="decimal"/>
      <w:start w:val="23"/>
    </w:lvl>
  </w:abstractNum>
  <w:abstractNum w:abstractNumId="102">
    <w:nsid w:val="2A155DBC"/>
    <w:multiLevelType w:val="hybridMultilevel"/>
    <w:lvl w:ilvl="0">
      <w:lvlJc w:val="left"/>
      <w:lvlText w:val="%1)"/>
      <w:numFmt w:val="decimal"/>
      <w:start w:val="23"/>
    </w:lvl>
  </w:abstractNum>
  <w:abstractNum w:abstractNumId="103">
    <w:nsid w:val="1D9F6E5F"/>
    <w:multiLevelType w:val="hybridMultilevel"/>
    <w:lvl w:ilvl="0">
      <w:lvlJc w:val="left"/>
      <w:lvlText w:val="%1)"/>
      <w:numFmt w:val="decimal"/>
      <w:start w:val="23"/>
    </w:lvl>
  </w:abstractNum>
  <w:abstractNum w:abstractNumId="104">
    <w:nsid w:val="97E1B4E"/>
    <w:multiLevelType w:val="hybridMultilevel"/>
    <w:lvl w:ilvl="0">
      <w:lvlJc w:val="left"/>
      <w:lvlText w:val="%1)"/>
      <w:numFmt w:val="decimal"/>
      <w:start w:val="23"/>
    </w:lvl>
  </w:abstractNum>
  <w:abstractNum w:abstractNumId="105">
    <w:nsid w:val="51088277"/>
    <w:multiLevelType w:val="hybridMultilevel"/>
    <w:lvl w:ilvl="0">
      <w:lvlJc w:val="left"/>
      <w:lvlText w:val="(%1)"/>
      <w:numFmt w:val="decimal"/>
      <w:start w:val="1"/>
    </w:lvl>
  </w:abstractNum>
  <w:abstractNum w:abstractNumId="106">
    <w:nsid w:val="1CA0C5FA"/>
    <w:multiLevelType w:val="hybridMultilevel"/>
    <w:lvl w:ilvl="0">
      <w:lvlJc w:val="left"/>
      <w:lvlText w:val="●"/>
      <w:numFmt w:val="bullet"/>
      <w:start w:val="1"/>
    </w:lvl>
  </w:abstractNum>
  <w:abstractNum w:abstractNumId="107">
    <w:nsid w:val="53584BCB"/>
    <w:multiLevelType w:val="hybridMultilevel"/>
    <w:lvl w:ilvl="0">
      <w:lvlJc w:val="left"/>
      <w:lvlText w:val="%1"/>
      <w:numFmt w:val="decimal"/>
      <w:start w:val="14"/>
    </w:lvl>
  </w:abstractNum>
  <w:abstractNum w:abstractNumId="108">
    <w:nsid w:val="415E286C"/>
    <w:multiLevelType w:val="hybridMultilevel"/>
    <w:lvl w:ilvl="0">
      <w:lvlJc w:val="left"/>
      <w:lvlText w:val="%1"/>
      <w:numFmt w:val="decimal"/>
      <w:start w:val="21"/>
    </w:lvl>
  </w:abstractNum>
  <w:abstractNum w:abstractNumId="109">
    <w:nsid w:val="7C58FD05"/>
    <w:multiLevelType w:val="hybridMultilevel"/>
    <w:lvl w:ilvl="0">
      <w:lvlJc w:val="left"/>
      <w:lvlText w:val="(%1)"/>
      <w:numFmt w:val="decimal"/>
      <w:start w:val="1"/>
    </w:lvl>
  </w:abstractNum>
  <w:abstractNum w:abstractNumId="110">
    <w:nsid w:val="23D86AA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1">
    <w:nsid w:val="45E6D48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195" Type="http://schemas.openxmlformats.org/officeDocument/2006/relationships/hyperlink" Target="https://www.sec.gov/Archives/edgar/data/318673/000109690617000214/exh3_1.pdf#www.sec.gov/Archives/edgar/data/318673/000109690617000214/exh3_1.pdf" TargetMode="External"/><Relationship Id="rId196" Type="http://schemas.openxmlformats.org/officeDocument/2006/relationships/hyperlink" Target="https://www.sec.gov/Archives/edgar/data/318673/000109690619000199/exh3_2.pdf" TargetMode="External"/><Relationship Id="rId197" Type="http://schemas.openxmlformats.org/officeDocument/2006/relationships/hyperlink" Target="https://www.sec.gov/Archives/edgar/data/318673/000109690616001835/exh10_4.htm" TargetMode="External"/><Relationship Id="rId198" Type="http://schemas.openxmlformats.org/officeDocument/2006/relationships/hyperlink" Target="https://www.sec.gov/Archives/edgar/data/318673/000144586620001192/snfca_ex10z3.htm" TargetMode="External"/><Relationship Id="rId199" Type="http://schemas.openxmlformats.org/officeDocument/2006/relationships/hyperlink" Target="https://www.sec.gov/Archives/edgar/data/318673/000109690615001153/exh108.htm" TargetMode="External"/><Relationship Id="rId200" Type="http://schemas.openxmlformats.org/officeDocument/2006/relationships/hyperlink" Target="https://www.sec.gov/Archives/edgar/data/318673/000109690618000639/exh10_9.htm" TargetMode="External"/><Relationship Id="rId201" Type="http://schemas.openxmlformats.org/officeDocument/2006/relationships/hyperlink" Target="https://www.sec.gov/Archives/edgar/data/318673/000109690619000199/exh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2023-03-31T08:14:15Z</dcterms:created>
  <dcterms:modified xsi:type="dcterms:W3CDTF">2023-03-31T08:14:15Z</dcterms:modified>
</cp:coreProperties>
</file>