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FORM </w:t>
      </w:r>
      <w:r>
        <w:rPr>
          <w:rFonts w:ascii="Arial" w:cs="Arial" w:eastAsia="Arial" w:hAnsi="Arial"/>
          <w:sz w:val="18"/>
          <w:szCs w:val="18"/>
          <w:color w:val="auto"/>
        </w:rPr>
        <w:t>10-Q</w:t>
      </w:r>
    </w:p>
    <w:p>
      <w:pPr>
        <w:spacing w:after="0" w:line="22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QUARTERLY REPORT PURSUANT TO SECTION 13 OR 15(d) OF THE SECURITIES EXCHANGE ACT OF 1934</w:t>
      </w:r>
    </w:p>
    <w:p>
      <w:pPr>
        <w:spacing w:after="0" w:line="25" w:lineRule="exact"/>
        <w:rPr>
          <w:rFonts w:ascii="MS PGothic" w:cs="MS PGothic" w:eastAsia="MS PGothic" w:hAnsi="MS PGothic"/>
          <w:sz w:val="18"/>
          <w:szCs w:val="18"/>
          <w:color w:val="auto"/>
          <w:highlight w:val="black"/>
        </w:rPr>
      </w:pPr>
    </w:p>
    <w:p>
      <w:pPr>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June 30, 2021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color w:val="auto"/>
        </w:rPr>
        <w:t>TRANSITION REPORT PURSUANT TO SECTION 13 OR 15(d) OF THE SECURITIES EXCHANGE ACT OF 1934</w:t>
      </w:r>
    </w:p>
    <w:p>
      <w:pPr>
        <w:spacing w:after="0" w:line="25" w:lineRule="exact"/>
        <w:rPr>
          <w:rFonts w:ascii="MS PGothic" w:cs="MS PGothic" w:eastAsia="MS PGothic" w:hAnsi="MS PGothic"/>
          <w:sz w:val="18"/>
          <w:szCs w:val="18"/>
          <w:color w:val="auto"/>
          <w:highlight w:val="black"/>
        </w:rPr>
      </w:pPr>
    </w:p>
    <w:p>
      <w:pPr>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transition period from _____ to 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Number:000-09341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SECURITY NATIONAL FINANCIAL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6280" w:type="dxa"/>
            <w:vAlign w:val="bottom"/>
          </w:tcPr>
          <w:p>
            <w:pPr>
              <w:jc w:val="center"/>
              <w:ind w:right="1910"/>
              <w:spacing w:after="0"/>
              <w:rPr>
                <w:sz w:val="20"/>
                <w:szCs w:val="20"/>
                <w:color w:val="auto"/>
              </w:rPr>
            </w:pPr>
            <w:r>
              <w:rPr>
                <w:rFonts w:ascii="Arial" w:cs="Arial" w:eastAsia="Arial" w:hAnsi="Arial"/>
                <w:sz w:val="18"/>
                <w:szCs w:val="18"/>
                <w:b w:val="1"/>
                <w:bCs w:val="1"/>
                <w:color w:val="auto"/>
              </w:rPr>
              <w:t>UTAH</w:t>
            </w:r>
          </w:p>
        </w:tc>
        <w:tc>
          <w:tcPr>
            <w:tcW w:w="2740" w:type="dxa"/>
            <w:vAlign w:val="bottom"/>
          </w:tcPr>
          <w:p>
            <w:pPr>
              <w:jc w:val="right"/>
              <w:ind w:right="750"/>
              <w:spacing w:after="0"/>
              <w:rPr>
                <w:sz w:val="20"/>
                <w:szCs w:val="20"/>
                <w:color w:val="auto"/>
              </w:rPr>
            </w:pPr>
            <w:r>
              <w:rPr>
                <w:rFonts w:ascii="Arial" w:cs="Arial" w:eastAsia="Arial" w:hAnsi="Arial"/>
                <w:sz w:val="18"/>
                <w:szCs w:val="18"/>
                <w:b w:val="1"/>
                <w:bCs w:val="1"/>
                <w:color w:val="auto"/>
              </w:rPr>
              <w:t>87-0345941</w:t>
            </w:r>
          </w:p>
        </w:tc>
      </w:tr>
      <w:tr>
        <w:trPr>
          <w:trHeight w:val="212"/>
        </w:trPr>
        <w:tc>
          <w:tcPr>
            <w:tcW w:w="6280" w:type="dxa"/>
            <w:vAlign w:val="bottom"/>
          </w:tcPr>
          <w:p>
            <w:pPr>
              <w:jc w:val="center"/>
              <w:ind w:right="1910"/>
              <w:spacing w:after="0"/>
              <w:rPr>
                <w:sz w:val="20"/>
                <w:szCs w:val="20"/>
                <w:color w:val="auto"/>
              </w:rPr>
            </w:pPr>
            <w:r>
              <w:rPr>
                <w:rFonts w:ascii="Arial" w:cs="Arial" w:eastAsia="Arial" w:hAnsi="Arial"/>
                <w:sz w:val="18"/>
                <w:szCs w:val="18"/>
                <w:i w:val="1"/>
                <w:iCs w:val="1"/>
                <w:color w:val="auto"/>
                <w:w w:val="92"/>
              </w:rPr>
              <w:t>(State or other jurisdiction of incorporation or organization)</w:t>
            </w:r>
          </w:p>
        </w:tc>
        <w:tc>
          <w:tcPr>
            <w:tcW w:w="2740" w:type="dxa"/>
            <w:vAlign w:val="bottom"/>
          </w:tcPr>
          <w:p>
            <w:pPr>
              <w:jc w:val="center"/>
              <w:ind w:left="130"/>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234"/>
        </w:trPr>
        <w:tc>
          <w:tcPr>
            <w:tcW w:w="6280" w:type="dxa"/>
            <w:vAlign w:val="bottom"/>
          </w:tcPr>
          <w:p>
            <w:pPr>
              <w:jc w:val="center"/>
              <w:ind w:right="1910"/>
              <w:spacing w:after="0"/>
              <w:rPr>
                <w:sz w:val="20"/>
                <w:szCs w:val="20"/>
                <w:color w:val="auto"/>
              </w:rPr>
            </w:pPr>
            <w:r>
              <w:rPr>
                <w:rFonts w:ascii="Arial" w:cs="Arial" w:eastAsia="Arial" w:hAnsi="Arial"/>
                <w:sz w:val="18"/>
                <w:szCs w:val="18"/>
                <w:b w:val="1"/>
                <w:bCs w:val="1"/>
                <w:color w:val="auto"/>
                <w:w w:val="88"/>
              </w:rPr>
              <w:t>121 West Election Road</w:t>
            </w:r>
            <w:r>
              <w:rPr>
                <w:rFonts w:ascii="Arial" w:cs="Arial" w:eastAsia="Arial" w:hAnsi="Arial"/>
                <w:sz w:val="18"/>
                <w:szCs w:val="18"/>
                <w:color w:val="auto"/>
                <w:w w:val="88"/>
              </w:rPr>
              <w:t>, Suite 100,Draper, Utah</w:t>
            </w:r>
          </w:p>
        </w:tc>
        <w:tc>
          <w:tcPr>
            <w:tcW w:w="2740" w:type="dxa"/>
            <w:vAlign w:val="bottom"/>
          </w:tcPr>
          <w:p>
            <w:pPr>
              <w:jc w:val="right"/>
              <w:ind w:right="950"/>
              <w:spacing w:after="0"/>
              <w:rPr>
                <w:sz w:val="20"/>
                <w:szCs w:val="20"/>
                <w:color w:val="auto"/>
              </w:rPr>
            </w:pPr>
            <w:r>
              <w:rPr>
                <w:rFonts w:ascii="Arial" w:cs="Arial" w:eastAsia="Arial" w:hAnsi="Arial"/>
                <w:sz w:val="18"/>
                <w:szCs w:val="18"/>
                <w:b w:val="1"/>
                <w:bCs w:val="1"/>
                <w:color w:val="auto"/>
              </w:rPr>
              <w:t>84020</w:t>
            </w:r>
          </w:p>
        </w:tc>
      </w:tr>
      <w:tr>
        <w:trPr>
          <w:trHeight w:val="212"/>
        </w:trPr>
        <w:tc>
          <w:tcPr>
            <w:tcW w:w="6280" w:type="dxa"/>
            <w:vAlign w:val="bottom"/>
          </w:tcPr>
          <w:p>
            <w:pPr>
              <w:jc w:val="center"/>
              <w:ind w:right="189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2740" w:type="dxa"/>
            <w:vAlign w:val="bottom"/>
          </w:tcPr>
          <w:p>
            <w:pPr>
              <w:jc w:val="center"/>
              <w:ind w:left="130"/>
              <w:spacing w:after="0"/>
              <w:rPr>
                <w:sz w:val="20"/>
                <w:szCs w:val="20"/>
                <w:color w:val="auto"/>
              </w:rPr>
            </w:pPr>
            <w:r>
              <w:rPr>
                <w:rFonts w:ascii="Arial" w:cs="Arial" w:eastAsia="Arial" w:hAnsi="Arial"/>
                <w:sz w:val="18"/>
                <w:szCs w:val="18"/>
                <w:i w:val="1"/>
                <w:iCs w:val="1"/>
                <w:color w:val="auto"/>
                <w:w w:val="89"/>
              </w:rPr>
              <w:t>(Zip Code)</w:t>
            </w:r>
          </w:p>
        </w:tc>
      </w:tr>
      <w:tr>
        <w:trPr>
          <w:trHeight w:val="220"/>
        </w:trPr>
        <w:tc>
          <w:tcPr>
            <w:tcW w:w="6280" w:type="dxa"/>
            <w:vAlign w:val="bottom"/>
          </w:tcPr>
          <w:p>
            <w:pPr>
              <w:jc w:val="center"/>
              <w:ind w:right="1450"/>
              <w:spacing w:after="0"/>
              <w:rPr>
                <w:sz w:val="20"/>
                <w:szCs w:val="20"/>
                <w:color w:val="auto"/>
              </w:rPr>
            </w:pPr>
            <w:r>
              <w:rPr>
                <w:rFonts w:ascii="Arial" w:cs="Arial" w:eastAsia="Arial" w:hAnsi="Arial"/>
                <w:sz w:val="18"/>
                <w:szCs w:val="18"/>
                <w:b w:val="1"/>
                <w:bCs w:val="1"/>
                <w:color w:val="auto"/>
              </w:rPr>
              <w:t>(801</w:t>
            </w:r>
            <w:r>
              <w:rPr>
                <w:rFonts w:ascii="Arial" w:cs="Arial" w:eastAsia="Arial" w:hAnsi="Arial"/>
                <w:sz w:val="18"/>
                <w:szCs w:val="18"/>
                <w:color w:val="auto"/>
              </w:rPr>
              <w:t>) 264-1060</w:t>
            </w:r>
          </w:p>
        </w:tc>
        <w:tc>
          <w:tcPr>
            <w:tcW w:w="2740" w:type="dxa"/>
            <w:vAlign w:val="bottom"/>
          </w:tcPr>
          <w:p>
            <w:pPr>
              <w:spacing w:after="0"/>
              <w:rPr>
                <w:sz w:val="19"/>
                <w:szCs w:val="19"/>
                <w:color w:val="auto"/>
              </w:rPr>
            </w:pPr>
          </w:p>
        </w:tc>
      </w:tr>
      <w:tr>
        <w:trPr>
          <w:trHeight w:val="230"/>
        </w:trPr>
        <w:tc>
          <w:tcPr>
            <w:tcW w:w="6280" w:type="dxa"/>
            <w:vAlign w:val="bottom"/>
          </w:tcPr>
          <w:p>
            <w:pPr>
              <w:jc w:val="center"/>
              <w:ind w:left="197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27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233" w:right="339" w:bottom="1440" w:gutter="0" w:footer="0" w:header="0"/>
        </w:sectPr>
      </w:pPr>
    </w:p>
    <w:p>
      <w:pPr>
        <w:spacing w:after="0" w:line="22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Class A Common Stock</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SNFCA</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92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920"/>
        <w:spacing w:after="0"/>
        <w:rPr>
          <w:sz w:val="20"/>
          <w:szCs w:val="20"/>
          <w:color w:val="auto"/>
        </w:rPr>
      </w:pPr>
      <w:r>
        <w:rPr>
          <w:rFonts w:ascii="Arial" w:cs="Arial" w:eastAsia="Arial" w:hAnsi="Arial"/>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3220" w:space="720"/>
            <w:col w:w="2320" w:space="720"/>
            <w:col w:w="4260"/>
          </w:cols>
          <w:pgMar w:left="320" w:top="233" w:right="339" w:bottom="1440" w:gutter="0" w:footer="0" w:header="0"/>
          <w:type w:val="continuous"/>
        </w:sectPr>
      </w:pPr>
    </w:p>
    <w:p>
      <w:pPr>
        <w:spacing w:after="0" w:line="11" w:lineRule="exact"/>
        <w:rPr>
          <w:sz w:val="24"/>
          <w:szCs w:val="24"/>
          <w:color w:val="auto"/>
        </w:rPr>
      </w:pPr>
    </w:p>
    <w:p>
      <w:pPr>
        <w:jc w:val="both"/>
        <w:ind w:firstLine="405"/>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firstLine="405"/>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firstLine="40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type w:val="continuous"/>
        </w:sectPr>
      </w:pPr>
    </w:p>
    <w:p>
      <w:pPr>
        <w:spacing w:after="0" w:line="151"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760" w:space="720"/>
            <w:col w:w="3760"/>
          </w:cols>
          <w:pgMar w:left="320" w:top="233" w:right="339" w:bottom="1440" w:gutter="0" w:footer="0" w:header="0"/>
          <w:type w:val="continuous"/>
        </w:sectPr>
      </w:pPr>
    </w:p>
    <w:p>
      <w:pPr>
        <w:spacing w:after="0" w:line="32" w:lineRule="exact"/>
        <w:rPr>
          <w:sz w:val="24"/>
          <w:szCs w:val="24"/>
          <w:color w:val="auto"/>
        </w:rPr>
      </w:pPr>
    </w:p>
    <w:p>
      <w:pPr>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left="4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20" w:firstLine="405"/>
        <w:spacing w:after="0" w:line="277" w:lineRule="auto"/>
        <w:rPr>
          <w:sz w:val="20"/>
          <w:szCs w:val="20"/>
          <w:color w:val="auto"/>
        </w:rPr>
      </w:pPr>
      <w:r>
        <w:rPr>
          <w:rFonts w:ascii="Arial" w:cs="Arial" w:eastAsia="Arial" w:hAnsi="Arial"/>
          <w:sz w:val="18"/>
          <w:szCs w:val="18"/>
          <w:color w:val="auto"/>
        </w:rPr>
        <w:t>As of August 12, 2021, the registrant had 17,582,869 shares of Class A Common Stock, $2.00 par value, outstanding and 2,762,629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SECURITY NATIONAL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12"/>
          </w:tcPr>
          <w:p>
            <w:pPr>
              <w:jc w:val="center"/>
              <w:ind w:right="4080"/>
              <w:spacing w:after="0"/>
              <w:rPr>
                <w:sz w:val="20"/>
                <w:szCs w:val="20"/>
                <w:color w:val="auto"/>
              </w:rPr>
            </w:pPr>
            <w:r>
              <w:rPr>
                <w:rFonts w:ascii="Arial" w:cs="Arial" w:eastAsia="Arial" w:hAnsi="Arial"/>
                <w:sz w:val="18"/>
                <w:szCs w:val="18"/>
                <w:b w:val="1"/>
                <w:bCs w:val="1"/>
                <w:color w:val="auto"/>
                <w:w w:val="86"/>
              </w:rPr>
              <w:t>Table of Contents</w:t>
            </w:r>
          </w:p>
        </w:tc>
        <w:tc>
          <w:tcPr>
            <w:tcW w:w="660" w:type="dxa"/>
            <w:vAlign w:val="bottom"/>
          </w:tcPr>
          <w:p>
            <w:pPr>
              <w:spacing w:after="0"/>
              <w:rPr>
                <w:sz w:val="20"/>
                <w:szCs w:val="20"/>
                <w:color w:val="auto"/>
              </w:rPr>
            </w:pPr>
          </w:p>
        </w:tc>
      </w:tr>
      <w:tr>
        <w:trPr>
          <w:trHeight w:val="391"/>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Page No.</w:t>
            </w:r>
          </w:p>
        </w:tc>
      </w:tr>
      <w:tr>
        <w:trPr>
          <w:trHeight w:val="21"/>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0000EE"/>
            </w:tcBorders>
            <w:gridSpan w:val="6"/>
            <w:shd w:val="clear" w:color="auto" w:fill="CCEEFF"/>
          </w:tcPr>
          <w:p>
            <w:pPr>
              <w:jc w:val="center"/>
              <w:spacing w:after="0" w:line="17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Part I - Financial Information</w:t>
              </w:r>
            </w:hyperlink>
          </w:p>
        </w:tc>
        <w:tc>
          <w:tcPr>
            <w:tcW w:w="3820" w:type="dxa"/>
            <w:vAlign w:val="bottom"/>
            <w:tcBorders>
              <w:bottom w:val="single" w:sz="8" w:color="CCEEFF"/>
            </w:tcBorders>
            <w:gridSpan w:val="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76"/>
        </w:trPr>
        <w:tc>
          <w:tcPr>
            <w:tcW w:w="72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860" w:type="dxa"/>
            <w:vAlign w:val="bottom"/>
            <w:gridSpan w:val="23"/>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60" w:type="dxa"/>
            <w:vAlign w:val="bottom"/>
          </w:tcPr>
          <w:p>
            <w:pPr>
              <w:spacing w:after="0"/>
              <w:rPr>
                <w:sz w:val="15"/>
                <w:szCs w:val="15"/>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2021 (unaudited) and December 31, 2020</w:t>
              </w:r>
            </w:hyperlink>
          </w:p>
        </w:tc>
        <w:tc>
          <w:tcPr>
            <w:tcW w:w="2760" w:type="dxa"/>
            <w:vAlign w:val="bottom"/>
            <w:tcBorders>
              <w:bottom w:val="single" w:sz="8" w:color="CCEEFF"/>
            </w:tcBorders>
            <w:gridSpan w:val="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3 - 4</w:t>
            </w:r>
          </w:p>
        </w:tc>
      </w:tr>
      <w:tr>
        <w:trPr>
          <w:trHeight w:val="175"/>
        </w:trPr>
        <w:tc>
          <w:tcPr>
            <w:tcW w:w="720" w:type="dxa"/>
            <w:vAlign w:val="bottom"/>
          </w:tcPr>
          <w:p>
            <w:pPr>
              <w:spacing w:after="0"/>
              <w:rPr>
                <w:sz w:val="15"/>
                <w:szCs w:val="15"/>
                <w:color w:val="auto"/>
              </w:rPr>
            </w:pPr>
          </w:p>
        </w:tc>
        <w:tc>
          <w:tcPr>
            <w:tcW w:w="9860" w:type="dxa"/>
            <w:vAlign w:val="bottom"/>
            <w:gridSpan w:val="23"/>
          </w:tcPr>
          <w:p>
            <w:pPr>
              <w:ind w:left="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Earnings for the three and six months ended June 30, 2021 and 2020 (unaudited)</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76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for the three and six months ended June 30, 2021 and 2020 (unaudited)</w:t>
              </w:r>
            </w:hyperlink>
          </w:p>
        </w:tc>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175"/>
        </w:trPr>
        <w:tc>
          <w:tcPr>
            <w:tcW w:w="720" w:type="dxa"/>
            <w:vAlign w:val="bottom"/>
          </w:tcPr>
          <w:p>
            <w:pPr>
              <w:spacing w:after="0"/>
              <w:rPr>
                <w:sz w:val="15"/>
                <w:szCs w:val="15"/>
                <w:color w:val="auto"/>
              </w:rPr>
            </w:pPr>
          </w:p>
        </w:tc>
        <w:tc>
          <w:tcPr>
            <w:tcW w:w="9860" w:type="dxa"/>
            <w:vAlign w:val="bottom"/>
            <w:gridSpan w:val="23"/>
          </w:tcPr>
          <w:p>
            <w:pPr>
              <w:ind w:left="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 as of June 30, 2021 and June 30, 2020 (unaudited)</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1"/>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1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six months ended June 30, 2021 and 2020 (unaudited)</w:t>
              </w:r>
            </w:hyperlink>
          </w:p>
        </w:tc>
        <w:tc>
          <w:tcPr>
            <w:tcW w:w="1600" w:type="dxa"/>
            <w:vAlign w:val="bottom"/>
            <w:tcBorders>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8 - 9</w:t>
            </w:r>
          </w:p>
        </w:tc>
      </w:tr>
      <w:tr>
        <w:trPr>
          <w:trHeight w:val="176"/>
        </w:trPr>
        <w:tc>
          <w:tcPr>
            <w:tcW w:w="720" w:type="dxa"/>
            <w:vAlign w:val="bottom"/>
          </w:tcPr>
          <w:p>
            <w:pPr>
              <w:spacing w:after="0"/>
              <w:rPr>
                <w:sz w:val="15"/>
                <w:szCs w:val="15"/>
                <w:color w:val="auto"/>
              </w:rPr>
            </w:pPr>
          </w:p>
        </w:tc>
        <w:tc>
          <w:tcPr>
            <w:tcW w:w="9860" w:type="dxa"/>
            <w:vAlign w:val="bottom"/>
            <w:gridSpan w:val="23"/>
          </w:tcPr>
          <w:p>
            <w:pPr>
              <w:ind w:left="8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0" w:type="dxa"/>
            <w:vAlign w:val="bottom"/>
            <w:shd w:val="clear" w:color="auto" w:fill="CCEEFF"/>
          </w:tcPr>
          <w:p>
            <w:pPr>
              <w:spacing w:after="0"/>
              <w:rPr>
                <w:sz w:val="17"/>
                <w:szCs w:val="17"/>
                <w:color w:val="auto"/>
              </w:rPr>
            </w:pPr>
          </w:p>
        </w:tc>
        <w:tc>
          <w:tcPr>
            <w:tcW w:w="9780" w:type="dxa"/>
            <w:vAlign w:val="bottom"/>
            <w:gridSpan w:val="22"/>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Management’s Discussion and Analysis of Financial Condition and Results of Operations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r>
      <w:tr>
        <w:trPr>
          <w:trHeight w:val="175"/>
        </w:trPr>
        <w:tc>
          <w:tcPr>
            <w:tcW w:w="7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3.</w:t>
            </w:r>
          </w:p>
        </w:tc>
        <w:tc>
          <w:tcPr>
            <w:tcW w:w="80" w:type="dxa"/>
            <w:vAlign w:val="bottom"/>
            <w:tcBorders>
              <w:top w:val="single" w:sz="8" w:color="CCEEFF"/>
            </w:tcBorders>
          </w:tcPr>
          <w:p>
            <w:pPr>
              <w:spacing w:after="0"/>
              <w:rPr>
                <w:sz w:val="15"/>
                <w:szCs w:val="15"/>
                <w:color w:val="auto"/>
              </w:rPr>
            </w:pPr>
          </w:p>
        </w:tc>
        <w:tc>
          <w:tcPr>
            <w:tcW w:w="646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3320" w:type="dxa"/>
            <w:vAlign w:val="bottom"/>
            <w:tcBorders>
              <w:top w:val="single" w:sz="8" w:color="CCEEFF"/>
            </w:tcBorders>
            <w:gridSpan w:val="6"/>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21"/>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860" w:type="dxa"/>
            <w:vAlign w:val="bottom"/>
            <w:gridSpan w:val="23"/>
            <w:shd w:val="clear" w:color="auto" w:fill="CCEEFF"/>
          </w:tcPr>
          <w:p>
            <w:pPr>
              <w:ind w:left="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176"/>
        </w:trPr>
        <w:tc>
          <w:tcPr>
            <w:tcW w:w="7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840" w:type="dxa"/>
            <w:vAlign w:val="bottom"/>
            <w:tcBorders>
              <w:top w:val="single" w:sz="8" w:color="CCEEFF"/>
            </w:tcBorders>
            <w:gridSpan w:val="12"/>
          </w:tcPr>
          <w:p>
            <w:pPr>
              <w:jc w:val="center"/>
              <w:ind w:right="3920"/>
              <w:spacing w:after="0" w:line="17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Part II - Other Information</w:t>
              </w:r>
            </w:hyperlink>
          </w:p>
        </w:tc>
        <w:tc>
          <w:tcPr>
            <w:tcW w:w="660" w:type="dxa"/>
            <w:vAlign w:val="bottom"/>
            <w:tcBorders>
              <w:top w:val="single" w:sz="8" w:color="CCEEFF"/>
            </w:tcBorders>
          </w:tcPr>
          <w:p>
            <w:pPr>
              <w:spacing w:after="0"/>
              <w:rPr>
                <w:sz w:val="15"/>
                <w:szCs w:val="15"/>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Legal Proceedings</w:t>
              </w:r>
            </w:hyperlink>
          </w:p>
        </w:tc>
        <w:tc>
          <w:tcPr>
            <w:tcW w:w="8440" w:type="dxa"/>
            <w:vAlign w:val="bottom"/>
            <w:tcBorders>
              <w:bottom w:val="single" w:sz="8" w:color="CCEEFF"/>
            </w:tcBorders>
            <w:gridSpan w:val="1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176"/>
        </w:trPr>
        <w:tc>
          <w:tcPr>
            <w:tcW w:w="72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860" w:type="dxa"/>
            <w:vAlign w:val="bottom"/>
            <w:gridSpan w:val="23"/>
          </w:tcPr>
          <w:p>
            <w:pPr>
              <w:ind w:left="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Risk Factors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21"/>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Unregistered Sales of Equity Securities and Use of Proceeds</w:t>
              </w:r>
            </w:hyperlink>
          </w:p>
        </w:tc>
        <w:tc>
          <w:tcPr>
            <w:tcW w:w="5420" w:type="dxa"/>
            <w:vAlign w:val="bottom"/>
            <w:tcBorders>
              <w:bottom w:val="single" w:sz="8" w:color="CCEEFF"/>
            </w:tcBorders>
            <w:gridSpan w:val="10"/>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175"/>
        </w:trPr>
        <w:tc>
          <w:tcPr>
            <w:tcW w:w="72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860" w:type="dxa"/>
            <w:vAlign w:val="bottom"/>
            <w:gridSpan w:val="23"/>
          </w:tcPr>
          <w:p>
            <w:pPr>
              <w:ind w:left="8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Defaults Upon Senior Securities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61</w:t>
            </w:r>
          </w:p>
        </w:tc>
      </w:tr>
      <w:tr>
        <w:trPr>
          <w:trHeight w:val="21"/>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Mine Safety Disclosures</w:t>
              </w:r>
            </w:hyperlink>
          </w:p>
        </w:tc>
        <w:tc>
          <w:tcPr>
            <w:tcW w:w="8000" w:type="dxa"/>
            <w:vAlign w:val="bottom"/>
            <w:tcBorders>
              <w:bottom w:val="single" w:sz="8" w:color="CCEEFF"/>
            </w:tcBorders>
            <w:gridSpan w:val="1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r>
      <w:tr>
        <w:trPr>
          <w:trHeight w:val="176"/>
        </w:trPr>
        <w:tc>
          <w:tcPr>
            <w:tcW w:w="72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860" w:type="dxa"/>
            <w:vAlign w:val="bottom"/>
            <w:gridSpan w:val="23"/>
          </w:tcPr>
          <w:p>
            <w:pPr>
              <w:ind w:left="8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61</w:t>
            </w: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0" w:type="dxa"/>
            <w:vAlign w:val="bottom"/>
            <w:shd w:val="clear" w:color="auto" w:fill="CCEEFF"/>
          </w:tcPr>
          <w:p>
            <w:pPr>
              <w:spacing w:after="0"/>
              <w:rPr>
                <w:sz w:val="15"/>
                <w:szCs w:val="15"/>
                <w:color w:val="auto"/>
              </w:rPr>
            </w:pPr>
          </w:p>
        </w:tc>
        <w:tc>
          <w:tcPr>
            <w:tcW w:w="9780" w:type="dxa"/>
            <w:vAlign w:val="bottom"/>
            <w:gridSpan w:val="22"/>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Exhibits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80" w:type="dxa"/>
            <w:vAlign w:val="bottom"/>
            <w:gridSpan w:val="22"/>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Signature Page</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63</w:t>
            </w:r>
          </w:p>
        </w:tc>
      </w:tr>
      <w:tr>
        <w:trPr>
          <w:trHeight w:val="560"/>
        </w:trPr>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gridSpan w:val="3"/>
          </w:tcPr>
          <w:p>
            <w:pPr>
              <w:spacing w:after="0"/>
              <w:rPr>
                <w:sz w:val="24"/>
                <w:szCs w:val="24"/>
                <w:color w:val="auto"/>
              </w:rPr>
            </w:pPr>
          </w:p>
        </w:tc>
        <w:tc>
          <w:tcPr>
            <w:tcW w:w="4780" w:type="dxa"/>
            <w:vAlign w:val="bottom"/>
            <w:tcBorders>
              <w:bottom w:val="single" w:sz="8" w:color="auto"/>
            </w:tcBorders>
            <w:gridSpan w:val="11"/>
          </w:tcPr>
          <w:p>
            <w:pPr>
              <w:jc w:val="right"/>
              <w:ind w:right="98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11"/>
        </w:trPr>
        <w:tc>
          <w:tcPr>
            <w:tcW w:w="4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June 30</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84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2021 (Unaudited)</w:t>
            </w:r>
          </w:p>
        </w:tc>
        <w:tc>
          <w:tcPr>
            <w:tcW w:w="8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Investments: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Fixed maturity securities, available for sale, at estimated fair value</w:t>
            </w:r>
          </w:p>
        </w:tc>
        <w:tc>
          <w:tcPr>
            <w:tcW w:w="2480" w:type="dxa"/>
            <w:vAlign w:val="bottom"/>
            <w:gridSpan w:val="2"/>
            <w:shd w:val="clear" w:color="auto" w:fill="CCEEFF"/>
          </w:tcPr>
          <w:p>
            <w:pPr>
              <w:jc w:val="right"/>
              <w:ind w:right="1030"/>
              <w:spacing w:after="0" w:line="201" w:lineRule="exact"/>
              <w:rPr>
                <w:sz w:val="20"/>
                <w:szCs w:val="20"/>
                <w:color w:val="auto"/>
              </w:rPr>
            </w:pPr>
            <w:r>
              <w:rPr>
                <w:rFonts w:ascii="Arial" w:cs="Arial" w:eastAsia="Arial" w:hAnsi="Arial"/>
                <w:sz w:val="18"/>
                <w:szCs w:val="18"/>
                <w:color w:val="auto"/>
                <w:w w:val="93"/>
              </w:rPr>
              <w:t>(amortized cost of</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$233,569,650 and $265,150,484 for 2021 and 2020)</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260,957,676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294,656,679</w:t>
            </w:r>
          </w:p>
        </w:tc>
      </w:tr>
      <w:tr>
        <w:trPr>
          <w:trHeight w:val="202"/>
        </w:trPr>
        <w:tc>
          <w:tcPr>
            <w:tcW w:w="7320" w:type="dxa"/>
            <w:vAlign w:val="bottom"/>
            <w:gridSpan w:val="3"/>
          </w:tcPr>
          <w:p>
            <w:pPr>
              <w:spacing w:after="0" w:line="201" w:lineRule="exact"/>
              <w:rPr>
                <w:sz w:val="20"/>
                <w:szCs w:val="20"/>
                <w:color w:val="auto"/>
              </w:rPr>
            </w:pPr>
            <w:r>
              <w:rPr>
                <w:rFonts w:ascii="Arial" w:cs="Arial" w:eastAsia="Arial" w:hAnsi="Arial"/>
                <w:sz w:val="18"/>
                <w:szCs w:val="18"/>
                <w:color w:val="auto"/>
              </w:rPr>
              <w:t>Equity securities at estimated fair value (cost of $7,810,399 and $9,698,490 for 2021</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and 2020)</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10,322,456</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11,324,239</w:t>
            </w:r>
          </w:p>
        </w:tc>
      </w:tr>
      <w:tr>
        <w:trPr>
          <w:trHeight w:val="202"/>
        </w:trPr>
        <w:tc>
          <w:tcPr>
            <w:tcW w:w="7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Mortgage loans held for investment (net of allowances for loan losses of $1,900,935</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and $2,005,127 for 2021 and 2020)</w:t>
            </w: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262,160,007</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249,343,936</w:t>
            </w:r>
          </w:p>
        </w:tc>
      </w:tr>
      <w:tr>
        <w:trPr>
          <w:trHeight w:val="202"/>
        </w:trPr>
        <w:tc>
          <w:tcPr>
            <w:tcW w:w="7320" w:type="dxa"/>
            <w:vAlign w:val="bottom"/>
            <w:gridSpan w:val="3"/>
          </w:tcPr>
          <w:p>
            <w:pPr>
              <w:spacing w:after="0" w:line="201" w:lineRule="exact"/>
              <w:rPr>
                <w:sz w:val="20"/>
                <w:szCs w:val="20"/>
                <w:color w:val="auto"/>
              </w:rPr>
            </w:pPr>
            <w:r>
              <w:rPr>
                <w:rFonts w:ascii="Arial" w:cs="Arial" w:eastAsia="Arial" w:hAnsi="Arial"/>
                <w:sz w:val="18"/>
                <w:szCs w:val="18"/>
                <w:color w:val="auto"/>
              </w:rPr>
              <w:t>Real estate held for investment (net of accumulated depreciation of $15,268,717 and</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$13,800,973 for 2021 and 2020)</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178,437,646</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131,684,453</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Real estate held for sale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6,221,164</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7,878,807</w:t>
            </w:r>
          </w:p>
        </w:tc>
      </w:tr>
      <w:tr>
        <w:trPr>
          <w:trHeight w:val="202"/>
        </w:trPr>
        <w:tc>
          <w:tcPr>
            <w:tcW w:w="7320" w:type="dxa"/>
            <w:vAlign w:val="bottom"/>
            <w:gridSpan w:val="3"/>
          </w:tcPr>
          <w:p>
            <w:pPr>
              <w:spacing w:after="0" w:line="201" w:lineRule="exact"/>
              <w:rPr>
                <w:sz w:val="20"/>
                <w:szCs w:val="20"/>
                <w:color w:val="auto"/>
              </w:rPr>
            </w:pPr>
            <w:r>
              <w:rPr>
                <w:rFonts w:ascii="Arial" w:cs="Arial" w:eastAsia="Arial" w:hAnsi="Arial"/>
                <w:sz w:val="18"/>
                <w:szCs w:val="18"/>
                <w:color w:val="auto"/>
              </w:rPr>
              <w:t>Other investments and policy loans (net of allowances for doubtful accounts of</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$1,676,618 and $1,645,475 for 2021 and 2020)</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61,887,744</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73,696,661</w:t>
            </w:r>
          </w:p>
        </w:tc>
      </w:tr>
      <w:tr>
        <w:trPr>
          <w:trHeight w:val="22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5,484,182</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5,360,523</w:t>
            </w:r>
          </w:p>
        </w:tc>
      </w:tr>
      <w:tr>
        <w:trPr>
          <w:trHeight w:val="210"/>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investments</w:t>
            </w:r>
          </w:p>
        </w:tc>
        <w:tc>
          <w:tcPr>
            <w:tcW w:w="2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785,470,875</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773,945,298</w:t>
            </w:r>
          </w:p>
        </w:tc>
        <w:tc>
          <w:tcPr>
            <w:tcW w:w="100" w:type="dxa"/>
            <w:vAlign w:val="bottom"/>
            <w:tcBorders>
              <w:bottom w:val="single" w:sz="8" w:color="CCEEFF"/>
            </w:tcBorders>
          </w:tcPr>
          <w:p>
            <w:pPr>
              <w:spacing w:after="0"/>
              <w:rPr>
                <w:sz w:val="18"/>
                <w:szCs w:val="18"/>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149,209,290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106,219,429</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Loans held for sale at estimated fair value</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296,728,086</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422,772,418</w:t>
            </w:r>
          </w:p>
        </w:tc>
      </w:tr>
      <w:tr>
        <w:trPr>
          <w:trHeight w:val="202"/>
        </w:trPr>
        <w:tc>
          <w:tcPr>
            <w:tcW w:w="7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Receivables (net of allowances for doubtful accounts of $1,733,393 and $1,685,382 for</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2021 and 2020)</w:t>
            </w: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16,397,549</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10,899,207</w:t>
            </w:r>
          </w:p>
        </w:tc>
      </w:tr>
      <w:tr>
        <w:trPr>
          <w:trHeight w:val="202"/>
        </w:trPr>
        <w:tc>
          <w:tcPr>
            <w:tcW w:w="7320" w:type="dxa"/>
            <w:vAlign w:val="bottom"/>
            <w:gridSpan w:val="3"/>
          </w:tcPr>
          <w:p>
            <w:pPr>
              <w:spacing w:after="0" w:line="201" w:lineRule="exact"/>
              <w:rPr>
                <w:sz w:val="20"/>
                <w:szCs w:val="20"/>
                <w:color w:val="auto"/>
              </w:rPr>
            </w:pPr>
            <w:r>
              <w:rPr>
                <w:rFonts w:ascii="Arial" w:cs="Arial" w:eastAsia="Arial" w:hAnsi="Arial"/>
                <w:sz w:val="18"/>
                <w:szCs w:val="18"/>
                <w:color w:val="auto"/>
              </w:rPr>
              <w:t>Restricted assets (including $4,363,172 and $3,989,415 for 2021 and 2020 at estimated</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fair value)</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17,225,453</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16,150,036</w:t>
            </w:r>
          </w:p>
        </w:tc>
      </w:tr>
      <w:tr>
        <w:trPr>
          <w:trHeight w:val="202"/>
        </w:trPr>
        <w:tc>
          <w:tcPr>
            <w:tcW w:w="7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Cemetery perpetual care trust investments (including $3,077,592 and $2,810,070 for</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2021 and 2020 at estimated fair value)</w:t>
            </w: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6,827,765</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6,413,167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Receivable from reinsurers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15,769,108</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15,569,156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Cemetery land and improvements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8,416,613</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8,761,436</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Deferred policy and pre-need contract acquisition costs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103,469,583</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100,075,276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46,724,546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35,210,516</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14,830,650</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12,473,345</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Value of business acquired</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8,574,921</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8,955,249</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3,519,588</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3,519,588</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28,892,160</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27,976,357</w:t>
            </w:r>
          </w:p>
        </w:tc>
      </w:tr>
      <w:tr>
        <w:trPr>
          <w:trHeight w:val="210"/>
        </w:trPr>
        <w:tc>
          <w:tcPr>
            <w:tcW w:w="4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1,502,056,187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1,548,940,478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800" w:type="dxa"/>
            <w:vAlign w:val="bottom"/>
            <w:gridSpan w:val="6"/>
          </w:tcPr>
          <w:p>
            <w:pPr>
              <w:jc w:val="center"/>
              <w:ind w:left="2350"/>
              <w:spacing w:after="0"/>
              <w:rPr>
                <w:sz w:val="20"/>
                <w:szCs w:val="20"/>
                <w:color w:val="auto"/>
              </w:rPr>
            </w:pPr>
            <w:r>
              <w:rPr>
                <w:rFonts w:ascii="Arial" w:cs="Arial" w:eastAsia="Arial" w:hAnsi="Arial"/>
                <w:sz w:val="18"/>
                <w:szCs w:val="18"/>
                <w:color w:val="auto"/>
                <w:w w:val="96"/>
              </w:rPr>
              <w:t>SECURITY NATIONAL FINANCIAL CORPORATION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gridSpan w:val="2"/>
          </w:tcPr>
          <w:p>
            <w:pPr>
              <w:jc w:val="center"/>
              <w:ind w:left="4350"/>
              <w:spacing w:after="0"/>
              <w:rPr>
                <w:sz w:val="20"/>
                <w:szCs w:val="20"/>
                <w:color w:val="auto"/>
              </w:rPr>
            </w:pPr>
            <w:r>
              <w:rPr>
                <w:rFonts w:ascii="Arial" w:cs="Arial" w:eastAsia="Arial" w:hAnsi="Arial"/>
                <w:sz w:val="18"/>
                <w:szCs w:val="18"/>
                <w:color w:val="auto"/>
                <w:w w:val="95"/>
              </w:rPr>
              <w:t>AND SUBSIDIARIES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8800" w:type="dxa"/>
            <w:vAlign w:val="bottom"/>
            <w:gridSpan w:val="6"/>
          </w:tcPr>
          <w:p>
            <w:pPr>
              <w:jc w:val="center"/>
              <w:ind w:left="2370"/>
              <w:spacing w:after="0"/>
              <w:rPr>
                <w:sz w:val="20"/>
                <w:szCs w:val="20"/>
                <w:color w:val="auto"/>
              </w:rPr>
            </w:pPr>
            <w:r>
              <w:rPr>
                <w:rFonts w:ascii="Arial" w:cs="Arial" w:eastAsia="Arial" w:hAnsi="Arial"/>
                <w:sz w:val="18"/>
                <w:szCs w:val="18"/>
                <w:color w:val="auto"/>
                <w:w w:val="93"/>
              </w:rPr>
              <w:t>CONDENSED CONSOLIDATED BALANCE SHEETS (Continued)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December 31</w:t>
            </w:r>
          </w:p>
        </w:tc>
      </w:tr>
      <w:tr>
        <w:trPr>
          <w:trHeight w:val="234"/>
        </w:trPr>
        <w:tc>
          <w:tcPr>
            <w:tcW w:w="630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0"/>
              </w:rPr>
              <w:t>2021 (Unaudited)</w:t>
            </w:r>
          </w:p>
        </w:tc>
        <w:tc>
          <w:tcPr>
            <w:tcW w:w="8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r>
      <w:tr>
        <w:trPr>
          <w:trHeight w:val="209"/>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policy benefits and unpaid claims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852,448,753</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844,790,087</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Unearned premium reserve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3,193,838</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3,328,623</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231,972,771</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297,824,368</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Deferred pre-need cemetery and mortuary contract revenues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13,707,231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13,080,179</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Cemetery perpetual care obligation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4,201,629</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4,087,704</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10,211,871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8,932,683</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 and accrued expenses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70,577,233</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87,650,981</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29,894,148</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25,258,800</w:t>
            </w:r>
          </w:p>
        </w:tc>
      </w:tr>
      <w:tr>
        <w:trPr>
          <w:trHeight w:val="209"/>
        </w:trPr>
        <w:tc>
          <w:tcPr>
            <w:tcW w:w="6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1,216,207,474</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1,284,953,425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Preferred Stock - non-voting - $1.00 par value; 5,000,000 shares authorized;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 issued or outstanding</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Class A: common stock - $2.00 par value; 20,000,000 shares authorized;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35,123,042</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33,191,566</w:t>
            </w:r>
          </w:p>
        </w:tc>
      </w:tr>
      <w:tr>
        <w:trPr>
          <w:trHeight w:val="216"/>
        </w:trPr>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issued 17,561,521 shares in 2021 and 16,595,783 shares in 2020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Class B: non-voting common stock - $1.00 par value; 5,000,000 shares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authorized; none issued or outstanding</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Class C: convertible common stock - $2.00 par value; 3,000,000 shares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5,525,260</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5,359,206</w:t>
            </w:r>
          </w:p>
        </w:tc>
      </w:tr>
      <w:tr>
        <w:trPr>
          <w:trHeight w:val="216"/>
        </w:trPr>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authorized; issued 2,762,630 shares in 2021 and 2,679,603 shares in 2020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57,394,514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50,287,253</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net of taxes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21,598,498</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23,243,133</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168,415,007</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153,739,167</w:t>
            </w:r>
          </w:p>
        </w:tc>
      </w:tr>
      <w:tr>
        <w:trPr>
          <w:trHeight w:val="202"/>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Treasury stock at cost - 175,153 Class A shares and 95,356 Class C shares in 2021; and</w:t>
            </w: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227,852 Class A shares and 10,985 Class C shares in 2020</w:t>
            </w: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(2,207,608)</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(1,833,272)</w:t>
            </w:r>
          </w:p>
        </w:tc>
      </w:tr>
      <w:tr>
        <w:trPr>
          <w:trHeight w:val="210"/>
        </w:trPr>
        <w:tc>
          <w:tcPr>
            <w:tcW w:w="6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DFFCC"/>
            </w:tcBorders>
            <w:shd w:val="clear" w:color="auto" w:fill="CCEEFF"/>
          </w:tcPr>
          <w:p>
            <w:pPr>
              <w:spacing w:after="0"/>
              <w:rPr>
                <w:sz w:val="18"/>
                <w:szCs w:val="18"/>
                <w:color w:val="auto"/>
              </w:rPr>
            </w:pPr>
          </w:p>
        </w:tc>
        <w:tc>
          <w:tcPr>
            <w:tcW w:w="1360" w:type="dxa"/>
            <w:vAlign w:val="bottom"/>
            <w:tcBorders>
              <w:top w:val="single" w:sz="8" w:color="auto"/>
              <w:bottom w:val="single" w:sz="8" w:color="CDFFCC"/>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DFFCC"/>
            </w:tcBorders>
            <w:shd w:val="clear" w:color="auto" w:fill="CCEEFF"/>
          </w:tcPr>
          <w:p>
            <w:pPr>
              <w:spacing w:after="0"/>
              <w:rPr>
                <w:sz w:val="18"/>
                <w:szCs w:val="18"/>
                <w:color w:val="auto"/>
              </w:rPr>
            </w:pPr>
          </w:p>
        </w:tc>
        <w:tc>
          <w:tcPr>
            <w:tcW w:w="1280" w:type="dxa"/>
            <w:vAlign w:val="bottom"/>
            <w:tcBorders>
              <w:top w:val="single" w:sz="8" w:color="auto"/>
              <w:bottom w:val="single" w:sz="8" w:color="CDFFCC"/>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5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285,848,713</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263,987,053</w:t>
            </w:r>
          </w:p>
        </w:tc>
        <w:tc>
          <w:tcPr>
            <w:tcW w:w="100" w:type="dxa"/>
            <w:vAlign w:val="bottom"/>
            <w:tcBorders>
              <w:bottom w:val="single" w:sz="8" w:color="CCEEFF"/>
            </w:tcBorders>
          </w:tcPr>
          <w:p>
            <w:pPr>
              <w:spacing w:after="0"/>
              <w:rPr>
                <w:sz w:val="18"/>
                <w:szCs w:val="18"/>
                <w:color w:val="auto"/>
              </w:rPr>
            </w:pPr>
          </w:p>
        </w:tc>
      </w:tr>
      <w:tr>
        <w:trPr>
          <w:trHeight w:val="210"/>
        </w:trPr>
        <w:tc>
          <w:tcPr>
            <w:tcW w:w="6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0"/>
        </w:trPr>
        <w:tc>
          <w:tcPr>
            <w:tcW w:w="68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1,502,056,187</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1,548,940,478</w:t>
            </w:r>
          </w:p>
        </w:tc>
      </w:tr>
      <w:tr>
        <w:trPr>
          <w:trHeight w:val="432"/>
        </w:trPr>
        <w:tc>
          <w:tcPr>
            <w:tcW w:w="6820" w:type="dxa"/>
            <w:vAlign w:val="bottom"/>
            <w:gridSpan w:val="2"/>
          </w:tcPr>
          <w:p>
            <w:pPr>
              <w:spacing w:after="0"/>
              <w:rPr>
                <w:sz w:val="20"/>
                <w:szCs w:val="20"/>
                <w:color w:val="auto"/>
              </w:rPr>
            </w:pPr>
            <w:r>
              <w:rPr>
                <w:rFonts w:ascii="Arial" w:cs="Arial" w:eastAsia="Arial" w:hAnsi="Arial"/>
                <w:sz w:val="18"/>
                <w:szCs w:val="18"/>
                <w:color w:val="auto"/>
                <w:w w:val="99"/>
              </w:rPr>
              <w:t>See accompanying notes to condensed consolidated financial statements (unaudited).</w:t>
            </w: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6300" w:type="dxa"/>
            <w:vAlign w:val="bottom"/>
            <w:tcBorders>
              <w:bottom w:val="single" w:sz="8" w:color="auto"/>
            </w:tcBorders>
          </w:tcPr>
          <w:p>
            <w:pPr>
              <w:jc w:val="center"/>
              <w:ind w:left="4870"/>
              <w:spacing w:after="0"/>
              <w:rPr>
                <w:sz w:val="20"/>
                <w:szCs w:val="20"/>
                <w:color w:val="auto"/>
              </w:rPr>
            </w:pPr>
            <w:r>
              <w:rPr>
                <w:rFonts w:ascii="Arial" w:cs="Arial" w:eastAsia="Arial" w:hAnsi="Arial"/>
                <w:sz w:val="18"/>
                <w:szCs w:val="18"/>
                <w:color w:val="auto"/>
                <w:w w:val="99"/>
              </w:rPr>
              <w:t>4</w:t>
            </w: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7"/>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0"/>
                <w:szCs w:val="20"/>
                <w:color w:val="auto"/>
              </w:rPr>
            </w:pPr>
          </w:p>
        </w:tc>
        <w:tc>
          <w:tcPr>
            <w:tcW w:w="278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8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65,157,813</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73,368,333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138,156,425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113,650,094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Insurance premiums and other considerations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24,959,028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22,924,709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48,309,238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45,215,985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14,177,318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12,962,745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28,471,205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26,363,244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mortuary and cemetery sales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6,318,398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4,700,778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12,260,524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9,158,869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Gains (losses) on investments and other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1,477,204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2,238,279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3,437,317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(973,968)</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4,660,554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2,466,898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8,774,212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4,856,467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116,750,315</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118,661,742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239,408,921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198,270,691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Death benefits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14,844,067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13,586,723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33,156,073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26,994,350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Surrenders and other policy benefits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670,957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838,191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1,748,601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1,908,666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Increase in future policy benefits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7,400,716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6,603,843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11,655,374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13,641,876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policy and pre-need acquisition</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costs and value of business acquired</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3,654,061</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3,026,666</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7,230,926</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6,541,723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29,893,565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27,239,088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62,623,245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43,793,831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Personnel</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24,328,690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20,538,655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48,700,195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39,258,653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1,597,067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1,229,841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3,398,065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Rent and rent related</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1,874,348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1,662,853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3,740,246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3,277,594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on property and equipment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473,478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518,070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975,123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1,034,283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Costs related to funding mortgage loans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2,739,500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2,378,815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5,676,725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4,335,097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12,029,714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11,303,388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23,979,578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21,378,930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1,694,012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1,881,440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3,519,611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3,700,049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and services sold-mortuaries and cemeteries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872,788</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660,413</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1,972,752</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1,502,491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benefits and expenses</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102,072,963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91,467,986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208,376,514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169,602,701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14,677,352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27,193,756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31,032,407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28,667,990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(3,419,873)</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(6,636,709)</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(7,646,213)</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(6,686,494)</w:t>
            </w: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11,257,479</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20,557,047</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23,386,194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21,981,496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Class A Equivalent common share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7"/>
              </w:rPr>
              <w:t>Net earnings per Class A Equivalent common share-assuming</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40" w:type="dxa"/>
            <w:vAlign w:val="bottom"/>
            <w:vMerge w:val="continue"/>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0.54</w:t>
            </w:r>
          </w:p>
        </w:tc>
        <w:tc>
          <w:tcPr>
            <w:tcW w:w="120" w:type="dxa"/>
            <w:vAlign w:val="bottom"/>
            <w:vMerge w:val="restart"/>
          </w:tcPr>
          <w:p>
            <w:pPr>
              <w:spacing w:after="0"/>
              <w:rPr>
                <w:sz w:val="15"/>
                <w:szCs w:val="15"/>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1.12</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dilution (1)</w:t>
            </w:r>
          </w:p>
        </w:tc>
        <w:tc>
          <w:tcPr>
            <w:tcW w:w="2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8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Weighted-average Class A equivalent common shares</w:t>
            </w: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20,106,954</w:t>
            </w:r>
          </w:p>
        </w:tc>
        <w:tc>
          <w:tcPr>
            <w:tcW w:w="120" w:type="dxa"/>
            <w:vAlign w:val="bottom"/>
            <w:tcBorders>
              <w:top w:val="single" w:sz="8" w:color="CCEEFF"/>
            </w:tcBorders>
            <w:vMerge w:val="restart"/>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19,719,792</w:t>
            </w:r>
          </w:p>
        </w:tc>
        <w:tc>
          <w:tcPr>
            <w:tcW w:w="100" w:type="dxa"/>
            <w:vAlign w:val="bottom"/>
            <w:tcBorders>
              <w:top w:val="single" w:sz="8" w:color="CCEEFF"/>
            </w:tcBorders>
            <w:vMerge w:val="restart"/>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20,093,834</w:t>
            </w:r>
          </w:p>
        </w:tc>
        <w:tc>
          <w:tcPr>
            <w:tcW w:w="100" w:type="dxa"/>
            <w:vAlign w:val="bottom"/>
            <w:tcBorders>
              <w:top w:val="single" w:sz="8" w:color="CCEEFF"/>
            </w:tcBorders>
            <w:vMerge w:val="restart"/>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19,658,351</w:t>
            </w:r>
          </w:p>
        </w:tc>
        <w:tc>
          <w:tcPr>
            <w:tcW w:w="20" w:type="dxa"/>
            <w:vAlign w:val="bottom"/>
            <w:tcBorders>
              <w:top w:val="single" w:sz="8" w:color="CCEEFF"/>
            </w:tcBorders>
            <w:vMerge w:val="restart"/>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(1)</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840" w:type="dxa"/>
            <w:vAlign w:val="bottom"/>
          </w:tcPr>
          <w:p>
            <w:pPr>
              <w:spacing w:after="0" w:line="176" w:lineRule="exact"/>
              <w:rPr>
                <w:sz w:val="20"/>
                <w:szCs w:val="20"/>
                <w:color w:val="auto"/>
              </w:rPr>
            </w:pPr>
            <w:r>
              <w:rPr>
                <w:rFonts w:ascii="Arial" w:cs="Arial" w:eastAsia="Arial" w:hAnsi="Arial"/>
                <w:sz w:val="18"/>
                <w:szCs w:val="18"/>
                <w:color w:val="auto"/>
              </w:rPr>
              <w:t>Weighted-average Class A equivalent common shares</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20,891,771</w:t>
            </w:r>
          </w:p>
        </w:tc>
        <w:tc>
          <w:tcPr>
            <w:tcW w:w="12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20,159,385</w:t>
            </w:r>
          </w:p>
        </w:tc>
        <w:tc>
          <w:tcPr>
            <w:tcW w:w="10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20,919,882</w:t>
            </w:r>
          </w:p>
        </w:tc>
        <w:tc>
          <w:tcPr>
            <w:tcW w:w="10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20,007,853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outstanding-assuming dilution (1)</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63" w:lineRule="auto"/>
        <w:tabs>
          <w:tab w:leader="none" w:pos="27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7"/>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740" w:type="dxa"/>
            <w:vAlign w:val="bottom"/>
            <w:gridSpan w:val="8"/>
          </w:tcPr>
          <w:p>
            <w:pPr>
              <w:jc w:val="right"/>
              <w:ind w:right="46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48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r>
      <w:tr>
        <w:trPr>
          <w:trHeight w:val="223"/>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11,257,479</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20,557,047</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23,386,194</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21,981,496</w:t>
            </w:r>
          </w:p>
        </w:tc>
        <w:tc>
          <w:tcPr>
            <w:tcW w:w="80" w:type="dxa"/>
            <w:vAlign w:val="bottom"/>
            <w:shd w:val="clear" w:color="auto" w:fill="CCEEFF"/>
          </w:tcPr>
          <w:p>
            <w:pPr>
              <w:spacing w:after="0"/>
              <w:rPr>
                <w:sz w:val="19"/>
                <w:szCs w:val="19"/>
                <w:color w:val="auto"/>
              </w:rPr>
            </w:pPr>
          </w:p>
        </w:tc>
      </w:tr>
      <w:tr>
        <w:trPr>
          <w:trHeight w:val="210"/>
        </w:trPr>
        <w:tc>
          <w:tcPr>
            <w:tcW w:w="484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84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Unrealized gains (losses) on fixed maturity</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4,734,692</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15,180,782</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(2,071,211)</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3,999,631</w:t>
            </w:r>
          </w:p>
        </w:tc>
        <w:tc>
          <w:tcPr>
            <w:tcW w:w="80" w:type="dxa"/>
            <w:vAlign w:val="bottom"/>
            <w:shd w:val="clear" w:color="auto" w:fill="CCEEFF"/>
          </w:tcPr>
          <w:p>
            <w:pPr>
              <w:spacing w:after="0"/>
              <w:rPr>
                <w:sz w:val="20"/>
                <w:szCs w:val="20"/>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8"/>
                <w:szCs w:val="18"/>
                <w:color w:val="auto"/>
              </w:rPr>
              <w:t>Unrealized gains (losses) on restricted assets</w:t>
            </w:r>
          </w:p>
        </w:tc>
        <w:tc>
          <w:tcPr>
            <w:tcW w:w="2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2,698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18,072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(7,731)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4,987</w:t>
            </w:r>
          </w:p>
        </w:tc>
        <w:tc>
          <w:tcPr>
            <w:tcW w:w="80" w:type="dxa"/>
            <w:vAlign w:val="bottom"/>
          </w:tcPr>
          <w:p>
            <w:pPr>
              <w:spacing w:after="0"/>
              <w:rPr>
                <w:sz w:val="18"/>
                <w:szCs w:val="18"/>
                <w:color w:val="auto"/>
              </w:rPr>
            </w:pPr>
          </w:p>
        </w:tc>
      </w:tr>
      <w:tr>
        <w:trPr>
          <w:trHeight w:val="202"/>
        </w:trPr>
        <w:tc>
          <w:tcPr>
            <w:tcW w:w="484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8"/>
              </w:rPr>
              <w:t>Unrealized gains (losses) on cemetery perpetual care trust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1,939</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17,815</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80" w:type="dxa"/>
            <w:vAlign w:val="bottom"/>
            <w:shd w:val="clear" w:color="auto" w:fill="CCEEFF"/>
          </w:tcPr>
          <w:p>
            <w:pPr>
              <w:spacing w:after="0"/>
              <w:rPr>
                <w:sz w:val="20"/>
                <w:szCs w:val="20"/>
                <w:color w:val="auto"/>
              </w:rPr>
            </w:pPr>
          </w:p>
        </w:tc>
      </w:tr>
      <w:tr>
        <w:trPr>
          <w:trHeight w:val="229"/>
        </w:trPr>
        <w:tc>
          <w:tcPr>
            <w:tcW w:w="484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2,835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(280)</w:t>
            </w:r>
          </w:p>
        </w:tc>
      </w:tr>
      <w:tr>
        <w:trPr>
          <w:trHeight w:val="209"/>
        </w:trPr>
        <w:tc>
          <w:tcPr>
            <w:tcW w:w="48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income tax</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4,739,329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15,216,834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(2,082,365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4,010,107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(995,442</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(3,196,946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(842,532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comprehensive income (loss), net of income tax</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3,743,887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12,019,888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(1,644,635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3,167,575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840" w:type="dxa"/>
            <w:vAlign w:val="bottom"/>
          </w:tcPr>
          <w:p>
            <w:pPr>
              <w:ind w:left="10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15,001,366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32,576,935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21,741,559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25,149,071</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11"/>
          </w:tcPr>
          <w:p>
            <w:pPr>
              <w:ind w:left="620"/>
              <w:spacing w:after="0"/>
              <w:rPr>
                <w:sz w:val="20"/>
                <w:szCs w:val="20"/>
                <w:color w:val="auto"/>
              </w:rPr>
            </w:pPr>
            <w:r>
              <w:rPr>
                <w:rFonts w:ascii="Arial" w:cs="Arial" w:eastAsia="Arial" w:hAnsi="Arial"/>
                <w:sz w:val="18"/>
                <w:szCs w:val="18"/>
                <w:b w:val="1"/>
                <w:bCs w:val="1"/>
                <w:color w:val="auto"/>
              </w:rPr>
              <w:t>Six Months Ended June 30, 2021</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4"/>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Class A</w:t>
            </w:r>
          </w:p>
        </w:tc>
        <w:tc>
          <w:tcPr>
            <w:tcW w:w="14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Class C</w:t>
            </w:r>
          </w:p>
        </w:tc>
        <w:tc>
          <w:tcPr>
            <w:tcW w:w="1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Paid-in</w:t>
            </w:r>
          </w:p>
        </w:tc>
        <w:tc>
          <w:tcPr>
            <w:tcW w:w="1400" w:type="dxa"/>
            <w:vAlign w:val="bottom"/>
            <w:gridSpan w:val="5"/>
          </w:tcPr>
          <w:p>
            <w:pPr>
              <w:ind w:left="140"/>
              <w:spacing w:after="0"/>
              <w:rPr>
                <w:sz w:val="20"/>
                <w:szCs w:val="20"/>
                <w:color w:val="auto"/>
              </w:rPr>
            </w:pPr>
            <w:r>
              <w:rPr>
                <w:rFonts w:ascii="Arial" w:cs="Arial" w:eastAsia="Arial" w:hAnsi="Arial"/>
                <w:sz w:val="18"/>
                <w:szCs w:val="18"/>
                <w:b w:val="1"/>
                <w:bCs w:val="1"/>
                <w:color w:val="auto"/>
                <w:w w:val="91"/>
              </w:rPr>
              <w:t>Comprehensive</w:t>
            </w:r>
          </w:p>
        </w:tc>
        <w:tc>
          <w:tcPr>
            <w:tcW w:w="60" w:type="dxa"/>
            <w:vAlign w:val="bottom"/>
          </w:tcPr>
          <w:p>
            <w:pPr>
              <w:spacing w:after="0"/>
              <w:rPr>
                <w:sz w:val="18"/>
                <w:szCs w:val="18"/>
                <w:color w:val="auto"/>
              </w:rPr>
            </w:pPr>
          </w:p>
        </w:tc>
        <w:tc>
          <w:tcPr>
            <w:tcW w:w="1260" w:type="dxa"/>
            <w:vAlign w:val="bottom"/>
            <w:gridSpan w:val="3"/>
          </w:tcPr>
          <w:p>
            <w:pPr>
              <w:ind w:left="220"/>
              <w:spacing w:after="0"/>
              <w:rPr>
                <w:sz w:val="20"/>
                <w:szCs w:val="20"/>
                <w:color w:val="auto"/>
              </w:rPr>
            </w:pPr>
            <w:r>
              <w:rPr>
                <w:rFonts w:ascii="Arial" w:cs="Arial" w:eastAsia="Arial" w:hAnsi="Arial"/>
                <w:sz w:val="18"/>
                <w:szCs w:val="18"/>
                <w:b w:val="1"/>
                <w:bCs w:val="1"/>
                <w:color w:val="auto"/>
              </w:rPr>
              <w:t>Retained</w:t>
            </w: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Income</w:t>
            </w:r>
          </w:p>
        </w:tc>
        <w:tc>
          <w:tcPr>
            <w:tcW w:w="60" w:type="dxa"/>
            <w:vAlign w:val="bottom"/>
          </w:tcPr>
          <w:p>
            <w:pPr>
              <w:spacing w:after="0"/>
              <w:rPr>
                <w:sz w:val="20"/>
                <w:szCs w:val="20"/>
                <w:color w:val="auto"/>
              </w:rPr>
            </w:pPr>
          </w:p>
        </w:tc>
        <w:tc>
          <w:tcPr>
            <w:tcW w:w="1260" w:type="dxa"/>
            <w:vAlign w:val="bottom"/>
            <w:gridSpan w:val="3"/>
          </w:tcPr>
          <w:p>
            <w:pPr>
              <w:ind w:left="200"/>
              <w:spacing w:after="0"/>
              <w:rPr>
                <w:sz w:val="20"/>
                <w:szCs w:val="20"/>
                <w:color w:val="auto"/>
              </w:rPr>
            </w:pPr>
            <w:r>
              <w:rPr>
                <w:rFonts w:ascii="Arial" w:cs="Arial" w:eastAsia="Arial" w:hAnsi="Arial"/>
                <w:sz w:val="18"/>
                <w:szCs w:val="18"/>
                <w:b w:val="1"/>
                <w:bCs w:val="1"/>
                <w:color w:val="auto"/>
              </w:rPr>
              <w:t>Earnings</w:t>
            </w: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09"/>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January 1, 2021</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$ 33,191,566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$ 5,359,206</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$ 50,287,253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23,243,133</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$ 153,739,167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(1,833,272)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$ 263,987,053</w:t>
            </w: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12,128,715</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12,128,715</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(5,388,522)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(5,388,522)</w:t>
            </w: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Stock-based compensation expense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39,153</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Exercise of stock options</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55,852</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33,401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89,253</w:t>
            </w: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treasury stock</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290,381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1,632,041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1,922,422</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(910,233)</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(910,233)</w:t>
            </w:r>
          </w:p>
        </w:tc>
      </w:tr>
      <w:tr>
        <w:trPr>
          <w:trHeight w:val="229"/>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Conversion Class C to Class A</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97,054</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(97,054)</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2840" w:type="dxa"/>
            <w:vAlign w:val="bottom"/>
          </w:tcPr>
          <w:p>
            <w:pPr>
              <w:ind w:left="100"/>
              <w:spacing w:after="0"/>
              <w:rPr>
                <w:sz w:val="20"/>
                <w:szCs w:val="20"/>
                <w:color w:val="auto"/>
              </w:rPr>
            </w:pPr>
            <w:r>
              <w:rPr>
                <w:rFonts w:ascii="Arial" w:cs="Arial" w:eastAsia="Arial" w:hAnsi="Arial"/>
                <w:sz w:val="18"/>
                <w:szCs w:val="18"/>
                <w:color w:val="auto"/>
              </w:rPr>
              <w:t>March 31, 2021</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$ 33,344,472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$ 5,262,152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$ 50,650,188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17,854,611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$ 165,867,882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 (1,111,464)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$ 271,867,841</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11,257,479</w:t>
            </w:r>
          </w:p>
        </w:tc>
        <w:tc>
          <w:tcPr>
            <w:tcW w:w="140" w:type="dxa"/>
            <w:vAlign w:val="bottom"/>
          </w:tcPr>
          <w:p>
            <w:pPr>
              <w:spacing w:after="0"/>
              <w:rPr>
                <w:sz w:val="18"/>
                <w:szCs w:val="18"/>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11,257,479</w:t>
            </w: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3,743,887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3,743,887</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Exercise of stock options</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106,044</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7,655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113,699</w:t>
            </w: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treasury stock</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(38,048)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1,499,862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1,461,814</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(2,596,006)</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(2,596,006)</w:t>
            </w:r>
          </w:p>
        </w:tc>
      </w:tr>
      <w:tr>
        <w:trPr>
          <w:trHeight w:val="229"/>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dividends</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1,672,526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263,108</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6,774,719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(8,710,354)</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2840" w:type="dxa"/>
            <w:vAlign w:val="bottom"/>
          </w:tcPr>
          <w:p>
            <w:pPr>
              <w:ind w:left="100"/>
              <w:spacing w:after="0"/>
              <w:rPr>
                <w:sz w:val="20"/>
                <w:szCs w:val="20"/>
                <w:color w:val="auto"/>
              </w:rPr>
            </w:pPr>
            <w:r>
              <w:rPr>
                <w:rFonts w:ascii="Arial" w:cs="Arial" w:eastAsia="Arial" w:hAnsi="Arial"/>
                <w:sz w:val="18"/>
                <w:szCs w:val="18"/>
                <w:color w:val="auto"/>
              </w:rPr>
              <w:t>June 30, 2021</w:t>
            </w: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35,123,042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$ 5,525,260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57,394,514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21,598,498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$ 168,415,007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(2,207,608</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$ 285,848,713</w:t>
            </w:r>
          </w:p>
        </w:tc>
        <w:tc>
          <w:tcPr>
            <w:tcW w:w="100" w:type="dxa"/>
            <w:vAlign w:val="bottom"/>
          </w:tcPr>
          <w:p>
            <w:pPr>
              <w:spacing w:after="0"/>
              <w:rPr>
                <w:sz w:val="20"/>
                <w:szCs w:val="20"/>
                <w:color w:val="auto"/>
              </w:rPr>
            </w:pPr>
          </w:p>
        </w:tc>
      </w:tr>
      <w:tr>
        <w:trPr>
          <w:trHeight w:val="445"/>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1"/>
          </w:tcPr>
          <w:p>
            <w:pPr>
              <w:ind w:left="620"/>
              <w:spacing w:after="0"/>
              <w:rPr>
                <w:sz w:val="20"/>
                <w:szCs w:val="20"/>
                <w:color w:val="auto"/>
              </w:rPr>
            </w:pPr>
            <w:r>
              <w:rPr>
                <w:rFonts w:ascii="Arial" w:cs="Arial" w:eastAsia="Arial" w:hAnsi="Arial"/>
                <w:sz w:val="18"/>
                <w:szCs w:val="18"/>
                <w:b w:val="1"/>
                <w:bCs w:val="1"/>
                <w:color w:val="auto"/>
              </w:rPr>
              <w:t>Six Months Ended June 30, 2020</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1"/>
        </w:trPr>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4"/>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Class A</w:t>
            </w:r>
          </w:p>
        </w:tc>
        <w:tc>
          <w:tcPr>
            <w:tcW w:w="14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Class C</w:t>
            </w:r>
          </w:p>
        </w:tc>
        <w:tc>
          <w:tcPr>
            <w:tcW w:w="1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Paid-in</w:t>
            </w:r>
          </w:p>
        </w:tc>
        <w:tc>
          <w:tcPr>
            <w:tcW w:w="1400" w:type="dxa"/>
            <w:vAlign w:val="bottom"/>
            <w:gridSpan w:val="5"/>
          </w:tcPr>
          <w:p>
            <w:pPr>
              <w:ind w:left="140"/>
              <w:spacing w:after="0"/>
              <w:rPr>
                <w:sz w:val="20"/>
                <w:szCs w:val="20"/>
                <w:color w:val="auto"/>
              </w:rPr>
            </w:pPr>
            <w:r>
              <w:rPr>
                <w:rFonts w:ascii="Arial" w:cs="Arial" w:eastAsia="Arial" w:hAnsi="Arial"/>
                <w:sz w:val="18"/>
                <w:szCs w:val="18"/>
                <w:b w:val="1"/>
                <w:bCs w:val="1"/>
                <w:color w:val="auto"/>
                <w:w w:val="91"/>
              </w:rPr>
              <w:t>Comprehensive</w:t>
            </w:r>
          </w:p>
        </w:tc>
        <w:tc>
          <w:tcPr>
            <w:tcW w:w="60" w:type="dxa"/>
            <w:vAlign w:val="bottom"/>
          </w:tcPr>
          <w:p>
            <w:pPr>
              <w:spacing w:after="0"/>
              <w:rPr>
                <w:sz w:val="18"/>
                <w:szCs w:val="18"/>
                <w:color w:val="auto"/>
              </w:rPr>
            </w:pPr>
          </w:p>
        </w:tc>
        <w:tc>
          <w:tcPr>
            <w:tcW w:w="1260" w:type="dxa"/>
            <w:vAlign w:val="bottom"/>
            <w:gridSpan w:val="3"/>
          </w:tcPr>
          <w:p>
            <w:pPr>
              <w:ind w:left="220"/>
              <w:spacing w:after="0"/>
              <w:rPr>
                <w:sz w:val="20"/>
                <w:szCs w:val="20"/>
                <w:color w:val="auto"/>
              </w:rPr>
            </w:pPr>
            <w:r>
              <w:rPr>
                <w:rFonts w:ascii="Arial" w:cs="Arial" w:eastAsia="Arial" w:hAnsi="Arial"/>
                <w:sz w:val="18"/>
                <w:szCs w:val="18"/>
                <w:b w:val="1"/>
                <w:bCs w:val="1"/>
                <w:color w:val="auto"/>
              </w:rPr>
              <w:t>Retained</w:t>
            </w: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Income</w:t>
            </w:r>
          </w:p>
        </w:tc>
        <w:tc>
          <w:tcPr>
            <w:tcW w:w="60" w:type="dxa"/>
            <w:vAlign w:val="bottom"/>
          </w:tcPr>
          <w:p>
            <w:pPr>
              <w:spacing w:after="0"/>
              <w:rPr>
                <w:sz w:val="20"/>
                <w:szCs w:val="20"/>
                <w:color w:val="auto"/>
              </w:rPr>
            </w:pPr>
          </w:p>
        </w:tc>
        <w:tc>
          <w:tcPr>
            <w:tcW w:w="1260" w:type="dxa"/>
            <w:vAlign w:val="bottom"/>
            <w:gridSpan w:val="3"/>
          </w:tcPr>
          <w:p>
            <w:pPr>
              <w:ind w:left="200"/>
              <w:spacing w:after="0"/>
              <w:rPr>
                <w:sz w:val="20"/>
                <w:szCs w:val="20"/>
                <w:color w:val="auto"/>
              </w:rPr>
            </w:pPr>
            <w:r>
              <w:rPr>
                <w:rFonts w:ascii="Arial" w:cs="Arial" w:eastAsia="Arial" w:hAnsi="Arial"/>
                <w:sz w:val="18"/>
                <w:szCs w:val="18"/>
                <w:b w:val="1"/>
                <w:bCs w:val="1"/>
                <w:color w:val="auto"/>
              </w:rPr>
              <w:t>Earnings</w:t>
            </w: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January 1, 2020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$ 32,215,558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$ 5,001,774</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$ 46,091,112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13,726,514</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$ 101,256,229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(1,580,582)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$ 196,710,605</w:t>
            </w: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11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1,424,449</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1,424,449</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(8,852,313)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(8,852,313)</w:t>
            </w: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Stock-based compensation expense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65,877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65,877</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Exercise of stock options</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44,822</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(33,930)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10,892</w:t>
            </w: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treasury stock</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218,280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264,081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482,361</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(129,608)</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(129,608)</w:t>
            </w: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dividends</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(3,594)</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2840" w:type="dxa"/>
            <w:vAlign w:val="bottom"/>
          </w:tcPr>
          <w:p>
            <w:pPr>
              <w:ind w:left="100"/>
              <w:spacing w:after="0"/>
              <w:rPr>
                <w:sz w:val="20"/>
                <w:szCs w:val="20"/>
                <w:color w:val="auto"/>
              </w:rPr>
            </w:pPr>
            <w:r>
              <w:rPr>
                <w:rFonts w:ascii="Arial" w:cs="Arial" w:eastAsia="Arial" w:hAnsi="Arial"/>
                <w:sz w:val="18"/>
                <w:szCs w:val="18"/>
                <w:color w:val="auto"/>
              </w:rPr>
              <w:t>Conversion Class C to Class A</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22,324</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(22,324)</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2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March 31, 2020</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$ 32,285,026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$ 4,978,430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$ 46,343,631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4,874,201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$ 102,677,084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(1,446,109)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$ 189,712,263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11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20,557,047</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20,557,047</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12,019,888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12,019,888</w:t>
            </w: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Stock-based compensation expense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101,520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101,520</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Exercise of stock options</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22,726</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(22,726)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treasury stock</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319,676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664,546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984,222</w:t>
            </w: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(760,713)</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(760,713)</w:t>
            </w:r>
          </w:p>
        </w:tc>
      </w:tr>
      <w:tr>
        <w:trPr>
          <w:trHeight w:val="230"/>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dividends</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807,356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124,460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2,175,790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(3,107,607)</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2840" w:type="dxa"/>
            <w:vAlign w:val="bottom"/>
          </w:tcPr>
          <w:p>
            <w:pPr>
              <w:ind w:left="100"/>
              <w:spacing w:after="0"/>
              <w:rPr>
                <w:sz w:val="20"/>
                <w:szCs w:val="20"/>
                <w:color w:val="auto"/>
              </w:rPr>
            </w:pPr>
            <w:r>
              <w:rPr>
                <w:rFonts w:ascii="Arial" w:cs="Arial" w:eastAsia="Arial" w:hAnsi="Arial"/>
                <w:sz w:val="18"/>
                <w:szCs w:val="18"/>
                <w:color w:val="auto"/>
              </w:rPr>
              <w:t>June 30, 2020</w:t>
            </w: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$ 33,115,108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$ 5,102,890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48,917,891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16,894,089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$ 120,126,524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(1,542,276</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$ 222,614,226</w:t>
            </w:r>
          </w:p>
        </w:tc>
        <w:tc>
          <w:tcPr>
            <w:tcW w:w="100" w:type="dxa"/>
            <w:vAlign w:val="bottom"/>
          </w:tcPr>
          <w:p>
            <w:pPr>
              <w:spacing w:after="0"/>
              <w:rPr>
                <w:sz w:val="20"/>
                <w:szCs w:val="20"/>
                <w:color w:val="auto"/>
              </w:rPr>
            </w:pPr>
          </w:p>
        </w:tc>
      </w:tr>
      <w:tr>
        <w:trPr>
          <w:trHeight w:val="540"/>
        </w:trPr>
        <w:tc>
          <w:tcPr>
            <w:tcW w:w="2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6"/>
          </w:tcPr>
          <w:p>
            <w:pPr>
              <w:jc w:val="right"/>
              <w:ind w:right="901"/>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67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00" w:type="dxa"/>
            <w:vAlign w:val="bottom"/>
            <w:tcBorders>
              <w:bottom w:val="single" w:sz="8" w:color="CDFFCC"/>
            </w:tcBorders>
          </w:tcPr>
          <w:p>
            <w:pPr>
              <w:spacing w:after="0"/>
              <w:rPr>
                <w:sz w:val="19"/>
                <w:szCs w:val="19"/>
                <w:color w:val="auto"/>
              </w:rPr>
            </w:pPr>
          </w:p>
        </w:tc>
        <w:tc>
          <w:tcPr>
            <w:tcW w:w="1180" w:type="dxa"/>
            <w:vAlign w:val="bottom"/>
            <w:tcBorders>
              <w:bottom w:val="single" w:sz="8" w:color="CDFFCC"/>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DFFCC"/>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00" w:type="dxa"/>
            <w:vAlign w:val="bottom"/>
            <w:tcBorders>
              <w:bottom w:val="single" w:sz="8" w:color="CDFFCC"/>
            </w:tcBorders>
          </w:tcPr>
          <w:p>
            <w:pPr>
              <w:spacing w:after="0"/>
              <w:rPr>
                <w:sz w:val="19"/>
                <w:szCs w:val="19"/>
                <w:color w:val="auto"/>
              </w:rPr>
            </w:pPr>
          </w:p>
        </w:tc>
        <w:tc>
          <w:tcPr>
            <w:tcW w:w="1160" w:type="dxa"/>
            <w:vAlign w:val="bottom"/>
            <w:tcBorders>
              <w:bottom w:val="single" w:sz="8" w:color="CDFFCC"/>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DFFCC"/>
            </w:tcBorders>
          </w:tcPr>
          <w:p>
            <w:pPr>
              <w:spacing w:after="0"/>
              <w:rPr>
                <w:sz w:val="19"/>
                <w:szCs w:val="19"/>
                <w:color w:val="auto"/>
              </w:rPr>
            </w:pPr>
          </w:p>
        </w:tc>
      </w:tr>
      <w:tr>
        <w:trPr>
          <w:trHeight w:val="209"/>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740" w:type="dxa"/>
            <w:vAlign w:val="bottom"/>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124,476,144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(109,561,903)</w:t>
            </w:r>
          </w:p>
        </w:tc>
      </w:tr>
      <w:tr>
        <w:trPr>
          <w:trHeight w:val="210"/>
        </w:trPr>
        <w:tc>
          <w:tcPr>
            <w:tcW w:w="67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fixed maturity securities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(2,758,463)</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(49,243,362)</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Sales, calls and maturities of fixed maturity securities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34,388,575</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60,438,933</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equity securities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(635,843)</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(13,396,648)</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Sales of equity securities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2,885,620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7,841,952</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changes in restricted assets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514,085</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(1,476,279)</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Net changes in perpetual care trusts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140,092</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(120,904)</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Mortgage loans held for investment, other investments and policy loans made</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(399,597,382)</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(313,439,255)</w:t>
            </w:r>
          </w:p>
        </w:tc>
      </w:tr>
      <w:tr>
        <w:trPr>
          <w:trHeight w:val="202"/>
        </w:trPr>
        <w:tc>
          <w:tcPr>
            <w:tcW w:w="6740" w:type="dxa"/>
            <w:vAlign w:val="bottom"/>
          </w:tcPr>
          <w:p>
            <w:pPr>
              <w:ind w:left="100"/>
              <w:spacing w:after="0" w:line="201" w:lineRule="exact"/>
              <w:rPr>
                <w:sz w:val="20"/>
                <w:szCs w:val="20"/>
                <w:color w:val="auto"/>
              </w:rPr>
            </w:pPr>
            <w:r>
              <w:rPr>
                <w:rFonts w:ascii="Arial" w:cs="Arial" w:eastAsia="Arial" w:hAnsi="Arial"/>
                <w:sz w:val="18"/>
                <w:szCs w:val="18"/>
                <w:color w:val="auto"/>
              </w:rPr>
              <w:t>Payments received for mortgage loans held for investment, other investments and</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40" w:type="dxa"/>
            <w:vAlign w:val="bottom"/>
          </w:tcPr>
          <w:p>
            <w:pPr>
              <w:ind w:left="100"/>
              <w:spacing w:after="0"/>
              <w:rPr>
                <w:sz w:val="20"/>
                <w:szCs w:val="20"/>
                <w:color w:val="auto"/>
              </w:rPr>
            </w:pPr>
            <w:r>
              <w:rPr>
                <w:rFonts w:ascii="Arial" w:cs="Arial" w:eastAsia="Arial" w:hAnsi="Arial"/>
                <w:sz w:val="18"/>
                <w:szCs w:val="18"/>
                <w:color w:val="auto"/>
              </w:rPr>
              <w:t>policy loans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398,670,420</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291,577,885</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property and equipment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(3,342,889)</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(910,429)</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Purchases of real estate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(49,123,963)</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(12,217,051)</w:t>
            </w:r>
          </w:p>
        </w:tc>
      </w:tr>
      <w:tr>
        <w:trPr>
          <w:trHeight w:val="229"/>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of real estate</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10,022,114</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6,584,359</w:t>
            </w:r>
          </w:p>
        </w:tc>
      </w:tr>
      <w:tr>
        <w:trPr>
          <w:trHeight w:val="210"/>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(8,837,634</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(24,360,799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contract receipts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5,865,484</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5,180,530</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Investment contract withdrawals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(7,699,546)</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(8,606,537)</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stock options exercised</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202,952</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10,892</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Purchases of treasury stock</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(3,506,239)</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(890,321)</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Repayment of bank loans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(53,878,750)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(48,739,820)</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Proceeds from bank loans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72,702,425</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119,172,821</w:t>
            </w:r>
          </w:p>
        </w:tc>
      </w:tr>
      <w:tr>
        <w:trPr>
          <w:trHeight w:val="230"/>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change in warehouse line borrowings for loans held for sale</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(84,737,685)</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59,048,513</w:t>
            </w:r>
          </w:p>
        </w:tc>
      </w:tr>
      <w:tr>
        <w:trPr>
          <w:trHeight w:val="209"/>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4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(71,051,359</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125,176,078</w:t>
            </w:r>
          </w:p>
        </w:tc>
        <w:tc>
          <w:tcPr>
            <w:tcW w:w="100" w:type="dxa"/>
            <w:vAlign w:val="bottom"/>
            <w:tcBorders>
              <w:bottom w:val="single" w:sz="8" w:color="CCEEFF"/>
            </w:tcBorders>
          </w:tcPr>
          <w:p>
            <w:pPr>
              <w:spacing w:after="0"/>
              <w:rPr>
                <w:sz w:val="18"/>
                <w:szCs w:val="18"/>
                <w:color w:val="auto"/>
              </w:rPr>
            </w:pPr>
          </w:p>
        </w:tc>
      </w:tr>
      <w:tr>
        <w:trPr>
          <w:trHeight w:val="210"/>
        </w:trPr>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740" w:type="dxa"/>
            <w:vAlign w:val="bottom"/>
          </w:tcPr>
          <w:p>
            <w:pPr>
              <w:ind w:left="100"/>
              <w:spacing w:after="0"/>
              <w:rPr>
                <w:sz w:val="20"/>
                <w:szCs w:val="20"/>
                <w:color w:val="auto"/>
              </w:rPr>
            </w:pPr>
            <w:r>
              <w:rPr>
                <w:rFonts w:ascii="Arial" w:cs="Arial" w:eastAsia="Arial" w:hAnsi="Arial"/>
                <w:sz w:val="18"/>
                <w:szCs w:val="18"/>
                <w:color w:val="auto"/>
                <w:w w:val="97"/>
              </w:rPr>
              <w:t>Net change in cash, cash equivalents, restricted cash and restricted cash equivalents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44,587,151</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(8,746,624)</w:t>
            </w:r>
          </w:p>
        </w:tc>
      </w:tr>
      <w:tr>
        <w:trPr>
          <w:trHeight w:val="210"/>
        </w:trPr>
        <w:tc>
          <w:tcPr>
            <w:tcW w:w="67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6740" w:type="dxa"/>
            <w:vAlign w:val="bottom"/>
          </w:tcPr>
          <w:p>
            <w:pPr>
              <w:ind w:left="100"/>
              <w:spacing w:after="0" w:line="201" w:lineRule="exact"/>
              <w:rPr>
                <w:sz w:val="20"/>
                <w:szCs w:val="20"/>
                <w:color w:val="auto"/>
              </w:rPr>
            </w:pPr>
            <w:r>
              <w:rPr>
                <w:rFonts w:ascii="Arial" w:cs="Arial" w:eastAsia="Arial" w:hAnsi="Arial"/>
                <w:sz w:val="18"/>
                <w:szCs w:val="18"/>
                <w:color w:val="auto"/>
                <w:w w:val="96"/>
              </w:rPr>
              <w:t>Cash, cash equivalents, restricted cash and restricted cash equivalents at beginning of</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6740" w:type="dxa"/>
            <w:vAlign w:val="bottom"/>
          </w:tcPr>
          <w:p>
            <w:pPr>
              <w:ind w:left="100"/>
              <w:spacing w:after="0"/>
              <w:rPr>
                <w:sz w:val="20"/>
                <w:szCs w:val="20"/>
                <w:color w:val="auto"/>
              </w:rPr>
            </w:pPr>
            <w:r>
              <w:rPr>
                <w:rFonts w:ascii="Arial" w:cs="Arial" w:eastAsia="Arial" w:hAnsi="Arial"/>
                <w:sz w:val="18"/>
                <w:szCs w:val="18"/>
                <w:color w:val="auto"/>
              </w:rPr>
              <w:t>period</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115,465,086</w:t>
            </w: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137,735,673</w:t>
            </w:r>
          </w:p>
        </w:tc>
      </w:tr>
      <w:tr>
        <w:trPr>
          <w:trHeight w:val="210"/>
        </w:trPr>
        <w:tc>
          <w:tcPr>
            <w:tcW w:w="67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6740" w:type="dxa"/>
            <w:vAlign w:val="bottom"/>
          </w:tcPr>
          <w:p>
            <w:pPr>
              <w:ind w:left="100"/>
              <w:spacing w:after="0"/>
              <w:rPr>
                <w:sz w:val="20"/>
                <w:szCs w:val="20"/>
                <w:color w:val="auto"/>
              </w:rPr>
            </w:pPr>
            <w:r>
              <w:rPr>
                <w:rFonts w:ascii="Arial" w:cs="Arial" w:eastAsia="Arial" w:hAnsi="Arial"/>
                <w:sz w:val="18"/>
                <w:szCs w:val="18"/>
                <w:color w:val="auto"/>
                <w:w w:val="95"/>
              </w:rPr>
              <w:t>Cash, cash equivalents, restricted cash and restricted cash equivalents at end of period</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160,052,237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128,989,049</w:t>
            </w:r>
          </w:p>
        </w:tc>
      </w:tr>
      <w:tr>
        <w:trPr>
          <w:trHeight w:val="216"/>
        </w:trPr>
        <w:tc>
          <w:tcPr>
            <w:tcW w:w="67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Supplemental Disclosure of Cash Flow Information:</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during the year for:</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Interest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3,759,561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3,732,031</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(net of refunds)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2,573,137</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409,223</w:t>
            </w:r>
          </w:p>
        </w:tc>
      </w:tr>
      <w:tr>
        <w:trPr>
          <w:trHeight w:val="216"/>
        </w:trPr>
        <w:tc>
          <w:tcPr>
            <w:tcW w:w="6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 Cash Operating, Investing and Financing Activities: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Accrued real estate construction costs and retainage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5,776,672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687,314</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 plans funded with treasury stock</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3,384,236</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1,466,583</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1,974,832</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4,641,238</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Mortgage loans held for investment foreclosed into real estate held for investment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730,116</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686,124</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Transfer of loans held for sale to mortgage loans held for investment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201,951</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8,933,676</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assets obtained in exchange for finance lease liabilities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8,494</w:t>
            </w:r>
          </w:p>
        </w:tc>
      </w:tr>
      <w:tr>
        <w:trPr>
          <w:trHeight w:val="540"/>
        </w:trPr>
        <w:tc>
          <w:tcPr>
            <w:tcW w:w="674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Reconciliation of cash, cash equivalents, restricted cash and restricted cash equivalents as shown in the condensed consolidated statements of cash flows is presented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r>
      <w:tr>
        <w:trPr>
          <w:trHeight w:val="210"/>
        </w:trPr>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149,209,290</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116,961,182</w:t>
            </w:r>
          </w:p>
        </w:tc>
      </w:tr>
      <w:tr>
        <w:trPr>
          <w:trHeight w:val="216"/>
        </w:trPr>
        <w:tc>
          <w:tcPr>
            <w:tcW w:w="7200" w:type="dxa"/>
            <w:vAlign w:val="bottom"/>
          </w:tcPr>
          <w:p>
            <w:pPr>
              <w:ind w:left="100"/>
              <w:spacing w:after="0"/>
              <w:rPr>
                <w:sz w:val="20"/>
                <w:szCs w:val="20"/>
                <w:color w:val="auto"/>
              </w:rPr>
            </w:pPr>
            <w:r>
              <w:rPr>
                <w:rFonts w:ascii="Arial" w:cs="Arial" w:eastAsia="Arial" w:hAnsi="Arial"/>
                <w:sz w:val="18"/>
                <w:szCs w:val="18"/>
                <w:color w:val="auto"/>
              </w:rPr>
              <w:t>Restricted assets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10,194,202</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9,992,953</w:t>
            </w:r>
          </w:p>
        </w:tc>
      </w:tr>
      <w:tr>
        <w:trPr>
          <w:trHeight w:val="216"/>
        </w:trPr>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Cemetery perpetual care trust investments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648,745</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2,034,914</w:t>
            </w:r>
          </w:p>
        </w:tc>
      </w:tr>
      <w:tr>
        <w:trPr>
          <w:trHeight w:val="229"/>
        </w:trPr>
        <w:tc>
          <w:tcPr>
            <w:tcW w:w="7200" w:type="dxa"/>
            <w:vAlign w:val="bottom"/>
            <w:tcBorders>
              <w:bottom w:val="single" w:sz="8" w:color="CCEEFF"/>
            </w:tcBorders>
          </w:tcPr>
          <w:p>
            <w:pPr>
              <w:spacing w:after="0"/>
              <w:rPr>
                <w:sz w:val="19"/>
                <w:szCs w:val="19"/>
                <w:color w:val="auto"/>
              </w:rPr>
            </w:pPr>
          </w:p>
        </w:tc>
        <w:tc>
          <w:tcPr>
            <w:tcW w:w="340" w:type="dxa"/>
            <w:vAlign w:val="bottom"/>
            <w:tcBorders>
              <w:bottom w:val="single" w:sz="8" w:color="CDFFCC"/>
            </w:tcBorders>
          </w:tcPr>
          <w:p>
            <w:pPr>
              <w:spacing w:after="0"/>
              <w:rPr>
                <w:sz w:val="19"/>
                <w:szCs w:val="19"/>
                <w:color w:val="auto"/>
              </w:rPr>
            </w:pPr>
          </w:p>
        </w:tc>
        <w:tc>
          <w:tcPr>
            <w:tcW w:w="1140" w:type="dxa"/>
            <w:vAlign w:val="bottom"/>
            <w:tcBorders>
              <w:bottom w:val="single" w:sz="8" w:color="CDFFCC"/>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20" w:type="dxa"/>
            <w:vAlign w:val="bottom"/>
            <w:tcBorders>
              <w:bottom w:val="single" w:sz="8" w:color="CDFFCC"/>
            </w:tcBorders>
          </w:tcPr>
          <w:p>
            <w:pPr>
              <w:spacing w:after="0"/>
              <w:rPr>
                <w:sz w:val="19"/>
                <w:szCs w:val="19"/>
                <w:color w:val="auto"/>
              </w:rPr>
            </w:pPr>
          </w:p>
        </w:tc>
        <w:tc>
          <w:tcPr>
            <w:tcW w:w="1140" w:type="dxa"/>
            <w:vAlign w:val="bottom"/>
            <w:tcBorders>
              <w:bottom w:val="single" w:sz="8" w:color="CDFFCC"/>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30"/>
        </w:trPr>
        <w:tc>
          <w:tcPr>
            <w:tcW w:w="7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cash, cash equivalents, restricted cash and restricted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160,052,237</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128,989,049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2021 (Unaudited)</w:t>
      </w:r>
    </w:p>
    <w:p>
      <w:pPr>
        <w:spacing w:after="0" w:line="18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2020, included in the Company’s Annual Report on Form 10-K (File Number 000-09341). In the opinion of management, all adjustments (consisting of normal recurring accruals) considered necessary for a fair presentation have been included. Operating results for the three and six months ended June 30, 2021 are not necessarily indicative of the results that may be expected for the year ending December 31, 2021.</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benefits;those used in estimating other than temporary impairments on available for sale securities; those used in determining the value of mortgage servicing rights;those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COVID-19</w:t>
      </w:r>
      <w:r>
        <w:rPr>
          <w:rFonts w:ascii="Arial" w:cs="Arial" w:eastAsia="Arial" w:hAnsi="Arial"/>
          <w:sz w:val="17"/>
          <w:szCs w:val="17"/>
          <w:color w:val="auto"/>
        </w:rPr>
        <w:t>. During 2020, the outbreak of COVID-19 had spread worldwide and was declared a global pandemic by the World Health Organization on March 11, 2020. COVID-19 poses a threat to the health and economic well-being of the Company’s employees, customers, and vendors. The Company is closely monitoring developments relating to the COVID-19 pandemic and assessing its impact on the Company’s business. The continued uncertainty surrounding the COVID-19 pandemic has had and continues to have a major impact on the global economy and financial markets. Governments and businesses have taken numerous measures to try to contain the virus, which include the implementation of travel bans, self-imposed quarantine periods, and social distancing. These measures have disrupted and will continue to disrupt businesses globally. Governments and central banks have reacted with significant monetary and fiscal interventions designed to stabilize the economic conditions.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Like most businesses, COVID-19 has impacted the Company. However, the Company cannot, with any certainty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risks described in this Management’s Discussion and Analysis of Financial Condition and Results of Operations. These uncertainties have the potential to negatively affect the risk of credit default for the issuers of the Company’s fixed maturity debt securities and individual borrowers with mortgage loans held by the Company.</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implemented risk management, business continuity plans and has taken preventive measures and other precautions, such as business travel restrictions and remote work arrangements. Such measures and precautions have enabled the Company to continue to conduct business.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2020</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ASU No. 2018-13: “Fair Value Measurement (Topic 820): Disclosure Framework-Changes to the Disclosure Requirements for Fair Value Measurement”</w:t>
      </w:r>
      <w:r>
        <w:rPr>
          <w:rFonts w:ascii="Arial" w:cs="Arial" w:eastAsia="Arial" w:hAnsi="Arial"/>
          <w:sz w:val="16"/>
          <w:szCs w:val="16"/>
          <w:color w:val="auto"/>
        </w:rPr>
        <w:t xml:space="preserve"> – Issued in August 2018, ASU 2018-13 modifies the disclosure requirements of Topic 820 by removing, modifying or adding certain disclosures.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2018-13 does not change the fair value measurements already required or permitted by existing standards. The Company adopted this standard on January 1, 2020. The adoption of this standard did not materially impact the Company’s financial statements. See Note 8 for the Company’s fair value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ASU No. 2016-13: “Financial Instruments – Credit Losses (Topic 326)”</w:t>
      </w:r>
      <w:r>
        <w:rPr>
          <w:rFonts w:ascii="Arial" w:cs="Arial" w:eastAsia="Arial" w:hAnsi="Arial"/>
          <w:sz w:val="16"/>
          <w:szCs w:val="16"/>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In October 2019, the FASB proposed an update to ASU No. 2016-13 that would make the ASU effective for the Company on January 1, 2023. The Company is in the process of evaluating the potential impact of this standard, especially as it relates to mortgage loans held for investment.</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ASU No. 2018-12: “Financial Services – Insurance (Topic 944): Targeted Improvements to the Accounting for Long-Duration Contracts”</w:t>
      </w:r>
      <w:r>
        <w:rPr>
          <w:rFonts w:ascii="Arial" w:cs="Arial" w:eastAsia="Arial" w:hAnsi="Arial"/>
          <w:sz w:val="16"/>
          <w:szCs w:val="16"/>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simplify and improve the accounting for certain market-based options or guarantees associated with deposit or account balance contracts, simplify amortization of deferred acquisition costs while improving and expanding required disclosures. In November 2020, the FASB issued an update to ASU No. 2018-12 that made the ASU effective for the Company on January 1, 2025. The Company is in the process of evaluating the potential impact of this standard.</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reviewed other recent accounting pronouncements and has determined that they will not significantly impact the Company’s results of operations or financial position.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line="19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as of June 30, 2021 are summarized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rPr>
              <w:t>Gross Unrealized</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89"/>
              </w:rPr>
              <w:t>Gross Unrealized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Estimated Fair</w:t>
            </w:r>
          </w:p>
        </w:tc>
      </w:tr>
      <w:tr>
        <w:trPr>
          <w:trHeight w:val="234"/>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6"/>
              </w:rPr>
              <w:t>Amortized Cost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ind w:left="200"/>
              <w:spacing w:after="0"/>
              <w:rPr>
                <w:sz w:val="20"/>
                <w:szCs w:val="20"/>
                <w:color w:val="auto"/>
              </w:rPr>
            </w:pPr>
            <w:r>
              <w:rPr>
                <w:rFonts w:ascii="Arial" w:cs="Arial" w:eastAsia="Arial" w:hAnsi="Arial"/>
                <w:sz w:val="18"/>
                <w:szCs w:val="18"/>
                <w:b w:val="1"/>
                <w:bCs w:val="1"/>
                <w:color w:val="auto"/>
              </w:rPr>
              <w:t>Gains</w:t>
            </w:r>
          </w:p>
        </w:tc>
        <w:tc>
          <w:tcPr>
            <w:tcW w:w="260" w:type="dxa"/>
            <w:vAlign w:val="bottom"/>
          </w:tcPr>
          <w:p>
            <w:pPr>
              <w:spacing w:after="0"/>
              <w:rPr>
                <w:sz w:val="20"/>
                <w:szCs w:val="20"/>
                <w:color w:val="auto"/>
              </w:rPr>
            </w:pPr>
          </w:p>
        </w:tc>
        <w:tc>
          <w:tcPr>
            <w:tcW w:w="108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Losses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Value</w:t>
            </w:r>
          </w:p>
        </w:tc>
      </w:tr>
      <w:tr>
        <w:trPr>
          <w:trHeight w:val="189"/>
        </w:trPr>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7"/>
              </w:rPr>
              <w:t>June 30, 2021:</w:t>
            </w:r>
          </w:p>
        </w:tc>
        <w:tc>
          <w:tcPr>
            <w:tcW w:w="36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02"/>
        </w:trPr>
        <w:tc>
          <w:tcPr>
            <w:tcW w:w="484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8"/>
              </w:rPr>
              <w:t>Fixed maturity securities, available for sale, at estimated fair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40" w:type="dxa"/>
            <w:vAlign w:val="bottom"/>
            <w:gridSpan w:val="3"/>
          </w:tcPr>
          <w:p>
            <w:pPr>
              <w:ind w:left="10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0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Government agencies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22,260,808</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907,733</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23,168,541</w:t>
            </w: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5,158,473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242,668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5,396,372</w:t>
            </w: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securities including public utilities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177,621,795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25,368,792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(243,492)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202,747,095</w:t>
            </w: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28,259,360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1,239,004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29,362,842</w:t>
            </w: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Redeemable preferred stock</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269,214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282,826</w:t>
            </w:r>
          </w:p>
        </w:tc>
      </w:tr>
      <w:tr>
        <w:trPr>
          <w:trHeight w:val="209"/>
        </w:trPr>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CDFFCC"/>
            </w:tcBorders>
          </w:tcPr>
          <w:p>
            <w:pPr>
              <w:spacing w:after="0"/>
              <w:rPr>
                <w:sz w:val="18"/>
                <w:szCs w:val="18"/>
                <w:color w:val="auto"/>
              </w:rPr>
            </w:pPr>
          </w:p>
        </w:tc>
        <w:tc>
          <w:tcPr>
            <w:tcW w:w="1040" w:type="dxa"/>
            <w:vAlign w:val="bottom"/>
            <w:tcBorders>
              <w:top w:val="single" w:sz="8" w:color="auto"/>
              <w:bottom w:val="single" w:sz="8" w:color="CDFFCC"/>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CDFFCC"/>
            </w:tcBorders>
          </w:tcPr>
          <w:p>
            <w:pPr>
              <w:spacing w:after="0"/>
              <w:rPr>
                <w:sz w:val="18"/>
                <w:szCs w:val="18"/>
                <w:color w:val="auto"/>
              </w:rPr>
            </w:pPr>
          </w:p>
        </w:tc>
        <w:tc>
          <w:tcPr>
            <w:tcW w:w="1000" w:type="dxa"/>
            <w:vAlign w:val="bottom"/>
            <w:tcBorders>
              <w:top w:val="single" w:sz="8" w:color="auto"/>
              <w:bottom w:val="single" w:sz="8" w:color="CDFFCC"/>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CDFFCC"/>
            </w:tcBorders>
          </w:tcPr>
          <w:p>
            <w:pPr>
              <w:spacing w:after="0"/>
              <w:rPr>
                <w:sz w:val="18"/>
                <w:szCs w:val="18"/>
                <w:color w:val="auto"/>
              </w:rPr>
            </w:pPr>
          </w:p>
        </w:tc>
        <w:tc>
          <w:tcPr>
            <w:tcW w:w="980" w:type="dxa"/>
            <w:vAlign w:val="bottom"/>
            <w:tcBorders>
              <w:top w:val="single" w:sz="8" w:color="auto"/>
              <w:bottom w:val="single" w:sz="8" w:color="CDFFCC"/>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DFFCC"/>
            </w:tcBorders>
          </w:tcPr>
          <w:p>
            <w:pPr>
              <w:spacing w:after="0"/>
              <w:rPr>
                <w:sz w:val="18"/>
                <w:szCs w:val="18"/>
                <w:color w:val="auto"/>
              </w:rPr>
            </w:pPr>
          </w:p>
        </w:tc>
        <w:tc>
          <w:tcPr>
            <w:tcW w:w="1140" w:type="dxa"/>
            <w:vAlign w:val="bottom"/>
            <w:tcBorders>
              <w:top w:val="single" w:sz="8" w:color="auto"/>
              <w:bottom w:val="single" w:sz="8" w:color="CDFFCC"/>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30"/>
        </w:trPr>
        <w:tc>
          <w:tcPr>
            <w:tcW w:w="10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fixed maturity securities available for sale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233,569,650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27,771,809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(383,783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260,957,676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Equity securities at estimated fair value: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Industrial, miscellaneous and all other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7,810,399</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2,797,881</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(285,824)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10,322,456</w:t>
            </w:r>
          </w:p>
        </w:tc>
      </w:tr>
      <w:tr>
        <w:trPr>
          <w:trHeight w:val="210"/>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0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equity securities at estimated fair value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7,810,399</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2,797,881</w:t>
            </w: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(285,824)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10,322,456</w:t>
            </w:r>
          </w:p>
        </w:tc>
      </w:tr>
      <w:tr>
        <w:trPr>
          <w:trHeight w:val="216"/>
        </w:trPr>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Mortgage loans held for investment at amortized cost: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Residential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83,195,347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Residential construction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135,728,280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47,440,235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Less: Unamortized deferred loan fees,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(1,725,718)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(1,900,935)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0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Less: Net discounts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(577,202)</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Total mortgage loans held for investment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262,160,007</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48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Real estate held for investment - net of accumulated</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Residential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50,268,513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0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128,169,133</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Total real estate held for investment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178,437,646</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Real estate held for sale: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Residential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1,330,611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4,890,553</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Total real estate held for sale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6,221,164</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 investments and policy loans at amortized cost: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Policy loans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13,734,049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Insurance assignments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42,029,299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Federal Home Loan Bank stock (1)</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2,545,000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5,256,014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00" w:type="dxa"/>
            <w:vAlign w:val="bottom"/>
          </w:tcPr>
          <w:p>
            <w:pPr>
              <w:spacing w:after="0"/>
              <w:rPr>
                <w:sz w:val="19"/>
                <w:szCs w:val="19"/>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Less: Allowance for doubtful accounts</w:t>
            </w: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(1,676,618)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DFFCC"/>
            </w:tcBorders>
            <w:shd w:val="clear" w:color="auto" w:fill="CCEEFF"/>
          </w:tcPr>
          <w:p>
            <w:pPr>
              <w:spacing w:after="0"/>
              <w:rPr>
                <w:sz w:val="18"/>
                <w:szCs w:val="18"/>
                <w:color w:val="auto"/>
              </w:rPr>
            </w:pPr>
          </w:p>
        </w:tc>
        <w:tc>
          <w:tcPr>
            <w:tcW w:w="1000" w:type="dxa"/>
            <w:vAlign w:val="bottom"/>
            <w:tcBorders>
              <w:top w:val="single" w:sz="8" w:color="CDFFCC"/>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DFFCC"/>
            </w:tcBorders>
            <w:shd w:val="clear" w:color="auto" w:fill="CCEEFF"/>
          </w:tcPr>
          <w:p>
            <w:pPr>
              <w:spacing w:after="0"/>
              <w:rPr>
                <w:sz w:val="18"/>
                <w:szCs w:val="18"/>
                <w:color w:val="auto"/>
              </w:rPr>
            </w:pPr>
          </w:p>
        </w:tc>
        <w:tc>
          <w:tcPr>
            <w:tcW w:w="980" w:type="dxa"/>
            <w:vAlign w:val="bottom"/>
            <w:tcBorders>
              <w:top w:val="single" w:sz="8" w:color="CDFFCC"/>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DFFCC"/>
            </w:tcBorders>
            <w:shd w:val="clear" w:color="auto" w:fill="CCEEFF"/>
          </w:tcPr>
          <w:p>
            <w:pPr>
              <w:spacing w:after="0"/>
              <w:rPr>
                <w:sz w:val="18"/>
                <w:szCs w:val="18"/>
                <w:color w:val="auto"/>
              </w:rPr>
            </w:pPr>
          </w:p>
        </w:tc>
        <w:tc>
          <w:tcPr>
            <w:tcW w:w="1140" w:type="dxa"/>
            <w:vAlign w:val="bottom"/>
            <w:tcBorders>
              <w:top w:val="single" w:sz="8" w:color="CDFFCC"/>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4840" w:type="dxa"/>
            <w:vAlign w:val="bottom"/>
            <w:gridSpan w:val="3"/>
          </w:tcPr>
          <w:p>
            <w:pPr>
              <w:ind w:left="100"/>
              <w:spacing w:after="0"/>
              <w:rPr>
                <w:sz w:val="20"/>
                <w:szCs w:val="20"/>
                <w:color w:val="auto"/>
              </w:rPr>
            </w:pPr>
            <w:r>
              <w:rPr>
                <w:rFonts w:ascii="Arial" w:cs="Arial" w:eastAsia="Arial" w:hAnsi="Arial"/>
                <w:sz w:val="18"/>
                <w:szCs w:val="18"/>
                <w:color w:val="auto"/>
              </w:rPr>
              <w:t>Total policy loans and other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61,887,744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4840" w:type="dxa"/>
            <w:vAlign w:val="bottom"/>
            <w:gridSpan w:val="3"/>
          </w:tcPr>
          <w:p>
            <w:pPr>
              <w:ind w:left="100"/>
              <w:spacing w:after="0"/>
              <w:rPr>
                <w:sz w:val="20"/>
                <w:szCs w:val="20"/>
                <w:color w:val="auto"/>
              </w:rPr>
            </w:pPr>
            <w:r>
              <w:rPr>
                <w:rFonts w:ascii="Arial" w:cs="Arial" w:eastAsia="Arial" w:hAnsi="Arial"/>
                <w:sz w:val="18"/>
                <w:szCs w:val="18"/>
                <w:color w:val="auto"/>
              </w:rPr>
              <w:t>Accrued investment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5,484,182</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4840" w:type="dxa"/>
            <w:vAlign w:val="bottom"/>
            <w:gridSpan w:val="3"/>
          </w:tcPr>
          <w:p>
            <w:pPr>
              <w:ind w:left="10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785,470,875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bl>
    <w:p>
      <w:pPr>
        <w:spacing w:after="0" w:line="202" w:lineRule="exact"/>
        <w:rPr>
          <w:sz w:val="20"/>
          <w:szCs w:val="20"/>
          <w:color w:val="auto"/>
        </w:rPr>
      </w:pPr>
    </w:p>
    <w:p>
      <w:pPr>
        <w:ind w:left="5540" w:right="3380" w:hanging="5532"/>
        <w:spacing w:after="0" w:line="821" w:lineRule="auto"/>
        <w:tabs>
          <w:tab w:leader="none" w:pos="34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$905,700 of Membership stock and $1,639,000 of Activity stock due to short-term borrowings.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7037" w:orient="portrait"/>
          <w:cols w:equalWidth="0" w:num="1">
            <w:col w:w="11240"/>
          </w:cols>
          <w:pgMar w:left="320" w:top="341" w:right="339" w:bottom="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Company’s investments as of December 31, 2020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rPr>
              <w:t>Gross Unrealized</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89"/>
              </w:rPr>
              <w:t>Gross Unrealized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Estimated Fair</w:t>
            </w:r>
          </w:p>
        </w:tc>
      </w:tr>
      <w:tr>
        <w:trPr>
          <w:trHeight w:val="234"/>
        </w:trPr>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6"/>
              </w:rPr>
              <w:t>Amortized Cost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ind w:left="200"/>
              <w:spacing w:after="0"/>
              <w:rPr>
                <w:sz w:val="20"/>
                <w:szCs w:val="20"/>
                <w:color w:val="auto"/>
              </w:rPr>
            </w:pPr>
            <w:r>
              <w:rPr>
                <w:rFonts w:ascii="Arial" w:cs="Arial" w:eastAsia="Arial" w:hAnsi="Arial"/>
                <w:sz w:val="18"/>
                <w:szCs w:val="18"/>
                <w:b w:val="1"/>
                <w:bCs w:val="1"/>
                <w:color w:val="auto"/>
              </w:rPr>
              <w:t>Gains</w:t>
            </w:r>
          </w:p>
        </w:tc>
        <w:tc>
          <w:tcPr>
            <w:tcW w:w="260" w:type="dxa"/>
            <w:vAlign w:val="bottom"/>
          </w:tcPr>
          <w:p>
            <w:pPr>
              <w:spacing w:after="0"/>
              <w:rPr>
                <w:sz w:val="20"/>
                <w:szCs w:val="20"/>
                <w:color w:val="auto"/>
              </w:rPr>
            </w:pPr>
          </w:p>
        </w:tc>
        <w:tc>
          <w:tcPr>
            <w:tcW w:w="108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Losses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Value</w:t>
            </w:r>
          </w:p>
        </w:tc>
      </w:tr>
      <w:tr>
        <w:trPr>
          <w:trHeight w:val="169"/>
        </w:trPr>
        <w:tc>
          <w:tcPr>
            <w:tcW w:w="100" w:type="dxa"/>
            <w:vAlign w:val="bottom"/>
            <w:tcBorders>
              <w:top w:val="single" w:sz="8" w:color="CCEEFF"/>
            </w:tcBorders>
            <w:shd w:val="clear" w:color="auto" w:fill="CCEEFF"/>
          </w:tcPr>
          <w:p>
            <w:pPr>
              <w:spacing w:after="0"/>
              <w:rPr>
                <w:sz w:val="14"/>
                <w:szCs w:val="14"/>
                <w:color w:val="auto"/>
              </w:rPr>
            </w:pPr>
          </w:p>
        </w:tc>
        <w:tc>
          <w:tcPr>
            <w:tcW w:w="47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December 31, 2020:</w:t>
            </w: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r>
      <w:tr>
        <w:trPr>
          <w:trHeight w:val="21"/>
        </w:trPr>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10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w w:val="98"/>
              </w:rPr>
              <w:t>Fixed maturity securities, available for sale, at estimated fair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40" w:type="dxa"/>
            <w:vAlign w:val="bottom"/>
            <w:gridSpan w:val="3"/>
          </w:tcPr>
          <w:p>
            <w:pPr>
              <w:ind w:left="10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0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Government agencies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42,381,805</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1,358,562</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43,740,367</w:t>
            </w:r>
          </w:p>
        </w:tc>
      </w:tr>
      <w:tr>
        <w:trPr>
          <w:trHeight w:val="216"/>
        </w:trPr>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5,383,762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5,694,715</w:t>
            </w:r>
          </w:p>
        </w:tc>
      </w:tr>
      <w:tr>
        <w:trPr>
          <w:trHeight w:val="216"/>
        </w:trPr>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securities including public utilities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186,067,912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27,216,496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(681,478)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212,602,930</w:t>
            </w:r>
          </w:p>
        </w:tc>
      </w:tr>
      <w:tr>
        <w:trPr>
          <w:trHeight w:val="216"/>
        </w:trPr>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31,047,791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1,565,377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(267,106)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32,346,062</w:t>
            </w:r>
          </w:p>
        </w:tc>
      </w:tr>
      <w:tr>
        <w:trPr>
          <w:trHeight w:val="216"/>
        </w:trPr>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Redeemable preferred stock</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269,214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272,605</w:t>
            </w:r>
          </w:p>
        </w:tc>
      </w:tr>
      <w:tr>
        <w:trPr>
          <w:trHeight w:val="209"/>
        </w:trPr>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CDFFCC"/>
            </w:tcBorders>
          </w:tcPr>
          <w:p>
            <w:pPr>
              <w:spacing w:after="0"/>
              <w:rPr>
                <w:sz w:val="18"/>
                <w:szCs w:val="18"/>
                <w:color w:val="auto"/>
              </w:rPr>
            </w:pPr>
          </w:p>
        </w:tc>
        <w:tc>
          <w:tcPr>
            <w:tcW w:w="1040" w:type="dxa"/>
            <w:vAlign w:val="bottom"/>
            <w:tcBorders>
              <w:top w:val="single" w:sz="8" w:color="auto"/>
              <w:bottom w:val="single" w:sz="8" w:color="CDFFCC"/>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CDFFCC"/>
            </w:tcBorders>
          </w:tcPr>
          <w:p>
            <w:pPr>
              <w:spacing w:after="0"/>
              <w:rPr>
                <w:sz w:val="18"/>
                <w:szCs w:val="18"/>
                <w:color w:val="auto"/>
              </w:rPr>
            </w:pPr>
          </w:p>
        </w:tc>
        <w:tc>
          <w:tcPr>
            <w:tcW w:w="1000" w:type="dxa"/>
            <w:vAlign w:val="bottom"/>
            <w:tcBorders>
              <w:top w:val="single" w:sz="8" w:color="auto"/>
              <w:bottom w:val="single" w:sz="8" w:color="CDFFCC"/>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CDFFCC"/>
            </w:tcBorders>
          </w:tcPr>
          <w:p>
            <w:pPr>
              <w:spacing w:after="0"/>
              <w:rPr>
                <w:sz w:val="18"/>
                <w:szCs w:val="18"/>
                <w:color w:val="auto"/>
              </w:rPr>
            </w:pPr>
          </w:p>
        </w:tc>
        <w:tc>
          <w:tcPr>
            <w:tcW w:w="980" w:type="dxa"/>
            <w:vAlign w:val="bottom"/>
            <w:tcBorders>
              <w:top w:val="single" w:sz="8" w:color="auto"/>
              <w:bottom w:val="single" w:sz="8" w:color="CDFFCC"/>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DFFCC"/>
            </w:tcBorders>
          </w:tcPr>
          <w:p>
            <w:pPr>
              <w:spacing w:after="0"/>
              <w:rPr>
                <w:sz w:val="18"/>
                <w:szCs w:val="18"/>
                <w:color w:val="auto"/>
              </w:rPr>
            </w:pPr>
          </w:p>
        </w:tc>
        <w:tc>
          <w:tcPr>
            <w:tcW w:w="1140" w:type="dxa"/>
            <w:vAlign w:val="bottom"/>
            <w:tcBorders>
              <w:top w:val="single" w:sz="8" w:color="auto"/>
              <w:bottom w:val="single" w:sz="8" w:color="CDFFCC"/>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30"/>
        </w:trPr>
        <w:tc>
          <w:tcPr>
            <w:tcW w:w="10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fixed maturity securities available for sale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265,150,484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30,456,040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(949,845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294,656,679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Equity securities at estimated fair value: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Industrial, miscellaneous and all other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9,698,490</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2,376,156</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(750,407)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11,324,239</w:t>
            </w:r>
          </w:p>
        </w:tc>
      </w:tr>
      <w:tr>
        <w:trPr>
          <w:trHeight w:val="210"/>
        </w:trPr>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0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equity securities at estimated fair value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9,698,490</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2,376,156</w:t>
            </w: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(750,407)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11,324,239</w:t>
            </w:r>
          </w:p>
        </w:tc>
      </w:tr>
      <w:tr>
        <w:trPr>
          <w:trHeight w:val="216"/>
        </w:trPr>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Mortgage loans held for investment at amortized cost: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Residential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95,822,448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Residential construction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111,111,777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46,836,866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Less: Unamortized deferred loan fees,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(1,161,132)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(2,005,127)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Less: Net discounts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(1,260,896)</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CDFFCC"/>
            </w:tcBorders>
          </w:tcPr>
          <w:p>
            <w:pPr>
              <w:spacing w:after="0"/>
              <w:rPr>
                <w:sz w:val="18"/>
                <w:szCs w:val="18"/>
                <w:color w:val="auto"/>
              </w:rPr>
            </w:pPr>
          </w:p>
        </w:tc>
        <w:tc>
          <w:tcPr>
            <w:tcW w:w="1000" w:type="dxa"/>
            <w:vAlign w:val="bottom"/>
            <w:tcBorders>
              <w:top w:val="single" w:sz="8" w:color="CDFFCC"/>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CDFFCC"/>
            </w:tcBorders>
          </w:tcPr>
          <w:p>
            <w:pPr>
              <w:spacing w:after="0"/>
              <w:rPr>
                <w:sz w:val="18"/>
                <w:szCs w:val="18"/>
                <w:color w:val="auto"/>
              </w:rPr>
            </w:pPr>
          </w:p>
        </w:tc>
        <w:tc>
          <w:tcPr>
            <w:tcW w:w="980" w:type="dxa"/>
            <w:vAlign w:val="bottom"/>
            <w:tcBorders>
              <w:top w:val="single" w:sz="8" w:color="CDFFCC"/>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CDFFCC"/>
            </w:tcBorders>
          </w:tcPr>
          <w:p>
            <w:pPr>
              <w:spacing w:after="0"/>
              <w:rPr>
                <w:sz w:val="18"/>
                <w:szCs w:val="18"/>
                <w:color w:val="auto"/>
              </w:rPr>
            </w:pPr>
          </w:p>
        </w:tc>
        <w:tc>
          <w:tcPr>
            <w:tcW w:w="1140" w:type="dxa"/>
            <w:vAlign w:val="bottom"/>
            <w:tcBorders>
              <w:top w:val="single" w:sz="8" w:color="CDFFCC"/>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Total mortgage loans held for investment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249,343,936</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48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Real  estate  held  for  investment  -  net  of  accumulated</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Residential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24,843,743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106,840,710</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CDFFCC"/>
            </w:tcBorders>
          </w:tcPr>
          <w:p>
            <w:pPr>
              <w:spacing w:after="0"/>
              <w:rPr>
                <w:sz w:val="18"/>
                <w:szCs w:val="18"/>
                <w:color w:val="auto"/>
              </w:rPr>
            </w:pPr>
          </w:p>
        </w:tc>
        <w:tc>
          <w:tcPr>
            <w:tcW w:w="1000" w:type="dxa"/>
            <w:vAlign w:val="bottom"/>
            <w:tcBorders>
              <w:top w:val="single" w:sz="8" w:color="CDFFCC"/>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CDFFCC"/>
            </w:tcBorders>
          </w:tcPr>
          <w:p>
            <w:pPr>
              <w:spacing w:after="0"/>
              <w:rPr>
                <w:sz w:val="18"/>
                <w:szCs w:val="18"/>
                <w:color w:val="auto"/>
              </w:rPr>
            </w:pPr>
          </w:p>
        </w:tc>
        <w:tc>
          <w:tcPr>
            <w:tcW w:w="980" w:type="dxa"/>
            <w:vAlign w:val="bottom"/>
            <w:tcBorders>
              <w:top w:val="single" w:sz="8" w:color="CDFFCC"/>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CDFFCC"/>
            </w:tcBorders>
          </w:tcPr>
          <w:p>
            <w:pPr>
              <w:spacing w:after="0"/>
              <w:rPr>
                <w:sz w:val="18"/>
                <w:szCs w:val="18"/>
                <w:color w:val="auto"/>
              </w:rPr>
            </w:pPr>
          </w:p>
        </w:tc>
        <w:tc>
          <w:tcPr>
            <w:tcW w:w="1140" w:type="dxa"/>
            <w:vAlign w:val="bottom"/>
            <w:tcBorders>
              <w:top w:val="single" w:sz="8" w:color="CDFFCC"/>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Total real estate held for investment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131,684,453</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Real estate held for sale: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Residential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3,478,254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0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4,400,553</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CDFFCC"/>
            </w:tcBorders>
          </w:tcPr>
          <w:p>
            <w:pPr>
              <w:spacing w:after="0"/>
              <w:rPr>
                <w:sz w:val="18"/>
                <w:szCs w:val="18"/>
                <w:color w:val="auto"/>
              </w:rPr>
            </w:pPr>
          </w:p>
        </w:tc>
        <w:tc>
          <w:tcPr>
            <w:tcW w:w="1000" w:type="dxa"/>
            <w:vAlign w:val="bottom"/>
            <w:tcBorders>
              <w:top w:val="single" w:sz="8" w:color="CDFFCC"/>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CDFFCC"/>
            </w:tcBorders>
          </w:tcPr>
          <w:p>
            <w:pPr>
              <w:spacing w:after="0"/>
              <w:rPr>
                <w:sz w:val="18"/>
                <w:szCs w:val="18"/>
                <w:color w:val="auto"/>
              </w:rPr>
            </w:pPr>
          </w:p>
        </w:tc>
        <w:tc>
          <w:tcPr>
            <w:tcW w:w="980" w:type="dxa"/>
            <w:vAlign w:val="bottom"/>
            <w:tcBorders>
              <w:top w:val="single" w:sz="8" w:color="CDFFCC"/>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CDFFCC"/>
            </w:tcBorders>
          </w:tcPr>
          <w:p>
            <w:pPr>
              <w:spacing w:after="0"/>
              <w:rPr>
                <w:sz w:val="18"/>
                <w:szCs w:val="18"/>
                <w:color w:val="auto"/>
              </w:rPr>
            </w:pPr>
          </w:p>
        </w:tc>
        <w:tc>
          <w:tcPr>
            <w:tcW w:w="1140" w:type="dxa"/>
            <w:vAlign w:val="bottom"/>
            <w:tcBorders>
              <w:top w:val="single" w:sz="8" w:color="CDFFCC"/>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Total real estate held for sale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7,878,807</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 investments and policy loans at amortized cost: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Policy loans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14,171,589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Insurance assignments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53,231,131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Federal Home Loan Bank stock (1)</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2,506,600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5,432,816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100" w:type="dxa"/>
            <w:vAlign w:val="bottom"/>
          </w:tcPr>
          <w:p>
            <w:pPr>
              <w:spacing w:after="0"/>
              <w:rPr>
                <w:sz w:val="19"/>
                <w:szCs w:val="19"/>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Less: Allowance for doubtful accounts</w:t>
            </w: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(1,645,475)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4840" w:type="dxa"/>
            <w:vAlign w:val="bottom"/>
            <w:gridSpan w:val="3"/>
          </w:tcPr>
          <w:p>
            <w:pPr>
              <w:ind w:left="100"/>
              <w:spacing w:after="0"/>
              <w:rPr>
                <w:sz w:val="20"/>
                <w:szCs w:val="20"/>
                <w:color w:val="auto"/>
              </w:rPr>
            </w:pPr>
            <w:r>
              <w:rPr>
                <w:rFonts w:ascii="Arial" w:cs="Arial" w:eastAsia="Arial" w:hAnsi="Arial"/>
                <w:sz w:val="18"/>
                <w:szCs w:val="18"/>
                <w:color w:val="auto"/>
              </w:rPr>
              <w:t>Total policy loans and other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73,696,661</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4840" w:type="dxa"/>
            <w:vAlign w:val="bottom"/>
            <w:gridSpan w:val="3"/>
          </w:tcPr>
          <w:p>
            <w:pPr>
              <w:ind w:left="100"/>
              <w:spacing w:after="0"/>
              <w:rPr>
                <w:sz w:val="20"/>
                <w:szCs w:val="20"/>
                <w:color w:val="auto"/>
              </w:rPr>
            </w:pPr>
            <w:r>
              <w:rPr>
                <w:rFonts w:ascii="Arial" w:cs="Arial" w:eastAsia="Arial" w:hAnsi="Arial"/>
                <w:sz w:val="18"/>
                <w:szCs w:val="18"/>
                <w:color w:val="auto"/>
              </w:rPr>
              <w:t>Accrued investment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5,360,523</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4840" w:type="dxa"/>
            <w:vAlign w:val="bottom"/>
            <w:gridSpan w:val="3"/>
          </w:tcPr>
          <w:p>
            <w:pPr>
              <w:ind w:left="10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773,945,298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2"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$866,900 of Membership stock and $1,639,700 of Activity stock due to short-term borrowings.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335"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Fixed Maturity Securities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tables summarize unrealized losses on fixed maturity securities available for sale, which were carried at estimated fair value, at June 30, 2021 and December 31, 2020. The unrealized losses were primarily related to interest rate fluctuations and uncertainties relating to COVID-19. The tables set forth unrealized losses by duration with the fair value of the related fixed maturity securities: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5"/>
              </w:rPr>
              <w:t>Losses for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Losses for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Less than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More than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Twelve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Twelve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ind w:left="20"/>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Months</w:t>
            </w:r>
          </w:p>
        </w:tc>
        <w:tc>
          <w:tcPr>
            <w:tcW w:w="10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Months</w:t>
            </w:r>
          </w:p>
        </w:tc>
        <w:tc>
          <w:tcPr>
            <w:tcW w:w="220" w:type="dxa"/>
            <w:vAlign w:val="bottom"/>
          </w:tcPr>
          <w:p>
            <w:pPr>
              <w:spacing w:after="0"/>
              <w:rPr>
                <w:sz w:val="20"/>
                <w:szCs w:val="20"/>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ind w:left="120"/>
              <w:spacing w:after="0"/>
              <w:rPr>
                <w:sz w:val="20"/>
                <w:szCs w:val="20"/>
                <w:color w:val="auto"/>
              </w:rPr>
            </w:pPr>
            <w:r>
              <w:rPr>
                <w:rFonts w:ascii="Arial" w:cs="Arial" w:eastAsia="Arial" w:hAnsi="Arial"/>
                <w:sz w:val="18"/>
                <w:szCs w:val="18"/>
                <w:b w:val="1"/>
                <w:bCs w:val="1"/>
                <w:color w:val="auto"/>
              </w:rPr>
              <w:t>Loss</w:t>
            </w:r>
          </w:p>
        </w:tc>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r>
      <w:tr>
        <w:trPr>
          <w:trHeight w:val="189"/>
        </w:trPr>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9"/>
              </w:rPr>
              <w:t>At June 30, 2021</w:t>
            </w:r>
          </w:p>
        </w:tc>
        <w:tc>
          <w:tcPr>
            <w:tcW w:w="27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6"/>
        </w:trPr>
        <w:tc>
          <w:tcPr>
            <w:tcW w:w="4040" w:type="dxa"/>
            <w:vAlign w:val="bottom"/>
            <w:gridSpan w:val="4"/>
          </w:tcPr>
          <w:p>
            <w:pPr>
              <w:ind w:left="100"/>
              <w:spacing w:after="0"/>
              <w:rPr>
                <w:sz w:val="20"/>
                <w:szCs w:val="20"/>
                <w:color w:val="auto"/>
              </w:rPr>
            </w:pPr>
            <w:r>
              <w:rPr>
                <w:rFonts w:ascii="Arial" w:cs="Arial" w:eastAsia="Arial" w:hAnsi="Arial"/>
                <w:sz w:val="18"/>
                <w:szCs w:val="18"/>
                <w:color w:val="auto"/>
              </w:rPr>
              <w:t>Obligations of States and Political Subdivisions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4,769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757,348</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4,769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757,348</w:t>
            </w:r>
          </w:p>
        </w:tc>
      </w:tr>
      <w:tr>
        <w:trPr>
          <w:trHeight w:val="216"/>
        </w:trPr>
        <w:tc>
          <w:tcPr>
            <w:tcW w:w="404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Corporate Securities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4,269,265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214,897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4,618,270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243,492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8,887,535</w:t>
            </w:r>
          </w:p>
        </w:tc>
      </w:tr>
      <w:tr>
        <w:trPr>
          <w:trHeight w:val="229"/>
        </w:trPr>
        <w:tc>
          <w:tcPr>
            <w:tcW w:w="4040" w:type="dxa"/>
            <w:vAlign w:val="bottom"/>
            <w:gridSpan w:val="4"/>
          </w:tcPr>
          <w:p>
            <w:pPr>
              <w:ind w:left="100"/>
              <w:spacing w:after="0"/>
              <w:rPr>
                <w:sz w:val="20"/>
                <w:szCs w:val="20"/>
                <w:color w:val="auto"/>
              </w:rPr>
            </w:pPr>
            <w:r>
              <w:rPr>
                <w:rFonts w:ascii="Arial" w:cs="Arial" w:eastAsia="Arial" w:hAnsi="Arial"/>
                <w:sz w:val="18"/>
                <w:szCs w:val="18"/>
                <w:color w:val="auto"/>
              </w:rPr>
              <w:t>Mortgage and other asset-backed securities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25,176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1,952,135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110,346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1,836,960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135,522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3,789,095</w:t>
            </w:r>
          </w:p>
        </w:tc>
      </w:tr>
      <w:tr>
        <w:trPr>
          <w:trHeight w:val="230"/>
        </w:trPr>
        <w:tc>
          <w:tcPr>
            <w:tcW w:w="4040" w:type="dxa"/>
            <w:vAlign w:val="bottom"/>
            <w:tcBorders>
              <w:top w:val="single" w:sz="8" w:color="CCEEFF"/>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Total unrealized losses</w:t>
            </w: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6,978,748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325,243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6,455,230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383,783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13,433,978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100" w:type="dxa"/>
            <w:vAlign w:val="bottom"/>
            <w:shd w:val="clear" w:color="auto" w:fill="CCEEFF"/>
          </w:tcPr>
          <w:p>
            <w:pPr>
              <w:spacing w:after="0"/>
              <w:rPr>
                <w:sz w:val="15"/>
                <w:szCs w:val="15"/>
                <w:color w:val="auto"/>
              </w:rPr>
            </w:pPr>
          </w:p>
        </w:tc>
        <w:tc>
          <w:tcPr>
            <w:tcW w:w="3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At December 31, 2020</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206,812</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206,812</w:t>
            </w:r>
          </w:p>
        </w:tc>
      </w:tr>
      <w:tr>
        <w:trPr>
          <w:trHeight w:val="216"/>
        </w:trPr>
        <w:tc>
          <w:tcPr>
            <w:tcW w:w="404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Corporate Securities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242,596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9,919,298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438,882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2,593,026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681,478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12,512,324</w:t>
            </w:r>
          </w:p>
        </w:tc>
      </w:tr>
      <w:tr>
        <w:trPr>
          <w:trHeight w:val="229"/>
        </w:trPr>
        <w:tc>
          <w:tcPr>
            <w:tcW w:w="4040" w:type="dxa"/>
            <w:vAlign w:val="bottom"/>
            <w:gridSpan w:val="4"/>
          </w:tcPr>
          <w:p>
            <w:pPr>
              <w:ind w:left="100"/>
              <w:spacing w:after="0"/>
              <w:rPr>
                <w:sz w:val="20"/>
                <w:szCs w:val="20"/>
                <w:color w:val="auto"/>
              </w:rPr>
            </w:pPr>
            <w:r>
              <w:rPr>
                <w:rFonts w:ascii="Arial" w:cs="Arial" w:eastAsia="Arial" w:hAnsi="Arial"/>
                <w:sz w:val="18"/>
                <w:szCs w:val="18"/>
                <w:color w:val="auto"/>
              </w:rPr>
              <w:t>Mortgage and other asset-backed securities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266,522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3,455,574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51,961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267,106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3,507,535</w:t>
            </w:r>
          </w:p>
        </w:tc>
      </w:tr>
      <w:tr>
        <w:trPr>
          <w:trHeight w:val="230"/>
        </w:trPr>
        <w:tc>
          <w:tcPr>
            <w:tcW w:w="4040" w:type="dxa"/>
            <w:vAlign w:val="bottom"/>
            <w:tcBorders>
              <w:top w:val="single" w:sz="8" w:color="CCEEFF"/>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Total unrealized losses</w:t>
            </w: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510,379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13,581,684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439,466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2,644,987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949,845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16,226,671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51 securities with fair value of 97.2% of amortized cost at June 30, 2021. There were 63 securities with fair value of 94.7% of amortized cost at December 31, 2020. No additional credit losses have been recognized for the three and six months ended June 30, 2021 and 2020.</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 quarterly basis, the Company evaluates its fixed maturity securities available for sale. This evaluation includes a review of current ratings by the National Association of Insurance Commissions (NAIC). Securities with a rating of 1 or 2 are considered investment grade. Securities with ratings of 3 to 5 are considered non-investment grade and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(3) Investments (Continued)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a rollforward of the Company's cumulative other than temporary credit impairments (“OTTI”) recognized in earnings on fixed maturity securities available for sale for the six months ended June 30:</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r>
      <w:tr>
        <w:trPr>
          <w:trHeight w:val="209"/>
        </w:trPr>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of credit-related OTTI at January 1</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370,975</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Additions for credit impairments recognized on:</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8"/>
                <w:szCs w:val="18"/>
                <w:color w:val="auto"/>
              </w:rPr>
              <w:t>Securities not previously impaired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previously impaired</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Reductions for credit impairments previously recognized on:</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8"/>
                <w:szCs w:val="18"/>
                <w:color w:val="auto"/>
              </w:rPr>
              <w:t>Securities that matured or were sold during the period (realized)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due to an increase in expected cash flows</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0"/>
        </w:trPr>
        <w:tc>
          <w:tcPr>
            <w:tcW w:w="60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DFFCC"/>
            </w:tcBorders>
          </w:tcPr>
          <w:p>
            <w:pPr>
              <w:spacing w:after="0"/>
              <w:rPr>
                <w:sz w:val="18"/>
                <w:szCs w:val="18"/>
                <w:color w:val="auto"/>
              </w:rPr>
            </w:pPr>
          </w:p>
        </w:tc>
        <w:tc>
          <w:tcPr>
            <w:tcW w:w="1120" w:type="dxa"/>
            <w:vAlign w:val="bottom"/>
            <w:tcBorders>
              <w:top w:val="single" w:sz="8" w:color="auto"/>
              <w:bottom w:val="single" w:sz="8" w:color="CDFFCC"/>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DFFCC"/>
            </w:tcBorders>
          </w:tcPr>
          <w:p>
            <w:pPr>
              <w:spacing w:after="0"/>
              <w:rPr>
                <w:sz w:val="18"/>
                <w:szCs w:val="18"/>
                <w:color w:val="auto"/>
              </w:rPr>
            </w:pPr>
          </w:p>
        </w:tc>
        <w:tc>
          <w:tcPr>
            <w:tcW w:w="1100" w:type="dxa"/>
            <w:vAlign w:val="bottom"/>
            <w:tcBorders>
              <w:top w:val="single" w:sz="8" w:color="auto"/>
              <w:bottom w:val="single" w:sz="8" w:color="CDFFCC"/>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30"/>
        </w:trPr>
        <w:tc>
          <w:tcPr>
            <w:tcW w:w="6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of credit-related OTTI at June 30</w:t>
            </w:r>
          </w:p>
        </w:tc>
        <w:tc>
          <w:tcPr>
            <w:tcW w:w="1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6"/>
              </w:rPr>
              <w:t>370,975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estimated fair value of fixed maturity securities available for sale at June 30, 2021, by contractual maturity, are shown below. Expected maturities may differ from contractual maturities because certain borrowers may have the right to call or prepay obligations with or without call or prepayment penalties.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Amortized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 Fair</w:t>
            </w:r>
          </w:p>
        </w:tc>
      </w:tr>
      <w:tr>
        <w:trPr>
          <w:trHeight w:val="234"/>
        </w:trPr>
        <w:tc>
          <w:tcPr>
            <w:tcW w:w="7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Cost</w:t>
            </w:r>
          </w:p>
        </w:tc>
        <w:tc>
          <w:tcPr>
            <w:tcW w:w="8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Value</w:t>
            </w:r>
          </w:p>
        </w:tc>
      </w:tr>
      <w:tr>
        <w:trPr>
          <w:trHeight w:val="210"/>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470,918</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479,754</w:t>
            </w:r>
          </w:p>
        </w:tc>
      </w:tr>
      <w:tr>
        <w:trPr>
          <w:trHeight w:val="216"/>
        </w:trPr>
        <w:tc>
          <w:tcPr>
            <w:tcW w:w="7200" w:type="dxa"/>
            <w:vAlign w:val="bottom"/>
          </w:tcPr>
          <w:p>
            <w:pPr>
              <w:ind w:left="280"/>
              <w:spacing w:after="0"/>
              <w:rPr>
                <w:sz w:val="20"/>
                <w:szCs w:val="20"/>
                <w:color w:val="auto"/>
              </w:rPr>
            </w:pPr>
            <w:r>
              <w:rPr>
                <w:rFonts w:ascii="Arial" w:cs="Arial" w:eastAsia="Arial" w:hAnsi="Arial"/>
                <w:sz w:val="18"/>
                <w:szCs w:val="18"/>
                <w:color w:val="auto"/>
              </w:rPr>
              <w:t>Due in 2-5 years</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65,576,854</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69,598,648</w:t>
            </w:r>
          </w:p>
        </w:tc>
      </w:tr>
      <w:tr>
        <w:trPr>
          <w:trHeight w:val="216"/>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Due in 5-10 years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71,005,630</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79,264,125</w:t>
            </w:r>
          </w:p>
        </w:tc>
      </w:tr>
      <w:tr>
        <w:trPr>
          <w:trHeight w:val="216"/>
        </w:trPr>
        <w:tc>
          <w:tcPr>
            <w:tcW w:w="7200" w:type="dxa"/>
            <w:vAlign w:val="bottom"/>
          </w:tcPr>
          <w:p>
            <w:pPr>
              <w:ind w:left="280"/>
              <w:spacing w:after="0"/>
              <w:rPr>
                <w:sz w:val="20"/>
                <w:szCs w:val="20"/>
                <w:color w:val="auto"/>
              </w:rPr>
            </w:pPr>
            <w:r>
              <w:rPr>
                <w:rFonts w:ascii="Arial" w:cs="Arial" w:eastAsia="Arial" w:hAnsi="Arial"/>
                <w:sz w:val="18"/>
                <w:szCs w:val="18"/>
                <w:color w:val="auto"/>
              </w:rPr>
              <w:t>Due in more than 10 years</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67,987,674</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81,969,481</w:t>
            </w:r>
          </w:p>
        </w:tc>
      </w:tr>
      <w:tr>
        <w:trPr>
          <w:trHeight w:val="216"/>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28,259,360</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29,362,842</w:t>
            </w: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Redeemable preferred stock</w:t>
            </w:r>
          </w:p>
        </w:tc>
        <w:tc>
          <w:tcPr>
            <w:tcW w:w="2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269,214</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282,826</w:t>
            </w:r>
          </w:p>
        </w:tc>
      </w:tr>
      <w:tr>
        <w:trPr>
          <w:trHeight w:val="230"/>
        </w:trPr>
        <w:tc>
          <w:tcPr>
            <w:tcW w:w="72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233,569,650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260,957,676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member of the Federal Home Loan Bank of Des Moines and Dallas (“FHLB”). The Company pledged a total of $20,000,000, par value, of United States Treasury fixed maturity securities with the FHLB at June 30, 2021. These securities are used as collateral on any cash borrowings from the FHLB. As of June 30, 2021, the Company did not have any amounts outstanding with the FHLB and its estimated remaining maximum borrowing capacity was $19,152,949.</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(3) Investments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Related Earnings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net realized gains and losses from sales, calls, and maturities, unrealized gains and losses on equity securities, and other than temporary impairments are summarized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7"/>
          </w:tcPr>
          <w:p>
            <w:pPr>
              <w:ind w:left="20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0"/>
                <w:szCs w:val="20"/>
                <w:color w:val="auto"/>
              </w:rPr>
            </w:pPr>
          </w:p>
        </w:tc>
        <w:tc>
          <w:tcPr>
            <w:tcW w:w="2700" w:type="dxa"/>
            <w:vAlign w:val="bottom"/>
            <w:gridSpan w:val="6"/>
          </w:tcPr>
          <w:p>
            <w:pPr>
              <w:jc w:val="right"/>
              <w:ind w:right="481"/>
              <w:spacing w:after="0"/>
              <w:rPr>
                <w:sz w:val="20"/>
                <w:szCs w:val="20"/>
                <w:color w:val="auto"/>
              </w:rPr>
            </w:pPr>
            <w:r>
              <w:rPr>
                <w:rFonts w:ascii="Arial" w:cs="Arial" w:eastAsia="Arial" w:hAnsi="Arial"/>
                <w:sz w:val="18"/>
                <w:szCs w:val="18"/>
                <w:color w:val="auto"/>
              </w:rPr>
              <w:t>Six Months Ended June 30</w:t>
            </w:r>
          </w:p>
        </w:tc>
      </w:tr>
      <w:tr>
        <w:trPr>
          <w:trHeight w:val="223"/>
        </w:trPr>
        <w:tc>
          <w:tcPr>
            <w:tcW w:w="48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auto"/>
              <w:bottom w:val="single" w:sz="8" w:color="auto"/>
            </w:tcBorders>
          </w:tcPr>
          <w:p>
            <w:pPr>
              <w:spacing w:after="0"/>
              <w:rPr>
                <w:sz w:val="19"/>
                <w:szCs w:val="19"/>
                <w:color w:val="auto"/>
              </w:rPr>
            </w:pPr>
          </w:p>
        </w:tc>
      </w:tr>
      <w:tr>
        <w:trPr>
          <w:trHeight w:val="209"/>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Fixed maturity securities: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8"/>
                <w:szCs w:val="18"/>
                <w:color w:val="auto"/>
              </w:rPr>
              <w:t>Gross realized gains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188,266</w:t>
            </w:r>
          </w:p>
        </w:tc>
        <w:tc>
          <w:tcPr>
            <w:tcW w:w="6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55,138</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273,659</w:t>
            </w:r>
          </w:p>
        </w:tc>
        <w:tc>
          <w:tcPr>
            <w:tcW w:w="3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150,959</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realized losses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(12,089)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(14,886)</w:t>
            </w: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(12,089)</w:t>
            </w:r>
          </w:p>
        </w:tc>
      </w:tr>
      <w:tr>
        <w:trPr>
          <w:trHeight w:val="216"/>
        </w:trPr>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8"/>
                <w:szCs w:val="18"/>
                <w:color w:val="auto"/>
              </w:rPr>
              <w:t>Gains (losses) on securities sold</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146,011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(50,029)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252,580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(107,471)</w:t>
            </w:r>
          </w:p>
        </w:tc>
      </w:tr>
      <w:tr>
        <w:trPr>
          <w:trHeight w:val="202"/>
        </w:trPr>
        <w:tc>
          <w:tcPr>
            <w:tcW w:w="484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Unrealized gains and (losses) on securities held at the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 of the period</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490,394</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1,738,059</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1,442,424</w:t>
            </w:r>
          </w:p>
        </w:tc>
        <w:tc>
          <w:tcPr>
            <w:tcW w:w="34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(1,023,797)</w:t>
            </w:r>
          </w:p>
        </w:tc>
      </w:tr>
      <w:tr>
        <w:trPr>
          <w:trHeight w:val="216"/>
        </w:trPr>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8"/>
                <w:szCs w:val="18"/>
                <w:color w:val="auto"/>
              </w:rPr>
              <w:t>Gross realized gains</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737,443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48,736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1,846,801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505,764</w:t>
            </w:r>
          </w:p>
        </w:tc>
        <w:tc>
          <w:tcPr>
            <w:tcW w:w="80" w:type="dxa"/>
            <w:vAlign w:val="bottom"/>
          </w:tcPr>
          <w:p>
            <w:pPr>
              <w:spacing w:after="0"/>
              <w:rPr>
                <w:sz w:val="18"/>
                <w:szCs w:val="18"/>
                <w:color w:val="auto"/>
              </w:rPr>
            </w:pPr>
          </w:p>
        </w:tc>
      </w:tr>
      <w:tr>
        <w:trPr>
          <w:trHeight w:val="230"/>
        </w:trPr>
        <w:tc>
          <w:tcPr>
            <w:tcW w:w="4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realized losses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(82,791)</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458,464</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(363,261)</w:t>
            </w:r>
          </w:p>
        </w:tc>
        <w:tc>
          <w:tcPr>
            <w:tcW w:w="34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(487,334)</w:t>
            </w:r>
          </w:p>
        </w:tc>
      </w:tr>
      <w:tr>
        <w:trPr>
          <w:trHeight w:val="223"/>
        </w:trPr>
        <w:tc>
          <w:tcPr>
            <w:tcW w:w="4840" w:type="dxa"/>
            <w:vAlign w:val="bottom"/>
          </w:tcPr>
          <w:p>
            <w:pPr>
              <w:ind w:left="6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1,477,204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2,238,279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(973,968</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r>
      <w:tr>
        <w:trPr>
          <w:trHeight w:val="27"/>
        </w:trPr>
        <w:tc>
          <w:tcPr>
            <w:tcW w:w="4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realized gains and losses on the sale of securities are recorded on the trade date, and the cost of the securities sold is determined using the specific identification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sales of fixed maturity securities available for sale is summarized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7"/>
          </w:tcPr>
          <w:p>
            <w:pPr>
              <w:ind w:left="22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0"/>
                <w:szCs w:val="20"/>
                <w:color w:val="auto"/>
              </w:rPr>
            </w:pPr>
          </w:p>
        </w:tc>
        <w:tc>
          <w:tcPr>
            <w:tcW w:w="2740" w:type="dxa"/>
            <w:vAlign w:val="bottom"/>
            <w:gridSpan w:val="6"/>
          </w:tcPr>
          <w:p>
            <w:pPr>
              <w:jc w:val="right"/>
              <w:ind w:right="520"/>
              <w:spacing w:after="0"/>
              <w:rPr>
                <w:sz w:val="20"/>
                <w:szCs w:val="20"/>
                <w:color w:val="auto"/>
              </w:rPr>
            </w:pPr>
            <w:r>
              <w:rPr>
                <w:rFonts w:ascii="Arial" w:cs="Arial" w:eastAsia="Arial" w:hAnsi="Arial"/>
                <w:sz w:val="18"/>
                <w:szCs w:val="18"/>
                <w:color w:val="auto"/>
              </w:rPr>
              <w:t>Six Months Ended June 30</w:t>
            </w:r>
          </w:p>
        </w:tc>
      </w:tr>
      <w:tr>
        <w:trPr>
          <w:trHeight w:val="223"/>
        </w:trPr>
        <w:tc>
          <w:tcPr>
            <w:tcW w:w="48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auto"/>
            </w:tcBorders>
          </w:tcPr>
          <w:p>
            <w:pPr>
              <w:spacing w:after="0"/>
              <w:rPr>
                <w:sz w:val="19"/>
                <w:szCs w:val="19"/>
                <w:color w:val="auto"/>
              </w:rPr>
            </w:pPr>
          </w:p>
        </w:tc>
      </w:tr>
      <w:tr>
        <w:trPr>
          <w:trHeight w:val="209"/>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1,163,366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2,107,581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1,982,931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2,753,331</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Gross realized gains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149,338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53,928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209,132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133,339</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realized losses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Major categories of net investment income are as follows: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7"/>
          </w:tcPr>
          <w:p>
            <w:pPr>
              <w:ind w:left="22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2740" w:type="dxa"/>
            <w:vAlign w:val="bottom"/>
            <w:gridSpan w:val="6"/>
          </w:tcPr>
          <w:p>
            <w:pPr>
              <w:jc w:val="right"/>
              <w:ind w:right="520"/>
              <w:spacing w:after="0"/>
              <w:rPr>
                <w:sz w:val="20"/>
                <w:szCs w:val="20"/>
                <w:color w:val="auto"/>
              </w:rPr>
            </w:pPr>
            <w:r>
              <w:rPr>
                <w:rFonts w:ascii="Arial" w:cs="Arial" w:eastAsia="Arial" w:hAnsi="Arial"/>
                <w:sz w:val="18"/>
                <w:szCs w:val="18"/>
                <w:color w:val="auto"/>
              </w:rPr>
              <w:t>Six Months Ended June 30</w:t>
            </w:r>
          </w:p>
        </w:tc>
      </w:tr>
      <w:tr>
        <w:trPr>
          <w:trHeight w:val="223"/>
        </w:trPr>
        <w:tc>
          <w:tcPr>
            <w:tcW w:w="48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auto"/>
            </w:tcBorders>
          </w:tcPr>
          <w:p>
            <w:pPr>
              <w:spacing w:after="0"/>
              <w:rPr>
                <w:sz w:val="19"/>
                <w:szCs w:val="19"/>
                <w:color w:val="auto"/>
              </w:rPr>
            </w:pPr>
          </w:p>
        </w:tc>
      </w:tr>
      <w:tr>
        <w:trPr>
          <w:trHeight w:val="21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Fixed maturity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2,698,011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3,143,072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5,522,122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6,067,786</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106,041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111,122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234,270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203,164</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Mortgage loans held for investment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6,902,466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5,582,152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12,986,883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11,236,042</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Real estate</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3,002,650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2,787,881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6,045,479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5,941,267</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Policy loans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232,135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257,527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464,488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491,492</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Insurance assignments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4,171,318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4,383,398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9,517,047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8,682,602</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investments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39,299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25,421</w:t>
            </w:r>
          </w:p>
        </w:tc>
      </w:tr>
      <w:tr>
        <w:trPr>
          <w:trHeight w:val="230"/>
        </w:trPr>
        <w:tc>
          <w:tcPr>
            <w:tcW w:w="484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34,030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22,385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73,624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320,390</w:t>
            </w:r>
          </w:p>
        </w:tc>
      </w:tr>
      <w:tr>
        <w:trPr>
          <w:trHeight w:val="210"/>
        </w:trPr>
        <w:tc>
          <w:tcPr>
            <w:tcW w:w="4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Gross investment income</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17,185,950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16,287,935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34,896,919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32,968,164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840" w:type="dxa"/>
            <w:vAlign w:val="bottom"/>
          </w:tcPr>
          <w:p>
            <w:pPr>
              <w:ind w:left="100"/>
              <w:spacing w:after="0"/>
              <w:rPr>
                <w:sz w:val="20"/>
                <w:szCs w:val="20"/>
                <w:color w:val="auto"/>
              </w:rPr>
            </w:pPr>
            <w:r>
              <w:rPr>
                <w:rFonts w:ascii="Arial" w:cs="Arial" w:eastAsia="Arial" w:hAnsi="Arial"/>
                <w:sz w:val="18"/>
                <w:szCs w:val="18"/>
                <w:color w:val="auto"/>
              </w:rPr>
              <w:t>Investment expenses</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(3,008,632)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(3,325,190)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(6,425,714)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(6,604,920)</w:t>
            </w:r>
          </w:p>
        </w:tc>
      </w:tr>
      <w:tr>
        <w:trPr>
          <w:trHeight w:val="230"/>
        </w:trPr>
        <w:tc>
          <w:tcPr>
            <w:tcW w:w="48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investment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14,177,318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12,962,745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28,471,205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26,363,244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investment income includes income earned by the restricted assets cemeteries and mortuaries of $190,668 and $140,093 for the three months ended June 30, 2021 and 2020, respectively, and $351,879 and $250,732 for the six months ended June 30, 2021 and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on real estate consists primarily of rental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expenses consist primarily of depreciation, property taxes, operating expenses of real estate and an estimated portion of administrative expenses relating to investment activities.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ind w:right="20"/>
        <w:spacing w:after="0" w:line="308" w:lineRule="auto"/>
        <w:rPr>
          <w:sz w:val="20"/>
          <w:szCs w:val="20"/>
          <w:color w:val="auto"/>
        </w:rPr>
      </w:pPr>
      <w:r>
        <w:rPr>
          <w:rFonts w:ascii="Arial" w:cs="Arial" w:eastAsia="Arial" w:hAnsi="Arial"/>
          <w:sz w:val="17"/>
          <w:szCs w:val="17"/>
          <w:color w:val="auto"/>
        </w:rPr>
        <w:t>Securities on deposit with regulatory authorities as required by law amounted to $10,263,529 at June 30,2021 and $9,684,409 at December 31, 2020. These restricted securities are included in various assets under investments on the accompanying condensed consolidated balance sheets.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investments, aggregated by issuer, in excess of 10% of shareholders’ equity (before net unrealized gains and losses on equity securities and fixed maturity securities) at June 30, 2021, other than investments issued or guaranteed by the United States Government.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Held for Investment and Held for Sale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strategically deploys resources into real estate to match the income and yield durations of its primary obligations. The sources for these real estate assets come through its various business units in the form of acquisition, development and mortgage foreclosures.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owns and operates 11 commercial properties in 5 states. These properties include office buildings, a funeral home, flex office space,and includes the redevelopment and expansion of its corporate campus (“Center 53”) in Salt Lake City, Utah. The Company also holds undeveloped land that may be used for future commercial developments. The Company uses bank debt in strategic cases to leverage established yields or to acquire a higher quality or different class of asset.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aggregated net ending balance of commercial real estate that serves as collateral for bank loans was $110,763,510 and $71,517,902 as of June 30, 2021 and December 31, 2020, respectively. The associated bank loan carrying values totaled $66,163,722 and $46,153,283 as of June 30, 2021 and December 31, 2020, respectively.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months ended June 30, 2021 and 2020, the Company recorded impairment losses on commercial real estate held for sale of $28,378 and $15,551, respectively. During the six months ended June 30, 2021 and 2020, the Company recorded impairment losses on commercial real estate held for sale of $28,378 and $46,980, respectively. These impairment losses relate to an office building and a funeral home held by the life insurance segment. Impairment losses are included in gains (losses) on investment and other assets on the condensed consolidated statements of earnings.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is a summary of the Company’s commercial real estate held for investment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7"/>
          </w:tcPr>
          <w:p>
            <w:pPr>
              <w:ind w:left="600"/>
              <w:spacing w:after="0"/>
              <w:rPr>
                <w:sz w:val="20"/>
                <w:szCs w:val="20"/>
                <w:color w:val="auto"/>
              </w:rPr>
            </w:pPr>
            <w:r>
              <w:rPr>
                <w:rFonts w:ascii="Arial" w:cs="Arial" w:eastAsia="Arial" w:hAnsi="Arial"/>
                <w:sz w:val="18"/>
                <w:szCs w:val="18"/>
                <w:color w:val="auto"/>
              </w:rPr>
              <w:t>Net Ending Balance</w:t>
            </w:r>
          </w:p>
        </w:tc>
        <w:tc>
          <w:tcPr>
            <w:tcW w:w="3000" w:type="dxa"/>
            <w:vAlign w:val="bottom"/>
            <w:gridSpan w:val="6"/>
          </w:tcPr>
          <w:p>
            <w:pPr>
              <w:ind w:left="740"/>
              <w:spacing w:after="0"/>
              <w:rPr>
                <w:sz w:val="20"/>
                <w:szCs w:val="20"/>
                <w:color w:val="auto"/>
              </w:rPr>
            </w:pPr>
            <w:r>
              <w:rPr>
                <w:rFonts w:ascii="Arial" w:cs="Arial" w:eastAsia="Arial" w:hAnsi="Arial"/>
                <w:sz w:val="18"/>
                <w:szCs w:val="18"/>
                <w:color w:val="auto"/>
              </w:rPr>
              <w:t>Total Square Footage</w:t>
            </w:r>
          </w:p>
        </w:tc>
      </w:t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June 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w w:val="92"/>
              </w:rPr>
              <w:t>December 31</w:t>
            </w:r>
          </w:p>
        </w:tc>
        <w:tc>
          <w:tcPr>
            <w:tcW w:w="1660" w:type="dxa"/>
            <w:vAlign w:val="bottom"/>
            <w:gridSpan w:val="3"/>
          </w:tcPr>
          <w:p>
            <w:pPr>
              <w:ind w:left="380"/>
              <w:spacing w:after="0"/>
              <w:rPr>
                <w:sz w:val="20"/>
                <w:szCs w:val="20"/>
                <w:color w:val="auto"/>
              </w:rPr>
            </w:pPr>
            <w:r>
              <w:rPr>
                <w:rFonts w:ascii="Arial" w:cs="Arial" w:eastAsia="Arial" w:hAnsi="Arial"/>
                <w:sz w:val="18"/>
                <w:szCs w:val="18"/>
                <w:color w:val="auto"/>
              </w:rPr>
              <w:t>June 30</w:t>
            </w:r>
          </w:p>
        </w:tc>
        <w:tc>
          <w:tcPr>
            <w:tcW w:w="134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r>
      <w:tr>
        <w:trPr>
          <w:trHeight w:val="230"/>
        </w:trPr>
        <w:tc>
          <w:tcPr>
            <w:tcW w:w="48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Utah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122,439,551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100,927,528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379,066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379,066</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Louisiana</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2,449,494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2,998,684</w:t>
            </w: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31,778</w:t>
            </w:r>
          </w:p>
        </w:tc>
        <w:tc>
          <w:tcPr>
            <w:tcW w:w="3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84,841</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Mississippi</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2,890,943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2,914,498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21,521</w:t>
            </w: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21,521</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California</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389,145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2,872</w:t>
            </w:r>
          </w:p>
        </w:tc>
        <w:tc>
          <w:tcPr>
            <w:tcW w:w="320" w:type="dxa"/>
            <w:vAlign w:val="bottom"/>
          </w:tcPr>
          <w:p>
            <w:pPr>
              <w:spacing w:after="0"/>
              <w:rPr>
                <w:sz w:val="18"/>
                <w:szCs w:val="18"/>
                <w:color w:val="auto"/>
              </w:rPr>
            </w:pPr>
          </w:p>
        </w:tc>
        <w:tc>
          <w:tcPr>
            <w:tcW w:w="1340" w:type="dxa"/>
            <w:vAlign w:val="bottom"/>
            <w:gridSpan w:val="3"/>
          </w:tcPr>
          <w:p>
            <w:pPr>
              <w:ind w:left="960"/>
              <w:spacing w:after="0"/>
              <w:rPr>
                <w:sz w:val="20"/>
                <w:szCs w:val="20"/>
                <w:color w:val="auto"/>
              </w:rPr>
            </w:pPr>
            <w:r>
              <w:rPr>
                <w:rFonts w:ascii="Arial" w:cs="Arial" w:eastAsia="Arial" w:hAnsi="Arial"/>
                <w:sz w:val="18"/>
                <w:szCs w:val="18"/>
                <w:color w:val="auto"/>
              </w:rPr>
              <w:t>—</w:t>
            </w:r>
          </w:p>
        </w:tc>
      </w:tr>
      <w:tr>
        <w:trPr>
          <w:trHeight w:val="210"/>
        </w:trPr>
        <w:tc>
          <w:tcPr>
            <w:tcW w:w="4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DFFCC"/>
            </w:tcBorders>
            <w:shd w:val="clear" w:color="auto" w:fill="CCEEFF"/>
          </w:tcPr>
          <w:p>
            <w:pPr>
              <w:spacing w:after="0"/>
              <w:rPr>
                <w:sz w:val="18"/>
                <w:szCs w:val="18"/>
                <w:color w:val="auto"/>
              </w:rPr>
            </w:pPr>
          </w:p>
        </w:tc>
        <w:tc>
          <w:tcPr>
            <w:tcW w:w="1040" w:type="dxa"/>
            <w:vAlign w:val="bottom"/>
            <w:tcBorders>
              <w:top w:val="single" w:sz="8" w:color="auto"/>
              <w:bottom w:val="single" w:sz="8" w:color="CDFFCC"/>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DFFCC"/>
            </w:tcBorders>
            <w:shd w:val="clear" w:color="auto" w:fill="CCEEFF"/>
          </w:tcPr>
          <w:p>
            <w:pPr>
              <w:spacing w:after="0"/>
              <w:rPr>
                <w:sz w:val="18"/>
                <w:szCs w:val="18"/>
                <w:color w:val="auto"/>
              </w:rPr>
            </w:pPr>
          </w:p>
        </w:tc>
        <w:tc>
          <w:tcPr>
            <w:tcW w:w="1120" w:type="dxa"/>
            <w:vAlign w:val="bottom"/>
            <w:tcBorders>
              <w:top w:val="single" w:sz="8" w:color="auto"/>
              <w:bottom w:val="single" w:sz="8" w:color="CDFFCC"/>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DFFCC"/>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DFFCC"/>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8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128,169,133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106,840,710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485,428</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Center53 phase 1 and phase 2, which is under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commercial real estate held for sale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7"/>
          </w:tcPr>
          <w:p>
            <w:pPr>
              <w:ind w:left="580"/>
              <w:spacing w:after="0"/>
              <w:rPr>
                <w:sz w:val="20"/>
                <w:szCs w:val="20"/>
                <w:color w:val="auto"/>
              </w:rPr>
            </w:pPr>
            <w:r>
              <w:rPr>
                <w:rFonts w:ascii="Arial" w:cs="Arial" w:eastAsia="Arial" w:hAnsi="Arial"/>
                <w:sz w:val="18"/>
                <w:szCs w:val="18"/>
                <w:color w:val="auto"/>
              </w:rPr>
              <w:t>Net Ending Balance</w:t>
            </w:r>
          </w:p>
        </w:tc>
        <w:tc>
          <w:tcPr>
            <w:tcW w:w="3000" w:type="dxa"/>
            <w:vAlign w:val="bottom"/>
            <w:gridSpan w:val="5"/>
          </w:tcPr>
          <w:p>
            <w:pPr>
              <w:ind w:left="740"/>
              <w:spacing w:after="0"/>
              <w:rPr>
                <w:sz w:val="20"/>
                <w:szCs w:val="20"/>
                <w:color w:val="auto"/>
              </w:rPr>
            </w:pPr>
            <w:r>
              <w:rPr>
                <w:rFonts w:ascii="Arial" w:cs="Arial" w:eastAsia="Arial" w:hAnsi="Arial"/>
                <w:sz w:val="18"/>
                <w:szCs w:val="18"/>
                <w:color w:val="auto"/>
              </w:rPr>
              <w:t>Total Square Footage</w:t>
            </w:r>
          </w:p>
        </w:tc>
      </w:t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June 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w w:val="92"/>
              </w:rPr>
              <w:t>December 31</w:t>
            </w:r>
          </w:p>
        </w:tc>
        <w:tc>
          <w:tcPr>
            <w:tcW w:w="1660" w:type="dxa"/>
            <w:vAlign w:val="bottom"/>
            <w:gridSpan w:val="3"/>
          </w:tcPr>
          <w:p>
            <w:pPr>
              <w:ind w:left="380"/>
              <w:spacing w:after="0"/>
              <w:rPr>
                <w:sz w:val="20"/>
                <w:szCs w:val="20"/>
                <w:color w:val="auto"/>
              </w:rPr>
            </w:pPr>
            <w:r>
              <w:rPr>
                <w:rFonts w:ascii="Arial" w:cs="Arial" w:eastAsia="Arial" w:hAnsi="Arial"/>
                <w:sz w:val="18"/>
                <w:szCs w:val="18"/>
                <w:color w:val="auto"/>
              </w:rPr>
              <w:t>June 30</w:t>
            </w:r>
          </w:p>
        </w:tc>
        <w:tc>
          <w:tcPr>
            <w:tcW w:w="1340" w:type="dxa"/>
            <w:vAlign w:val="bottom"/>
            <w:gridSpan w:val="2"/>
          </w:tcPr>
          <w:p>
            <w:pPr>
              <w:ind w:left="180"/>
              <w:spacing w:after="0"/>
              <w:rPr>
                <w:sz w:val="20"/>
                <w:szCs w:val="20"/>
                <w:color w:val="auto"/>
              </w:rPr>
            </w:pPr>
            <w:r>
              <w:rPr>
                <w:rFonts w:ascii="Arial" w:cs="Arial" w:eastAsia="Arial" w:hAnsi="Arial"/>
                <w:sz w:val="18"/>
                <w:szCs w:val="18"/>
                <w:color w:val="auto"/>
              </w:rPr>
              <w:t>December 31</w:t>
            </w:r>
          </w:p>
        </w:tc>
      </w:tr>
      <w:tr>
        <w:trPr>
          <w:trHeight w:val="230"/>
        </w:trPr>
        <w:tc>
          <w:tcPr>
            <w:tcW w:w="48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r>
      <w:tr>
        <w:trPr>
          <w:trHeight w:val="209"/>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Kansas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222,679</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222,679</w:t>
            </w:r>
          </w:p>
        </w:tc>
      </w:tr>
      <w:tr>
        <w:trPr>
          <w:trHeight w:val="216"/>
        </w:trPr>
        <w:tc>
          <w:tcPr>
            <w:tcW w:w="5080" w:type="dxa"/>
            <w:vAlign w:val="bottom"/>
            <w:gridSpan w:val="2"/>
          </w:tcPr>
          <w:p>
            <w:pPr>
              <w:ind w:left="100"/>
              <w:spacing w:after="0"/>
              <w:rPr>
                <w:sz w:val="20"/>
                <w:szCs w:val="20"/>
                <w:color w:val="auto"/>
              </w:rPr>
            </w:pPr>
            <w:r>
              <w:rPr>
                <w:rFonts w:ascii="Arial" w:cs="Arial" w:eastAsia="Arial" w:hAnsi="Arial"/>
                <w:sz w:val="18"/>
                <w:szCs w:val="18"/>
                <w:color w:val="auto"/>
              </w:rPr>
              <w:t>Louisiana</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490,000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53,063</w:t>
            </w:r>
          </w:p>
        </w:tc>
        <w:tc>
          <w:tcPr>
            <w:tcW w:w="320" w:type="dxa"/>
            <w:vAlign w:val="bottom"/>
          </w:tcPr>
          <w:p>
            <w:pPr>
              <w:spacing w:after="0"/>
              <w:rPr>
                <w:sz w:val="18"/>
                <w:szCs w:val="18"/>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Texas (1)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249,000</w:t>
            </w:r>
          </w:p>
        </w:tc>
        <w:tc>
          <w:tcPr>
            <w:tcW w:w="3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gridSpan w:val="2"/>
          </w:tcPr>
          <w:p>
            <w:pPr>
              <w:ind w:left="100"/>
              <w:spacing w:after="0"/>
              <w:rPr>
                <w:sz w:val="20"/>
                <w:szCs w:val="20"/>
                <w:color w:val="auto"/>
              </w:rPr>
            </w:pPr>
            <w:r>
              <w:rPr>
                <w:rFonts w:ascii="Arial" w:cs="Arial" w:eastAsia="Arial" w:hAnsi="Arial"/>
                <w:sz w:val="18"/>
                <w:szCs w:val="18"/>
                <w:color w:val="auto"/>
              </w:rPr>
              <w:t>Mississippi</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151,553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151,553</w:t>
            </w:r>
          </w:p>
        </w:tc>
        <w:tc>
          <w:tcPr>
            <w:tcW w:w="320" w:type="dxa"/>
            <w:vAlign w:val="bottom"/>
          </w:tcPr>
          <w:p>
            <w:pPr>
              <w:spacing w:after="0"/>
              <w:rPr>
                <w:sz w:val="18"/>
                <w:szCs w:val="18"/>
                <w:color w:val="auto"/>
              </w:rPr>
            </w:pPr>
          </w:p>
        </w:tc>
        <w:tc>
          <w:tcPr>
            <w:tcW w:w="166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12,300</w:t>
            </w:r>
          </w:p>
        </w:tc>
      </w:tr>
      <w:tr>
        <w:trPr>
          <w:trHeight w:val="209"/>
        </w:trPr>
        <w:tc>
          <w:tcPr>
            <w:tcW w:w="4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DFFCC"/>
            </w:tcBorders>
            <w:shd w:val="clear" w:color="auto" w:fill="CCEEFF"/>
          </w:tcPr>
          <w:p>
            <w:pPr>
              <w:spacing w:after="0"/>
              <w:rPr>
                <w:sz w:val="18"/>
                <w:szCs w:val="18"/>
                <w:color w:val="auto"/>
              </w:rPr>
            </w:pPr>
          </w:p>
        </w:tc>
        <w:tc>
          <w:tcPr>
            <w:tcW w:w="1020" w:type="dxa"/>
            <w:vAlign w:val="bottom"/>
            <w:tcBorders>
              <w:top w:val="single" w:sz="8" w:color="auto"/>
              <w:bottom w:val="single" w:sz="8" w:color="CDFFCC"/>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DFFCC"/>
            </w:tcBorders>
            <w:shd w:val="clear" w:color="auto" w:fill="CCEEFF"/>
          </w:tcPr>
          <w:p>
            <w:pPr>
              <w:spacing w:after="0"/>
              <w:rPr>
                <w:sz w:val="18"/>
                <w:szCs w:val="18"/>
                <w:color w:val="auto"/>
              </w:rPr>
            </w:pPr>
          </w:p>
        </w:tc>
        <w:tc>
          <w:tcPr>
            <w:tcW w:w="1120" w:type="dxa"/>
            <w:vAlign w:val="bottom"/>
            <w:tcBorders>
              <w:top w:val="single" w:sz="8" w:color="auto"/>
              <w:bottom w:val="single" w:sz="8" w:color="CDFFCC"/>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DFFCC"/>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DFFCC"/>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8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4,890,553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4,400,553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275,742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234,979</w:t>
            </w:r>
          </w:p>
        </w:tc>
        <w:tc>
          <w:tcPr>
            <w:tcW w:w="100" w:type="dxa"/>
            <w:vAlign w:val="bottom"/>
            <w:tcBorders>
              <w:bottom w:val="single" w:sz="8" w:color="CCEEFF"/>
            </w:tcBorders>
          </w:tcPr>
          <w:p>
            <w:pPr>
              <w:spacing w:after="0"/>
              <w:rPr>
                <w:sz w:val="20"/>
                <w:szCs w:val="20"/>
                <w:color w:val="auto"/>
              </w:rPr>
            </w:pPr>
          </w:p>
        </w:tc>
      </w:tr>
      <w:tr>
        <w:trPr>
          <w:trHeight w:val="216"/>
        </w:trPr>
        <w:tc>
          <w:tcPr>
            <w:tcW w:w="4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Improved commercial pad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properties are all actively being marketed with the assistance of commercial real estate brokers in the markets where the properties are located. The Company expects these properties to sell within the coming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Real Estate Held for Investment and Held for Sale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owns a small portfolio of residential homes primarily as a result of loan foreclosures. The Company has the option to sell them or to continue to hold them for cash flow and acceptable returns. The Company also invests in residential subdivision land developments.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ending balance of foreclosed residential real estate included in residential real estate held for investment and sale is $1,828,936 and $4,327,079 as of June 30, 2021 and December 31, 2020, respectively.</w:t>
      </w:r>
    </w:p>
    <w:p>
      <w:pPr>
        <w:spacing w:after="0" w:line="17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color w:val="auto"/>
        </w:rPr>
        <w:t>During the three and six months ended June 30, 2021 and 2020 the Company did not record any impairment losses on residential real estate held for investment or held for sale. Impairment losses, if any, are included in gains (losses) on investment and other assets on the condensed consolidated statements of earnings.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(3) Investments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residential real estate held for investment for the periods presented: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rPr>
              <w:t>Net Ending Balance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r>
      <w:tr>
        <w:trPr>
          <w:trHeight w:val="230"/>
        </w:trPr>
        <w:tc>
          <w:tcPr>
            <w:tcW w:w="7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r>
      <w:tr>
        <w:trPr>
          <w:trHeight w:val="210"/>
        </w:trPr>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Utah (1)</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49,982,332</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24,557,562</w:t>
            </w:r>
          </w:p>
        </w:tc>
      </w:tr>
      <w:tr>
        <w:trPr>
          <w:trHeight w:val="229"/>
        </w:trPr>
        <w:tc>
          <w:tcPr>
            <w:tcW w:w="7500" w:type="dxa"/>
            <w:vAlign w:val="bottom"/>
            <w:gridSpan w:val="2"/>
          </w:tcPr>
          <w:p>
            <w:pPr>
              <w:ind w:left="100"/>
              <w:spacing w:after="0"/>
              <w:rPr>
                <w:sz w:val="20"/>
                <w:szCs w:val="20"/>
                <w:color w:val="auto"/>
              </w:rPr>
            </w:pPr>
            <w:r>
              <w:rPr>
                <w:rFonts w:ascii="Arial" w:cs="Arial" w:eastAsia="Arial" w:hAnsi="Arial"/>
                <w:sz w:val="18"/>
                <w:szCs w:val="18"/>
                <w:color w:val="auto"/>
              </w:rPr>
              <w:t>Washington (2)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286,181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286,181</w:t>
            </w:r>
          </w:p>
        </w:tc>
      </w:tr>
      <w:tr>
        <w:trPr>
          <w:trHeight w:val="230"/>
        </w:trPr>
        <w:tc>
          <w:tcPr>
            <w:tcW w:w="72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50,268,513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24,843,743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subdivision land developments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Improved residential lots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Company’s subdivision land developments in Utah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w w:val="96"/>
              </w:rPr>
              <w:t>December 31</w:t>
            </w:r>
          </w:p>
        </w:tc>
      </w:tr>
      <w:tr>
        <w:trPr>
          <w:trHeight w:val="230"/>
        </w:trPr>
        <w:tc>
          <w:tcPr>
            <w:tcW w:w="446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8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09"/>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Lots available for sale</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Lots to be developed</w:t>
            </w: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Ending Balance (1)</w:t>
            </w:r>
          </w:p>
        </w:tc>
        <w:tc>
          <w:tcPr>
            <w:tcW w:w="3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49,770,193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23,777,478</w:t>
            </w:r>
          </w:p>
        </w:tc>
      </w:tr>
    </w:tbl>
    <w:p>
      <w:pPr>
        <w:spacing w:after="0" w:line="202" w:lineRule="exact"/>
        <w:rPr>
          <w:sz w:val="20"/>
          <w:szCs w:val="20"/>
          <w:color w:val="auto"/>
        </w:rPr>
      </w:pPr>
    </w:p>
    <w:p>
      <w:pPr>
        <w:ind w:left="420" w:right="20" w:hanging="412"/>
        <w:spacing w:after="0" w:line="277"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estimated remaining cost to complete the undeveloped lots is $42,965,000 and $17,354,000 as of June 30, 2021 and December 31, 2020, respectively.</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(3) Investments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residential real estate held for sale for the periods presented: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June 30</w:t>
            </w:r>
          </w:p>
        </w:tc>
        <w:tc>
          <w:tcPr>
            <w:tcW w:w="2180" w:type="dxa"/>
            <w:vAlign w:val="bottom"/>
            <w:gridSpan w:val="4"/>
          </w:tcPr>
          <w:p>
            <w:pPr>
              <w:ind w:left="520"/>
              <w:spacing w:after="0"/>
              <w:rPr>
                <w:sz w:val="20"/>
                <w:szCs w:val="20"/>
                <w:color w:val="auto"/>
              </w:rPr>
            </w:pPr>
            <w:r>
              <w:rPr>
                <w:rFonts w:ascii="Arial" w:cs="Arial" w:eastAsia="Arial" w:hAnsi="Arial"/>
                <w:sz w:val="18"/>
                <w:szCs w:val="18"/>
                <w:color w:val="auto"/>
              </w:rPr>
              <w:t>Net Ending Balance</w:t>
            </w:r>
          </w:p>
        </w:tc>
        <w:tc>
          <w:tcPr>
            <w:tcW w:w="1920" w:type="dxa"/>
            <w:vAlign w:val="bottom"/>
            <w:gridSpan w:val="2"/>
            <w:vMerge w:val="restart"/>
          </w:tcPr>
          <w:p>
            <w:pPr>
              <w:jc w:val="right"/>
              <w:ind w:right="7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2"/>
        </w:trPr>
        <w:tc>
          <w:tcPr>
            <w:tcW w:w="2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2440" w:type="dxa"/>
            <w:vAlign w:val="bottom"/>
            <w:gridSpan w:val="2"/>
          </w:tcPr>
          <w:p>
            <w:pPr>
              <w:jc w:val="right"/>
              <w:ind w:right="90"/>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jc w:val="right"/>
              <w:ind w:right="89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Nevada</w:t>
            </w:r>
          </w:p>
        </w:tc>
        <w:tc>
          <w:tcPr>
            <w:tcW w:w="8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979,640</w:t>
            </w: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979,640</w:t>
            </w:r>
          </w:p>
        </w:tc>
        <w:tc>
          <w:tcPr>
            <w:tcW w:w="0" w:type="dxa"/>
            <w:vAlign w:val="bottom"/>
          </w:tcPr>
          <w:p>
            <w:pPr>
              <w:spacing w:after="0"/>
              <w:rPr>
                <w:sz w:val="1"/>
                <w:szCs w:val="1"/>
                <w:color w:val="auto"/>
              </w:rPr>
            </w:pPr>
          </w:p>
        </w:tc>
      </w:tr>
      <w:tr>
        <w:trPr>
          <w:trHeight w:val="216"/>
        </w:trPr>
        <w:tc>
          <w:tcPr>
            <w:tcW w:w="2440" w:type="dxa"/>
            <w:vAlign w:val="bottom"/>
          </w:tcPr>
          <w:p>
            <w:pPr>
              <w:ind w:left="100"/>
              <w:spacing w:after="0"/>
              <w:rPr>
                <w:sz w:val="20"/>
                <w:szCs w:val="20"/>
                <w:color w:val="auto"/>
              </w:rPr>
            </w:pPr>
            <w:r>
              <w:rPr>
                <w:rFonts w:ascii="Arial" w:cs="Arial" w:eastAsia="Arial" w:hAnsi="Arial"/>
                <w:sz w:val="18"/>
                <w:szCs w:val="18"/>
                <w:color w:val="auto"/>
              </w:rPr>
              <w:t>Florida</w:t>
            </w: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340,971</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744,322</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Ohio</w:t>
            </w: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2440" w:type="dxa"/>
            <w:vAlign w:val="bottom"/>
          </w:tcPr>
          <w:p>
            <w:pPr>
              <w:ind w:left="100"/>
              <w:spacing w:after="0"/>
              <w:rPr>
                <w:sz w:val="20"/>
                <w:szCs w:val="20"/>
                <w:color w:val="auto"/>
              </w:rPr>
            </w:pPr>
            <w:r>
              <w:rPr>
                <w:rFonts w:ascii="Arial" w:cs="Arial" w:eastAsia="Arial" w:hAnsi="Arial"/>
                <w:sz w:val="18"/>
                <w:szCs w:val="18"/>
                <w:color w:val="auto"/>
              </w:rPr>
              <w:t>Utah</w:t>
            </w:r>
          </w:p>
        </w:tc>
        <w:tc>
          <w:tcPr>
            <w:tcW w:w="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1,744,292</w:t>
            </w:r>
          </w:p>
        </w:tc>
        <w:tc>
          <w:tcPr>
            <w:tcW w:w="0" w:type="dxa"/>
            <w:vAlign w:val="bottom"/>
          </w:tcPr>
          <w:p>
            <w:pPr>
              <w:spacing w:after="0"/>
              <w:rPr>
                <w:sz w:val="1"/>
                <w:szCs w:val="1"/>
                <w:color w:val="auto"/>
              </w:rPr>
            </w:pPr>
          </w:p>
        </w:tc>
      </w:tr>
      <w:tr>
        <w:trPr>
          <w:trHeight w:val="263"/>
        </w:trPr>
        <w:tc>
          <w:tcPr>
            <w:tcW w:w="2440" w:type="dxa"/>
            <w:vAlign w:val="bottom"/>
            <w:tcBorders>
              <w:top w:val="single" w:sz="8" w:color="CDFFCC"/>
              <w:bottom w:val="single" w:sz="8" w:color="CDFFCC"/>
            </w:tcBorders>
            <w:shd w:val="clear" w:color="auto" w:fill="CCEEFF"/>
          </w:tcPr>
          <w:p>
            <w:pPr>
              <w:spacing w:after="0"/>
              <w:rPr>
                <w:sz w:val="22"/>
                <w:szCs w:val="22"/>
                <w:color w:val="auto"/>
              </w:rPr>
            </w:pPr>
          </w:p>
        </w:tc>
        <w:tc>
          <w:tcPr>
            <w:tcW w:w="820" w:type="dxa"/>
            <w:vAlign w:val="bottom"/>
            <w:tcBorders>
              <w:top w:val="single" w:sz="8" w:color="CCEEFF"/>
              <w:bottom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1,330,611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3,478,254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properties are all actively being marketed with the assistance of residential real estate brokers in the markets where the properties are located. The Company expects these properties to sell within the coming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Owned and Occupied by the Company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business units of the Company occupy a portion of the real estate owned by the Company. As of June 30, 2021, real estate owned and occupied by the Company is summarized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w w:val="89"/>
              </w:rPr>
              <w:t>Square Footage Occupied by the</w:t>
            </w:r>
          </w:p>
        </w:tc>
      </w:tr>
      <w:tr>
        <w:trPr>
          <w:trHeight w:val="230"/>
        </w:trPr>
        <w:tc>
          <w:tcPr>
            <w:tcW w:w="3040" w:type="dxa"/>
            <w:vAlign w:val="bottom"/>
            <w:gridSpan w:val="3"/>
          </w:tcPr>
          <w:p>
            <w:pPr>
              <w:spacing w:after="0"/>
              <w:rPr>
                <w:sz w:val="20"/>
                <w:szCs w:val="20"/>
                <w:color w:val="auto"/>
              </w:rPr>
            </w:pPr>
            <w:r>
              <w:rPr>
                <w:rFonts w:ascii="Arial" w:cs="Arial" w:eastAsia="Arial" w:hAnsi="Arial"/>
                <w:sz w:val="18"/>
                <w:szCs w:val="18"/>
                <w:color w:val="auto"/>
              </w:rPr>
              <w:t>Location</w:t>
            </w:r>
          </w:p>
        </w:tc>
        <w:tc>
          <w:tcPr>
            <w:tcW w:w="2900" w:type="dxa"/>
            <w:vAlign w:val="bottom"/>
            <w:gridSpan w:val="2"/>
          </w:tcPr>
          <w:p>
            <w:pPr>
              <w:spacing w:after="0"/>
              <w:rPr>
                <w:sz w:val="20"/>
                <w:szCs w:val="20"/>
                <w:color w:val="auto"/>
              </w:rPr>
            </w:pPr>
            <w:r>
              <w:rPr>
                <w:rFonts w:ascii="Arial" w:cs="Arial" w:eastAsia="Arial" w:hAnsi="Arial"/>
                <w:sz w:val="18"/>
                <w:szCs w:val="18"/>
                <w:color w:val="auto"/>
              </w:rPr>
              <w:t>Business Segment</w:t>
            </w: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rPr>
              <w:t>Approximate Square Footage</w:t>
            </w:r>
          </w:p>
        </w:tc>
        <w:tc>
          <w:tcPr>
            <w:tcW w:w="2400" w:type="dxa"/>
            <w:vAlign w:val="bottom"/>
          </w:tcPr>
          <w:p>
            <w:pPr>
              <w:jc w:val="right"/>
              <w:ind w:right="770"/>
              <w:spacing w:after="0"/>
              <w:rPr>
                <w:sz w:val="20"/>
                <w:szCs w:val="20"/>
                <w:color w:val="auto"/>
              </w:rPr>
            </w:pPr>
            <w:r>
              <w:rPr>
                <w:rFonts w:ascii="Arial" w:cs="Arial" w:eastAsia="Arial" w:hAnsi="Arial"/>
                <w:sz w:val="18"/>
                <w:szCs w:val="18"/>
                <w:color w:val="auto"/>
              </w:rPr>
              <w:t>Company</w:t>
            </w:r>
          </w:p>
        </w:tc>
      </w:tr>
      <w:tr>
        <w:trPr>
          <w:trHeight w:val="195"/>
        </w:trPr>
        <w:tc>
          <w:tcPr>
            <w:tcW w:w="480" w:type="dxa"/>
            <w:vAlign w:val="bottom"/>
            <w:tcBorders>
              <w:top w:val="single" w:sz="8" w:color="auto"/>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Corporate Offices, Life</w:t>
            </w:r>
          </w:p>
        </w:tc>
        <w:tc>
          <w:tcPr>
            <w:tcW w:w="56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r>
      <w:tr>
        <w:trPr>
          <w:trHeight w:val="216"/>
        </w:trPr>
        <w:tc>
          <w:tcPr>
            <w:tcW w:w="4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Insurance and</w:t>
            </w:r>
          </w:p>
        </w:tc>
        <w:tc>
          <w:tcPr>
            <w:tcW w:w="2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Cemetery/Mortuary</w:t>
            </w:r>
          </w:p>
        </w:tc>
        <w:tc>
          <w:tcPr>
            <w:tcW w:w="2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30"/>
        </w:trPr>
        <w:tc>
          <w:tcPr>
            <w:tcW w:w="3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121 W. Election Rd., Draper, UT</w:t>
            </w: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Operations</w:t>
            </w: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78,979</w:t>
            </w:r>
          </w:p>
        </w:tc>
        <w:tc>
          <w:tcPr>
            <w:tcW w:w="560" w:type="dxa"/>
            <w:vAlign w:val="bottom"/>
            <w:shd w:val="clear" w:color="auto" w:fill="CCEEFF"/>
          </w:tcPr>
          <w:p>
            <w:pPr>
              <w:spacing w:after="0"/>
              <w:rPr>
                <w:sz w:val="20"/>
                <w:szCs w:val="20"/>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2"/>
        </w:trPr>
        <w:tc>
          <w:tcPr>
            <w:tcW w:w="480" w:type="dxa"/>
            <w:vAlign w:val="bottom"/>
          </w:tcPr>
          <w:p>
            <w:pPr>
              <w:ind w:left="100"/>
              <w:spacing w:after="0" w:line="201" w:lineRule="exact"/>
              <w:rPr>
                <w:sz w:val="20"/>
                <w:szCs w:val="20"/>
                <w:color w:val="auto"/>
              </w:rPr>
            </w:pPr>
            <w:r>
              <w:rPr>
                <w:rFonts w:ascii="Arial" w:cs="Arial" w:eastAsia="Arial" w:hAnsi="Arial"/>
                <w:sz w:val="18"/>
                <w:szCs w:val="18"/>
                <w:color w:val="auto"/>
                <w:w w:val="89"/>
              </w:rPr>
              <w:t>5201</w:t>
            </w:r>
          </w:p>
        </w:tc>
        <w:tc>
          <w:tcPr>
            <w:tcW w:w="25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Green Street, Salt Lake</w:t>
            </w:r>
          </w:p>
        </w:tc>
        <w:tc>
          <w:tcPr>
            <w:tcW w:w="29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Life Insurance and Mortgage</w:t>
            </w:r>
          </w:p>
        </w:tc>
        <w:tc>
          <w:tcPr>
            <w:tcW w:w="2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30"/>
        </w:trPr>
        <w:tc>
          <w:tcPr>
            <w:tcW w:w="3040" w:type="dxa"/>
            <w:vAlign w:val="bottom"/>
            <w:gridSpan w:val="3"/>
          </w:tcPr>
          <w:p>
            <w:pPr>
              <w:ind w:left="100"/>
              <w:spacing w:after="0"/>
              <w:rPr>
                <w:sz w:val="20"/>
                <w:szCs w:val="20"/>
                <w:color w:val="auto"/>
              </w:rPr>
            </w:pPr>
            <w:r>
              <w:rPr>
                <w:rFonts w:ascii="Arial" w:cs="Arial" w:eastAsia="Arial" w:hAnsi="Arial"/>
                <w:sz w:val="18"/>
                <w:szCs w:val="18"/>
                <w:color w:val="auto"/>
              </w:rPr>
              <w:t>City, UT (1)</w:t>
            </w:r>
          </w:p>
        </w:tc>
        <w:tc>
          <w:tcPr>
            <w:tcW w:w="2900" w:type="dxa"/>
            <w:vAlign w:val="bottom"/>
            <w:gridSpan w:val="2"/>
          </w:tcPr>
          <w:p>
            <w:pPr>
              <w:ind w:left="80"/>
              <w:spacing w:after="0"/>
              <w:rPr>
                <w:sz w:val="20"/>
                <w:szCs w:val="20"/>
                <w:color w:val="auto"/>
              </w:rPr>
            </w:pPr>
            <w:r>
              <w:rPr>
                <w:rFonts w:ascii="Arial" w:cs="Arial" w:eastAsia="Arial" w:hAnsi="Arial"/>
                <w:sz w:val="18"/>
                <w:szCs w:val="18"/>
                <w:color w:val="auto"/>
              </w:rPr>
              <w:t>Operations</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39,157</w:t>
            </w:r>
          </w:p>
        </w:tc>
        <w:tc>
          <w:tcPr>
            <w:tcW w:w="56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2"/>
        </w:trPr>
        <w:tc>
          <w:tcPr>
            <w:tcW w:w="4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89"/>
              </w:rPr>
              <w:t>1044</w:t>
            </w:r>
          </w:p>
        </w:tc>
        <w:tc>
          <w:tcPr>
            <w:tcW w:w="25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River Oaks Dr., Flowood,</w:t>
            </w:r>
          </w:p>
        </w:tc>
        <w:tc>
          <w:tcPr>
            <w:tcW w:w="2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r>
      <w:tr>
        <w:trPr>
          <w:trHeight w:val="230"/>
        </w:trPr>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MS</w:t>
            </w:r>
          </w:p>
        </w:tc>
        <w:tc>
          <w:tcPr>
            <w:tcW w:w="2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Life Insurance Operations</w:t>
            </w: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19,694</w:t>
            </w:r>
          </w:p>
        </w:tc>
        <w:tc>
          <w:tcPr>
            <w:tcW w:w="560" w:type="dxa"/>
            <w:vAlign w:val="bottom"/>
            <w:shd w:val="clear" w:color="auto" w:fill="CCEEFF"/>
          </w:tcPr>
          <w:p>
            <w:pPr>
              <w:spacing w:after="0"/>
              <w:rPr>
                <w:sz w:val="20"/>
                <w:szCs w:val="20"/>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2"/>
        </w:trPr>
        <w:tc>
          <w:tcPr>
            <w:tcW w:w="480" w:type="dxa"/>
            <w:vAlign w:val="bottom"/>
          </w:tcPr>
          <w:p>
            <w:pPr>
              <w:ind w:left="100"/>
              <w:spacing w:after="0" w:line="201" w:lineRule="exact"/>
              <w:rPr>
                <w:sz w:val="20"/>
                <w:szCs w:val="20"/>
                <w:color w:val="auto"/>
              </w:rPr>
            </w:pPr>
            <w:r>
              <w:rPr>
                <w:rFonts w:ascii="Arial" w:cs="Arial" w:eastAsia="Arial" w:hAnsi="Arial"/>
                <w:sz w:val="18"/>
                <w:szCs w:val="18"/>
                <w:color w:val="auto"/>
                <w:w w:val="89"/>
              </w:rPr>
              <w:t>1818</w:t>
            </w:r>
          </w:p>
        </w:tc>
        <w:tc>
          <w:tcPr>
            <w:tcW w:w="25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Marshall Street,</w:t>
            </w:r>
          </w:p>
        </w:tc>
        <w:tc>
          <w:tcPr>
            <w:tcW w:w="2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30"/>
        </w:trPr>
        <w:tc>
          <w:tcPr>
            <w:tcW w:w="3040" w:type="dxa"/>
            <w:vAlign w:val="bottom"/>
            <w:gridSpan w:val="3"/>
          </w:tcPr>
          <w:p>
            <w:pPr>
              <w:ind w:left="100"/>
              <w:spacing w:after="0"/>
              <w:rPr>
                <w:sz w:val="20"/>
                <w:szCs w:val="20"/>
                <w:color w:val="auto"/>
              </w:rPr>
            </w:pPr>
            <w:r>
              <w:rPr>
                <w:rFonts w:ascii="Arial" w:cs="Arial" w:eastAsia="Arial" w:hAnsi="Arial"/>
                <w:sz w:val="18"/>
                <w:szCs w:val="18"/>
                <w:color w:val="auto"/>
              </w:rPr>
              <w:t>Shreveport, LA (1)</w:t>
            </w:r>
          </w:p>
        </w:tc>
        <w:tc>
          <w:tcPr>
            <w:tcW w:w="2900" w:type="dxa"/>
            <w:vAlign w:val="bottom"/>
            <w:gridSpan w:val="2"/>
          </w:tcPr>
          <w:p>
            <w:pPr>
              <w:ind w:left="80"/>
              <w:spacing w:after="0"/>
              <w:rPr>
                <w:sz w:val="20"/>
                <w:szCs w:val="20"/>
                <w:color w:val="auto"/>
              </w:rPr>
            </w:pPr>
            <w:r>
              <w:rPr>
                <w:rFonts w:ascii="Arial" w:cs="Arial" w:eastAsia="Arial" w:hAnsi="Arial"/>
                <w:sz w:val="18"/>
                <w:szCs w:val="18"/>
                <w:color w:val="auto"/>
              </w:rPr>
              <w:t>Life Insurance Operations</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12,274</w:t>
            </w:r>
          </w:p>
        </w:tc>
        <w:tc>
          <w:tcPr>
            <w:tcW w:w="56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2"/>
        </w:trPr>
        <w:tc>
          <w:tcPr>
            <w:tcW w:w="30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909 Foisy Street, Alexandria,</w:t>
            </w:r>
          </w:p>
        </w:tc>
        <w:tc>
          <w:tcPr>
            <w:tcW w:w="2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r>
      <w:tr>
        <w:trPr>
          <w:trHeight w:val="230"/>
        </w:trPr>
        <w:tc>
          <w:tcPr>
            <w:tcW w:w="3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LA (1)</w:t>
            </w: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Life Insurance Sales</w:t>
            </w: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8,059</w:t>
            </w:r>
          </w:p>
        </w:tc>
        <w:tc>
          <w:tcPr>
            <w:tcW w:w="560" w:type="dxa"/>
            <w:vAlign w:val="bottom"/>
            <w:shd w:val="clear" w:color="auto" w:fill="CCEEFF"/>
          </w:tcPr>
          <w:p>
            <w:pPr>
              <w:spacing w:after="0"/>
              <w:rPr>
                <w:sz w:val="20"/>
                <w:szCs w:val="20"/>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2"/>
        </w:trPr>
        <w:tc>
          <w:tcPr>
            <w:tcW w:w="30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812 Sheppard Street, Minden,</w:t>
            </w:r>
          </w:p>
        </w:tc>
        <w:tc>
          <w:tcPr>
            <w:tcW w:w="2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30"/>
        </w:trPr>
        <w:tc>
          <w:tcPr>
            <w:tcW w:w="3040" w:type="dxa"/>
            <w:vAlign w:val="bottom"/>
            <w:gridSpan w:val="3"/>
          </w:tcPr>
          <w:p>
            <w:pPr>
              <w:ind w:left="100"/>
              <w:spacing w:after="0"/>
              <w:rPr>
                <w:sz w:val="20"/>
                <w:szCs w:val="20"/>
                <w:color w:val="auto"/>
              </w:rPr>
            </w:pPr>
            <w:r>
              <w:rPr>
                <w:rFonts w:ascii="Arial" w:cs="Arial" w:eastAsia="Arial" w:hAnsi="Arial"/>
                <w:sz w:val="18"/>
                <w:szCs w:val="18"/>
                <w:color w:val="auto"/>
              </w:rPr>
              <w:t>LA (1)</w:t>
            </w:r>
          </w:p>
        </w:tc>
        <w:tc>
          <w:tcPr>
            <w:tcW w:w="2900" w:type="dxa"/>
            <w:vAlign w:val="bottom"/>
            <w:gridSpan w:val="2"/>
          </w:tcPr>
          <w:p>
            <w:pPr>
              <w:ind w:left="80"/>
              <w:spacing w:after="0"/>
              <w:rPr>
                <w:sz w:val="20"/>
                <w:szCs w:val="20"/>
                <w:color w:val="auto"/>
              </w:rPr>
            </w:pPr>
            <w:r>
              <w:rPr>
                <w:rFonts w:ascii="Arial" w:cs="Arial" w:eastAsia="Arial" w:hAnsi="Arial"/>
                <w:sz w:val="18"/>
                <w:szCs w:val="18"/>
                <w:color w:val="auto"/>
              </w:rPr>
              <w:t>Life Insurance Sales</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1,560</w:t>
            </w:r>
          </w:p>
        </w:tc>
        <w:tc>
          <w:tcPr>
            <w:tcW w:w="56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1550</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 3rd Street, Jena, LA (1)</w:t>
            </w: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Life Insurance Sales</w:t>
            </w: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56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Included in property and equipment on the condensed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 Held for Investment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Mortgage loans held for investment consist of first and second mortgages. The mortgage loans bear interest at rates ranging from 2.0%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June 30,2021, the Company had 60%, 13%, 8%, 4%, 3%,2%, 2% and 2% of its mortgage loans from borrowers located in the states of Utah, Florida, Texas,Nevada, Arizona, Colorado, Hawaii, and Louisiana, respectively. At December 31, 2020, the Company had 57%, 13%, 9%, 4%, 3% and 3% of its mortgage loans from borrowers located in the states of Utah, Florida, Texas, California, Nevada and Arizona, respectively.</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Mortgage loans held for investment are carried at their unpaid principal balances adjusted for net deferred fees, charge-offs, premiums, discounts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or held for sale.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Commercial</w:t>
      </w:r>
      <w:r>
        <w:rPr>
          <w:rFonts w:ascii="Arial" w:cs="Arial" w:eastAsia="Arial" w:hAnsi="Arial"/>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Secured by family dwelling units. These loans are secured by first mortgages on the unit, which are generally the primary residence of the borrower, generally at a loan-to-value ratio (“LTV”) of 80% or less.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Residential construction (including land acquisition and development)</w:t>
      </w:r>
      <w:r>
        <w:rPr>
          <w:rFonts w:ascii="Arial" w:cs="Arial" w:eastAsia="Arial" w:hAnsi="Arial"/>
          <w:sz w:val="17"/>
          <w:szCs w:val="17"/>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The Company establishes a valuation allowance for credit losses in its mortgage loans held for investment portfolio. The following is a summary of the allowance for loan losses as a contra-asset account for the periods presented: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Construction</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210"/>
        </w:trPr>
        <w:tc>
          <w:tcPr>
            <w:tcW w:w="4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June 30, 2021</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Allowance for credit losses: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Beginning balance - January 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187,129</w:t>
            </w: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1,774,796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43,202</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2,005,127</w:t>
            </w:r>
          </w:p>
        </w:tc>
      </w:tr>
      <w:tr>
        <w:trPr>
          <w:trHeight w:val="216"/>
        </w:trPr>
        <w:tc>
          <w:tcPr>
            <w:tcW w:w="4840" w:type="dxa"/>
            <w:vAlign w:val="bottom"/>
          </w:tcPr>
          <w:p>
            <w:pPr>
              <w:ind w:left="240"/>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(104,192)</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(104,192)</w:t>
            </w:r>
          </w:p>
        </w:tc>
      </w:tr>
      <w:tr>
        <w:trPr>
          <w:trHeight w:val="230"/>
        </w:trPr>
        <w:tc>
          <w:tcPr>
            <w:tcW w:w="4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Ending balance - June 30,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187,129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1,670,604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1,900,935</w:t>
            </w:r>
          </w:p>
        </w:tc>
        <w:tc>
          <w:tcPr>
            <w:tcW w:w="100" w:type="dxa"/>
            <w:vAlign w:val="bottom"/>
            <w:tcBorders>
              <w:bottom w:val="single" w:sz="8" w:color="CCEEFF"/>
            </w:tcBorders>
          </w:tcPr>
          <w:p>
            <w:pPr>
              <w:spacing w:after="0"/>
              <w:rPr>
                <w:sz w:val="20"/>
                <w:szCs w:val="20"/>
                <w:color w:val="auto"/>
              </w:rPr>
            </w:pPr>
          </w:p>
        </w:tc>
      </w:tr>
      <w:tr>
        <w:trPr>
          <w:trHeight w:val="216"/>
        </w:trPr>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0"/>
        </w:trPr>
        <w:tc>
          <w:tcPr>
            <w:tcW w:w="4840" w:type="dxa"/>
            <w:vAlign w:val="bottom"/>
          </w:tcPr>
          <w:p>
            <w:pPr>
              <w:ind w:left="100"/>
              <w:spacing w:after="0"/>
              <w:rPr>
                <w:sz w:val="20"/>
                <w:szCs w:val="20"/>
                <w:color w:val="auto"/>
              </w:rPr>
            </w:pPr>
            <w:r>
              <w:rPr>
                <w:rFonts w:ascii="Arial" w:cs="Arial" w:eastAsia="Arial" w:hAnsi="Arial"/>
                <w:sz w:val="18"/>
                <w:szCs w:val="18"/>
                <w:color w:val="auto"/>
              </w:rPr>
              <w:t>Ending balance: individually evaluated for impairment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192,266</w:t>
            </w:r>
          </w:p>
        </w:tc>
        <w:tc>
          <w:tcPr>
            <w:tcW w:w="3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192,266</w:t>
            </w:r>
          </w:p>
        </w:tc>
      </w:tr>
      <w:tr>
        <w:trPr>
          <w:trHeight w:val="216"/>
        </w:trPr>
        <w:tc>
          <w:tcPr>
            <w:tcW w:w="4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4840" w:type="dxa"/>
            <w:vAlign w:val="bottom"/>
          </w:tcPr>
          <w:p>
            <w:pPr>
              <w:ind w:left="100"/>
              <w:spacing w:after="0"/>
              <w:rPr>
                <w:sz w:val="20"/>
                <w:szCs w:val="20"/>
                <w:color w:val="auto"/>
              </w:rPr>
            </w:pPr>
            <w:r>
              <w:rPr>
                <w:rFonts w:ascii="Arial" w:cs="Arial" w:eastAsia="Arial" w:hAnsi="Arial"/>
                <w:sz w:val="18"/>
                <w:szCs w:val="18"/>
                <w:color w:val="auto"/>
              </w:rPr>
              <w:t>Ending balance: collectively evaluated for impairment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187,129</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1,478,338</w:t>
            </w:r>
          </w:p>
        </w:tc>
        <w:tc>
          <w:tcPr>
            <w:tcW w:w="3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43,202</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1,708,669</w:t>
            </w:r>
          </w:p>
        </w:tc>
      </w:tr>
      <w:tr>
        <w:trPr>
          <w:trHeight w:val="216"/>
        </w:trPr>
        <w:tc>
          <w:tcPr>
            <w:tcW w:w="4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Mortgage loans: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47,440,235</w:t>
            </w: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83,195,347</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135,728,280</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266,363,862</w:t>
            </w:r>
          </w:p>
        </w:tc>
      </w:tr>
      <w:tr>
        <w:trPr>
          <w:trHeight w:val="216"/>
        </w:trPr>
        <w:tc>
          <w:tcPr>
            <w:tcW w:w="48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Ending balance: individually evaluated for impairment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848,464</w:t>
            </w: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3,676,282</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200,963</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4,725,709</w:t>
            </w:r>
          </w:p>
        </w:tc>
      </w:tr>
      <w:tr>
        <w:trPr>
          <w:trHeight w:val="216"/>
        </w:trPr>
        <w:tc>
          <w:tcPr>
            <w:tcW w:w="48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Ending balance: collectively evaluated for impairment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46,591,771</w:t>
            </w: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79,519,065</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135,527,317</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261,638,153</w:t>
            </w:r>
          </w:p>
        </w:tc>
      </w:tr>
      <w:tr>
        <w:trPr>
          <w:trHeight w:val="216"/>
        </w:trPr>
        <w:tc>
          <w:tcPr>
            <w:tcW w:w="48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31, 2020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Allowance for credit losses: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Beginning balance - January 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187,129</w:t>
            </w: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1,222,706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43,202</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1,453,037</w:t>
            </w:r>
          </w:p>
        </w:tc>
      </w:tr>
      <w:tr>
        <w:trPr>
          <w:trHeight w:val="216"/>
        </w:trPr>
        <w:tc>
          <w:tcPr>
            <w:tcW w:w="4840" w:type="dxa"/>
            <w:vAlign w:val="bottom"/>
          </w:tcPr>
          <w:p>
            <w:pPr>
              <w:ind w:left="240"/>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552,090</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552,090</w:t>
            </w:r>
          </w:p>
        </w:tc>
      </w:tr>
      <w:tr>
        <w:trPr>
          <w:trHeight w:val="230"/>
        </w:trPr>
        <w:tc>
          <w:tcPr>
            <w:tcW w:w="4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187,129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1,774,796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2,005,127</w:t>
            </w:r>
          </w:p>
        </w:tc>
        <w:tc>
          <w:tcPr>
            <w:tcW w:w="100" w:type="dxa"/>
            <w:vAlign w:val="bottom"/>
            <w:tcBorders>
              <w:bottom w:val="single" w:sz="8" w:color="CCEEFF"/>
            </w:tcBorders>
          </w:tcPr>
          <w:p>
            <w:pPr>
              <w:spacing w:after="0"/>
              <w:rPr>
                <w:sz w:val="20"/>
                <w:szCs w:val="20"/>
                <w:color w:val="auto"/>
              </w:rPr>
            </w:pPr>
          </w:p>
        </w:tc>
      </w:tr>
      <w:tr>
        <w:trPr>
          <w:trHeight w:val="216"/>
        </w:trPr>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0"/>
        </w:trPr>
        <w:tc>
          <w:tcPr>
            <w:tcW w:w="4840" w:type="dxa"/>
            <w:vAlign w:val="bottom"/>
          </w:tcPr>
          <w:p>
            <w:pPr>
              <w:ind w:left="100"/>
              <w:spacing w:after="0"/>
              <w:rPr>
                <w:sz w:val="20"/>
                <w:szCs w:val="20"/>
                <w:color w:val="auto"/>
              </w:rPr>
            </w:pPr>
            <w:r>
              <w:rPr>
                <w:rFonts w:ascii="Arial" w:cs="Arial" w:eastAsia="Arial" w:hAnsi="Arial"/>
                <w:sz w:val="18"/>
                <w:szCs w:val="18"/>
                <w:color w:val="auto"/>
              </w:rPr>
              <w:t>Ending balance: individually evaluated for impairment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219,905</w:t>
            </w:r>
          </w:p>
        </w:tc>
        <w:tc>
          <w:tcPr>
            <w:tcW w:w="3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219,905</w:t>
            </w:r>
          </w:p>
        </w:tc>
      </w:tr>
      <w:tr>
        <w:trPr>
          <w:trHeight w:val="216"/>
        </w:trPr>
        <w:tc>
          <w:tcPr>
            <w:tcW w:w="4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4840" w:type="dxa"/>
            <w:vAlign w:val="bottom"/>
          </w:tcPr>
          <w:p>
            <w:pPr>
              <w:ind w:left="100"/>
              <w:spacing w:after="0"/>
              <w:rPr>
                <w:sz w:val="20"/>
                <w:szCs w:val="20"/>
                <w:color w:val="auto"/>
              </w:rPr>
            </w:pPr>
            <w:r>
              <w:rPr>
                <w:rFonts w:ascii="Arial" w:cs="Arial" w:eastAsia="Arial" w:hAnsi="Arial"/>
                <w:sz w:val="18"/>
                <w:szCs w:val="18"/>
                <w:color w:val="auto"/>
              </w:rPr>
              <w:t>Ending balance: collectively evaluated for impairment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187,129</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1,554,891</w:t>
            </w:r>
          </w:p>
        </w:tc>
        <w:tc>
          <w:tcPr>
            <w:tcW w:w="3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43,202</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1,785,222</w:t>
            </w:r>
          </w:p>
        </w:tc>
      </w:tr>
      <w:tr>
        <w:trPr>
          <w:trHeight w:val="216"/>
        </w:trPr>
        <w:tc>
          <w:tcPr>
            <w:tcW w:w="4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Mortgage loans: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Ending balance -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46,836,866</w:t>
            </w: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111,111,777</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95,822,448</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253,771,091</w:t>
            </w:r>
          </w:p>
        </w:tc>
      </w:tr>
      <w:tr>
        <w:trPr>
          <w:trHeight w:val="216"/>
        </w:trPr>
        <w:tc>
          <w:tcPr>
            <w:tcW w:w="48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Ending balance: individually evaluated for impairment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2,148,827</w:t>
            </w: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7,932,680</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200,963</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10,282,470</w:t>
            </w:r>
          </w:p>
        </w:tc>
      </w:tr>
      <w:tr>
        <w:trPr>
          <w:trHeight w:val="216"/>
        </w:trPr>
        <w:tc>
          <w:tcPr>
            <w:tcW w:w="48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Ending balance: collectively evaluated for impairment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44,688,039</w:t>
            </w: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103,179,097</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95,621,485</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243,488,621</w:t>
            </w:r>
          </w:p>
        </w:tc>
      </w:tr>
      <w:tr>
        <w:trPr>
          <w:trHeight w:val="972"/>
        </w:trPr>
        <w:tc>
          <w:tcPr>
            <w:tcW w:w="48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(3) Investments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aging of mortgage loans held for investment for the periods presented: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Residential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Commercial</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Construction</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210"/>
        </w:trPr>
        <w:tc>
          <w:tcPr>
            <w:tcW w:w="4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June 30, 2021</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4840" w:type="dxa"/>
            <w:vAlign w:val="bottom"/>
          </w:tcPr>
          <w:p>
            <w:pPr>
              <w:ind w:left="160"/>
              <w:spacing w:after="0"/>
              <w:rPr>
                <w:sz w:val="20"/>
                <w:szCs w:val="20"/>
                <w:color w:val="auto"/>
              </w:rPr>
            </w:pPr>
            <w:r>
              <w:rPr>
                <w:rFonts w:ascii="Arial" w:cs="Arial" w:eastAsia="Arial" w:hAnsi="Arial"/>
                <w:sz w:val="18"/>
                <w:szCs w:val="18"/>
                <w:color w:val="auto"/>
              </w:rPr>
              <w:t>30-59 Days Past Due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6,000,000</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4,328,577</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494,665</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10,823,242</w:t>
            </w:r>
          </w:p>
        </w:tc>
      </w:tr>
      <w:tr>
        <w:trPr>
          <w:trHeight w:val="216"/>
        </w:trPr>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60-89 Days Past Due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554,638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3,338,670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965,186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4,858,494</w:t>
            </w:r>
          </w:p>
        </w:tc>
      </w:tr>
      <w:tr>
        <w:trPr>
          <w:trHeight w:val="216"/>
        </w:trPr>
        <w:tc>
          <w:tcPr>
            <w:tcW w:w="4840" w:type="dxa"/>
            <w:vAlign w:val="bottom"/>
          </w:tcPr>
          <w:p>
            <w:pPr>
              <w:ind w:left="160"/>
              <w:spacing w:after="0"/>
              <w:rPr>
                <w:sz w:val="20"/>
                <w:szCs w:val="20"/>
                <w:color w:val="auto"/>
              </w:rPr>
            </w:pPr>
            <w:r>
              <w:rPr>
                <w:rFonts w:ascii="Arial" w:cs="Arial" w:eastAsia="Arial" w:hAnsi="Arial"/>
                <w:sz w:val="18"/>
                <w:szCs w:val="18"/>
                <w:color w:val="auto"/>
              </w:rPr>
              <w:t>Greater Than 90 Days (1)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599,291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2,433,426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3,032,717</w:t>
            </w:r>
          </w:p>
        </w:tc>
      </w:tr>
      <w:tr>
        <w:trPr>
          <w:trHeight w:val="230"/>
        </w:trPr>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Process of Foreclosure (1)</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249,173</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1,242,856</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200,963</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1,692,992</w:t>
            </w:r>
          </w:p>
        </w:tc>
      </w:tr>
      <w:tr>
        <w:trPr>
          <w:trHeight w:val="209"/>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Past Due</w:t>
            </w:r>
          </w:p>
        </w:tc>
        <w:tc>
          <w:tcPr>
            <w:tcW w:w="160" w:type="dxa"/>
            <w:vAlign w:val="bottom"/>
            <w:tcBorders>
              <w:top w:val="single" w:sz="8" w:color="CDFFCC"/>
              <w:bottom w:val="single" w:sz="8" w:color="auto"/>
            </w:tcBorders>
          </w:tcPr>
          <w:p>
            <w:pPr>
              <w:spacing w:after="0"/>
              <w:rPr>
                <w:sz w:val="18"/>
                <w:szCs w:val="18"/>
                <w:color w:val="auto"/>
              </w:rPr>
            </w:pPr>
          </w:p>
        </w:tc>
        <w:tc>
          <w:tcPr>
            <w:tcW w:w="1100" w:type="dxa"/>
            <w:vAlign w:val="bottom"/>
            <w:tcBorders>
              <w:top w:val="single" w:sz="8" w:color="CDFFCC"/>
              <w:bottom w:val="single" w:sz="8" w:color="auto"/>
            </w:tcBorders>
          </w:tcPr>
          <w:p>
            <w:pPr>
              <w:jc w:val="right"/>
              <w:spacing w:after="0"/>
              <w:rPr>
                <w:sz w:val="20"/>
                <w:szCs w:val="20"/>
                <w:color w:val="auto"/>
              </w:rPr>
            </w:pPr>
            <w:r>
              <w:rPr>
                <w:rFonts w:ascii="Arial" w:cs="Arial" w:eastAsia="Arial" w:hAnsi="Arial"/>
                <w:sz w:val="18"/>
                <w:szCs w:val="18"/>
                <w:color w:val="auto"/>
              </w:rPr>
              <w:t>7,403,102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top w:val="single" w:sz="8" w:color="CDFFCC"/>
              <w:bottom w:val="single" w:sz="8" w:color="auto"/>
            </w:tcBorders>
          </w:tcPr>
          <w:p>
            <w:pPr>
              <w:spacing w:after="0"/>
              <w:rPr>
                <w:sz w:val="18"/>
                <w:szCs w:val="18"/>
                <w:color w:val="auto"/>
              </w:rPr>
            </w:pPr>
          </w:p>
        </w:tc>
        <w:tc>
          <w:tcPr>
            <w:tcW w:w="1080" w:type="dxa"/>
            <w:vAlign w:val="bottom"/>
            <w:tcBorders>
              <w:top w:val="single" w:sz="8" w:color="CDFFCC"/>
              <w:bottom w:val="single" w:sz="8" w:color="auto"/>
            </w:tcBorders>
          </w:tcPr>
          <w:p>
            <w:pPr>
              <w:jc w:val="right"/>
              <w:spacing w:after="0"/>
              <w:rPr>
                <w:sz w:val="20"/>
                <w:szCs w:val="20"/>
                <w:color w:val="auto"/>
              </w:rPr>
            </w:pPr>
            <w:r>
              <w:rPr>
                <w:rFonts w:ascii="Arial" w:cs="Arial" w:eastAsia="Arial" w:hAnsi="Arial"/>
                <w:sz w:val="18"/>
                <w:szCs w:val="18"/>
                <w:color w:val="auto"/>
              </w:rPr>
              <w:t>11,343,529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CDFFCC"/>
              <w:bottom w:val="single" w:sz="8" w:color="auto"/>
            </w:tcBorders>
          </w:tcPr>
          <w:p>
            <w:pPr>
              <w:spacing w:after="0"/>
              <w:rPr>
                <w:sz w:val="18"/>
                <w:szCs w:val="18"/>
                <w:color w:val="auto"/>
              </w:rPr>
            </w:pPr>
          </w:p>
        </w:tc>
        <w:tc>
          <w:tcPr>
            <w:tcW w:w="1060" w:type="dxa"/>
            <w:vAlign w:val="bottom"/>
            <w:tcBorders>
              <w:top w:val="single" w:sz="8" w:color="CDFFCC"/>
              <w:bottom w:val="single" w:sz="8" w:color="auto"/>
            </w:tcBorders>
          </w:tcPr>
          <w:p>
            <w:pPr>
              <w:jc w:val="right"/>
              <w:spacing w:after="0"/>
              <w:rPr>
                <w:sz w:val="20"/>
                <w:szCs w:val="20"/>
                <w:color w:val="auto"/>
              </w:rPr>
            </w:pPr>
            <w:r>
              <w:rPr>
                <w:rFonts w:ascii="Arial" w:cs="Arial" w:eastAsia="Arial" w:hAnsi="Arial"/>
                <w:sz w:val="18"/>
                <w:szCs w:val="18"/>
                <w:color w:val="auto"/>
              </w:rPr>
              <w:t>1,660,814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CDFFCC"/>
              <w:bottom w:val="single" w:sz="8" w:color="auto"/>
            </w:tcBorders>
          </w:tcPr>
          <w:p>
            <w:pPr>
              <w:spacing w:after="0"/>
              <w:rPr>
                <w:sz w:val="18"/>
                <w:szCs w:val="18"/>
                <w:color w:val="auto"/>
              </w:rPr>
            </w:pPr>
          </w:p>
        </w:tc>
        <w:tc>
          <w:tcPr>
            <w:tcW w:w="1020" w:type="dxa"/>
            <w:vAlign w:val="bottom"/>
            <w:tcBorders>
              <w:top w:val="single" w:sz="8" w:color="CDFFCC"/>
              <w:bottom w:val="single" w:sz="8" w:color="auto"/>
            </w:tcBorders>
          </w:tcPr>
          <w:p>
            <w:pPr>
              <w:jc w:val="right"/>
              <w:spacing w:after="0"/>
              <w:rPr>
                <w:sz w:val="20"/>
                <w:szCs w:val="20"/>
                <w:color w:val="auto"/>
              </w:rPr>
            </w:pPr>
            <w:r>
              <w:rPr>
                <w:rFonts w:ascii="Arial" w:cs="Arial" w:eastAsia="Arial" w:hAnsi="Arial"/>
                <w:sz w:val="18"/>
                <w:szCs w:val="18"/>
                <w:color w:val="auto"/>
              </w:rPr>
              <w:t>20,407,445</w:t>
            </w:r>
          </w:p>
        </w:tc>
        <w:tc>
          <w:tcPr>
            <w:tcW w:w="100" w:type="dxa"/>
            <w:vAlign w:val="bottom"/>
            <w:tcBorders>
              <w:bottom w:val="single" w:sz="8" w:color="CCEEFF"/>
            </w:tcBorders>
          </w:tcPr>
          <w:p>
            <w:pPr>
              <w:spacing w:after="0"/>
              <w:rPr>
                <w:sz w:val="18"/>
                <w:szCs w:val="18"/>
                <w:color w:val="auto"/>
              </w:rPr>
            </w:pPr>
          </w:p>
        </w:tc>
      </w:tr>
      <w:tr>
        <w:trPr>
          <w:trHeight w:val="209"/>
        </w:trPr>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40,037,133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71,851,818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134,067,466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245,956,417</w:t>
            </w:r>
          </w:p>
        </w:tc>
        <w:tc>
          <w:tcPr>
            <w:tcW w:w="100" w:type="dxa"/>
            <w:vAlign w:val="bottom"/>
            <w:shd w:val="clear" w:color="auto" w:fill="CCEEFF"/>
          </w:tcPr>
          <w:p>
            <w:pPr>
              <w:spacing w:after="0"/>
              <w:rPr>
                <w:sz w:val="18"/>
                <w:szCs w:val="18"/>
                <w:color w:val="auto"/>
              </w:rPr>
            </w:pPr>
          </w:p>
        </w:tc>
      </w:tr>
      <w:tr>
        <w:trPr>
          <w:trHeight w:val="210"/>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Mortgage Loans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47,440,235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83,195,347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135,728,280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266,363,862</w:t>
            </w:r>
          </w:p>
        </w:tc>
        <w:tc>
          <w:tcPr>
            <w:tcW w:w="100" w:type="dxa"/>
            <w:vAlign w:val="bottom"/>
            <w:tcBorders>
              <w:bottom w:val="single" w:sz="8" w:color="CCEEFF"/>
            </w:tcBorders>
          </w:tcPr>
          <w:p>
            <w:pPr>
              <w:spacing w:after="0"/>
              <w:rPr>
                <w:sz w:val="18"/>
                <w:szCs w:val="18"/>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Loan Losses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(1,670,604)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(1,900,935)</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60"/>
              <w:spacing w:after="0"/>
              <w:rPr>
                <w:sz w:val="20"/>
                <w:szCs w:val="20"/>
                <w:color w:val="auto"/>
              </w:rPr>
            </w:pPr>
            <w:r>
              <w:rPr>
                <w:rFonts w:ascii="Arial" w:cs="Arial" w:eastAsia="Arial" w:hAnsi="Arial"/>
                <w:sz w:val="18"/>
                <w:szCs w:val="18"/>
                <w:color w:val="auto"/>
              </w:rPr>
              <w:t>Unamortized deferred loan fees, net</w:t>
            </w: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(83,409)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(1,160,086)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(482,223)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(1,725,718)</w:t>
            </w:r>
          </w:p>
        </w:tc>
      </w:tr>
      <w:tr>
        <w:trPr>
          <w:trHeight w:val="230"/>
        </w:trPr>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Unamortized discounts, net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(295,255)</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(281,947)</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(577,202)</w:t>
            </w:r>
          </w:p>
        </w:tc>
      </w:tr>
      <w:tr>
        <w:trPr>
          <w:trHeight w:val="230"/>
        </w:trPr>
        <w:tc>
          <w:tcPr>
            <w:tcW w:w="4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Mortgage Loans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46,874,442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80,082,710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135,202,855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262,160,007</w:t>
            </w:r>
          </w:p>
        </w:tc>
        <w:tc>
          <w:tcPr>
            <w:tcW w:w="100" w:type="dxa"/>
            <w:vAlign w:val="bottom"/>
            <w:tcBorders>
              <w:bottom w:val="single" w:sz="8" w:color="CCEEFF"/>
            </w:tcBorders>
          </w:tcPr>
          <w:p>
            <w:pPr>
              <w:spacing w:after="0"/>
              <w:rPr>
                <w:sz w:val="20"/>
                <w:szCs w:val="20"/>
                <w:color w:val="auto"/>
              </w:rPr>
            </w:pPr>
          </w:p>
        </w:tc>
      </w:tr>
      <w:tr>
        <w:trPr>
          <w:trHeight w:val="216"/>
        </w:trPr>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December 31, 2020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30-59 Days Past Due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233,200</w:t>
            </w: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5,866,505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127,191</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6,226,896</w:t>
            </w:r>
          </w:p>
        </w:tc>
      </w:tr>
      <w:tr>
        <w:trPr>
          <w:trHeight w:val="216"/>
        </w:trPr>
        <w:tc>
          <w:tcPr>
            <w:tcW w:w="4840" w:type="dxa"/>
            <w:vAlign w:val="bottom"/>
          </w:tcPr>
          <w:p>
            <w:pPr>
              <w:ind w:left="160"/>
              <w:spacing w:after="0"/>
              <w:rPr>
                <w:sz w:val="20"/>
                <w:szCs w:val="20"/>
                <w:color w:val="auto"/>
              </w:rPr>
            </w:pPr>
            <w:r>
              <w:rPr>
                <w:rFonts w:ascii="Arial" w:cs="Arial" w:eastAsia="Arial" w:hAnsi="Arial"/>
                <w:sz w:val="18"/>
                <w:szCs w:val="18"/>
                <w:color w:val="auto"/>
              </w:rPr>
              <w:t>60-89 Days Past Due</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812,780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2,048,148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2,860,928</w:t>
            </w:r>
          </w:p>
        </w:tc>
      </w:tr>
      <w:tr>
        <w:trPr>
          <w:trHeight w:val="216"/>
        </w:trPr>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Greater Than 90 Days (1)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2,148,827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5,669,583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7,818,410</w:t>
            </w:r>
          </w:p>
        </w:tc>
      </w:tr>
      <w:tr>
        <w:trPr>
          <w:trHeight w:val="229"/>
        </w:trPr>
        <w:tc>
          <w:tcPr>
            <w:tcW w:w="4840" w:type="dxa"/>
            <w:vAlign w:val="bottom"/>
          </w:tcPr>
          <w:p>
            <w:pPr>
              <w:ind w:left="160"/>
              <w:spacing w:after="0"/>
              <w:rPr>
                <w:sz w:val="20"/>
                <w:szCs w:val="20"/>
                <w:color w:val="auto"/>
              </w:rPr>
            </w:pPr>
            <w:r>
              <w:rPr>
                <w:rFonts w:ascii="Arial" w:cs="Arial" w:eastAsia="Arial" w:hAnsi="Arial"/>
                <w:sz w:val="18"/>
                <w:szCs w:val="18"/>
                <w:color w:val="auto"/>
              </w:rPr>
              <w:t>In Process of Foreclosure (1)</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2,263,097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200,963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2,464,060</w:t>
            </w:r>
          </w:p>
        </w:tc>
      </w:tr>
      <w:tr>
        <w:trPr>
          <w:trHeight w:val="209"/>
        </w:trPr>
        <w:tc>
          <w:tcPr>
            <w:tcW w:w="48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Past Due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3,194,807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15,847,333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328,154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19,370,294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43,642,059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79,975,115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110,783,623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234,400,797</w:t>
            </w:r>
          </w:p>
        </w:tc>
        <w:tc>
          <w:tcPr>
            <w:tcW w:w="100" w:type="dxa"/>
            <w:vAlign w:val="bottom"/>
            <w:tcBorders>
              <w:bottom w:val="single" w:sz="8" w:color="CCEEFF"/>
            </w:tcBorders>
          </w:tcPr>
          <w:p>
            <w:pPr>
              <w:spacing w:after="0"/>
              <w:rPr>
                <w:sz w:val="18"/>
                <w:szCs w:val="18"/>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Mortgage Loans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46,836,866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95,822,448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111,111,777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253,771,091</w:t>
            </w: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341" w:right="339" w:bottom="1440" w:gutter="0" w:footer="0" w:header="0"/>
        </w:sectPr>
      </w:pPr>
    </w:p>
    <w:p>
      <w:pPr>
        <w:ind w:left="160" w:right="1380" w:hanging="9"/>
        <w:spacing w:after="0" w:line="250" w:lineRule="auto"/>
        <w:rPr>
          <w:sz w:val="20"/>
          <w:szCs w:val="20"/>
          <w:color w:val="auto"/>
        </w:rPr>
      </w:pPr>
      <w:r>
        <w:rPr>
          <w:rFonts w:ascii="Arial" w:cs="Arial" w:eastAsia="Arial" w:hAnsi="Arial"/>
          <w:sz w:val="18"/>
          <w:szCs w:val="18"/>
          <w:color w:val="auto"/>
        </w:rPr>
        <w:t>Allowance for Loan Losses Unamortized deferred loan fees, net Unamortized discounts, net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Mortgage Loans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60" w:type="dxa"/>
            <w:vAlign w:val="bottom"/>
          </w:tcPr>
          <w:p>
            <w:pPr>
              <w:spacing w:after="0"/>
              <w:rPr>
                <w:sz w:val="17"/>
                <w:szCs w:val="17"/>
                <w:color w:val="auto"/>
              </w:rPr>
            </w:pPr>
          </w:p>
        </w:tc>
        <w:tc>
          <w:tcPr>
            <w:tcW w:w="146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(187,129)</w:t>
            </w:r>
          </w:p>
        </w:tc>
        <w:tc>
          <w:tcPr>
            <w:tcW w:w="260" w:type="dxa"/>
            <w:vAlign w:val="bottom"/>
          </w:tcPr>
          <w:p>
            <w:pPr>
              <w:spacing w:after="0"/>
              <w:rPr>
                <w:sz w:val="17"/>
                <w:szCs w:val="17"/>
                <w:color w:val="auto"/>
              </w:rPr>
            </w:pPr>
          </w:p>
        </w:tc>
        <w:tc>
          <w:tcPr>
            <w:tcW w:w="142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(1,774,796)</w:t>
            </w:r>
          </w:p>
        </w:tc>
        <w:tc>
          <w:tcPr>
            <w:tcW w:w="220" w:type="dxa"/>
            <w:vAlign w:val="bottom"/>
          </w:tcPr>
          <w:p>
            <w:pPr>
              <w:spacing w:after="0"/>
              <w:rPr>
                <w:sz w:val="17"/>
                <w:szCs w:val="17"/>
                <w:color w:val="auto"/>
              </w:rPr>
            </w:pPr>
          </w:p>
        </w:tc>
        <w:tc>
          <w:tcPr>
            <w:tcW w:w="14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(43,202)</w:t>
            </w:r>
          </w:p>
        </w:tc>
        <w:tc>
          <w:tcPr>
            <w:tcW w:w="130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(2,005,127)</w:t>
            </w:r>
          </w:p>
        </w:tc>
      </w:tr>
      <w:tr>
        <w:trPr>
          <w:trHeight w:val="216"/>
        </w:trPr>
        <w:tc>
          <w:tcPr>
            <w:tcW w:w="2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(32,557)</w:t>
            </w:r>
          </w:p>
        </w:tc>
        <w:tc>
          <w:tcPr>
            <w:tcW w:w="2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(909,864)</w:t>
            </w:r>
          </w:p>
        </w:tc>
        <w:tc>
          <w:tcPr>
            <w:tcW w:w="22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(218,711)</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(1,161,132)</w:t>
            </w:r>
          </w:p>
        </w:tc>
      </w:tr>
      <w:tr>
        <w:trPr>
          <w:trHeight w:val="244"/>
        </w:trPr>
        <w:tc>
          <w:tcPr>
            <w:tcW w:w="260" w:type="dxa"/>
            <w:vAlign w:val="bottom"/>
          </w:tcPr>
          <w:p>
            <w:pPr>
              <w:spacing w:after="0"/>
              <w:rPr>
                <w:sz w:val="21"/>
                <w:szCs w:val="21"/>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(880,721)</w:t>
            </w:r>
          </w:p>
        </w:tc>
        <w:tc>
          <w:tcPr>
            <w:tcW w:w="26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(380,175)</w:t>
            </w:r>
          </w:p>
        </w:tc>
        <w:tc>
          <w:tcPr>
            <w:tcW w:w="220" w:type="dxa"/>
            <w:vAlign w:val="bottom"/>
          </w:tcPr>
          <w:p>
            <w:pPr>
              <w:spacing w:after="0"/>
              <w:rPr>
                <w:sz w:val="21"/>
                <w:szCs w:val="21"/>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(1,260,896)</w:t>
            </w:r>
          </w:p>
        </w:tc>
      </w:tr>
      <w:tr>
        <w:trPr>
          <w:trHeight w:val="230"/>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45,736,459</w:t>
            </w:r>
          </w:p>
        </w:tc>
        <w:tc>
          <w:tcPr>
            <w:tcW w:w="4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92,757,613</w:t>
            </w: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110,849,864</w:t>
            </w:r>
          </w:p>
        </w:tc>
        <w:tc>
          <w:tcPr>
            <w:tcW w:w="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249,343,936</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-453390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-170815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341" w:right="339" w:bottom="1440" w:gutter="0" w:footer="0" w:header="0"/>
          <w:type w:val="continuous"/>
        </w:sectPr>
      </w:pPr>
    </w:p>
    <w:p>
      <w:pPr>
        <w:spacing w:after="0" w:line="2" w:lineRule="exact"/>
        <w:rPr>
          <w:sz w:val="20"/>
          <w:szCs w:val="20"/>
          <w:color w:val="auto"/>
        </w:rPr>
      </w:pPr>
    </w:p>
    <w:p>
      <w:pPr>
        <w:ind w:left="5540" w:right="4540" w:hanging="5532"/>
        <w:spacing w:after="0" w:line="971" w:lineRule="auto"/>
        <w:tabs>
          <w:tab w:leader="none" w:pos="237"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Interest income is not recognized on loans past due greater than 90 days or in foreclosure.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(3) Investments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Impaired Mortgage Loans Held for Investment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Recorded</w:t>
            </w:r>
          </w:p>
        </w:tc>
        <w:tc>
          <w:tcPr>
            <w:tcW w:w="2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w w:val="93"/>
              </w:rPr>
              <w:t>Unpaid Principal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Related</w:t>
            </w: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Recorded</w:t>
            </w:r>
          </w:p>
        </w:tc>
        <w:tc>
          <w:tcPr>
            <w:tcW w:w="1220" w:type="dxa"/>
            <w:vAlign w:val="bottom"/>
            <w:gridSpan w:val="2"/>
          </w:tcPr>
          <w:p>
            <w:pPr>
              <w:ind w:left="60"/>
              <w:spacing w:after="0"/>
              <w:rPr>
                <w:sz w:val="20"/>
                <w:szCs w:val="20"/>
                <w:color w:val="auto"/>
              </w:rPr>
            </w:pPr>
            <w:r>
              <w:rPr>
                <w:rFonts w:ascii="Arial" w:cs="Arial" w:eastAsia="Arial" w:hAnsi="Arial"/>
                <w:sz w:val="18"/>
                <w:szCs w:val="18"/>
                <w:color w:val="auto"/>
                <w:w w:val="91"/>
              </w:rPr>
              <w:t>Interest Income</w:t>
            </w:r>
          </w:p>
        </w:tc>
      </w:tr>
      <w:tr>
        <w:trPr>
          <w:trHeight w:val="230"/>
        </w:trPr>
        <w:tc>
          <w:tcPr>
            <w:tcW w:w="3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w w:val="95"/>
              </w:rPr>
              <w:t>Investment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Balance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Allowance</w:t>
            </w: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Investment</w:t>
            </w:r>
          </w:p>
        </w:tc>
        <w:tc>
          <w:tcPr>
            <w:tcW w:w="140" w:type="dxa"/>
            <w:vAlign w:val="bottom"/>
          </w:tcPr>
          <w:p>
            <w:pPr>
              <w:spacing w:after="0"/>
              <w:rPr>
                <w:sz w:val="20"/>
                <w:szCs w:val="20"/>
                <w:color w:val="auto"/>
              </w:rPr>
            </w:pPr>
          </w:p>
        </w:tc>
        <w:tc>
          <w:tcPr>
            <w:tcW w:w="1080" w:type="dxa"/>
            <w:vAlign w:val="bottom"/>
          </w:tcPr>
          <w:p>
            <w:pPr>
              <w:ind w:left="40"/>
              <w:spacing w:after="0"/>
              <w:rPr>
                <w:sz w:val="20"/>
                <w:szCs w:val="20"/>
                <w:color w:val="auto"/>
              </w:rPr>
            </w:pPr>
            <w:r>
              <w:rPr>
                <w:rFonts w:ascii="Arial" w:cs="Arial" w:eastAsia="Arial" w:hAnsi="Arial"/>
                <w:sz w:val="18"/>
                <w:szCs w:val="18"/>
                <w:color w:val="auto"/>
              </w:rPr>
              <w:t>Recognized</w:t>
            </w:r>
          </w:p>
        </w:tc>
      </w:tr>
      <w:tr>
        <w:trPr>
          <w:trHeight w:val="209"/>
        </w:trPr>
        <w:tc>
          <w:tcPr>
            <w:tcW w:w="34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June 30, 2021</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3440" w:type="dxa"/>
            <w:vAlign w:val="bottom"/>
          </w:tcPr>
          <w:p>
            <w:pPr>
              <w:ind w:left="100"/>
              <w:spacing w:after="0"/>
              <w:rPr>
                <w:sz w:val="20"/>
                <w:szCs w:val="20"/>
                <w:color w:val="auto"/>
              </w:rPr>
            </w:pPr>
            <w:r>
              <w:rPr>
                <w:rFonts w:ascii="Arial" w:cs="Arial" w:eastAsia="Arial" w:hAnsi="Arial"/>
                <w:sz w:val="18"/>
                <w:szCs w:val="18"/>
                <w:color w:val="auto"/>
              </w:rPr>
              <w:t>With no related allowance recorded:</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848,464</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848,464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958,414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2,392,109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2,392,109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3,118,925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Residential construction</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200,963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200,963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200,963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With an allowance recorded:</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44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Residential</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1,284,173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1,284,173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192,266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937,257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ind w:left="240"/>
              <w:spacing w:after="0"/>
              <w:rPr>
                <w:sz w:val="20"/>
                <w:szCs w:val="20"/>
                <w:color w:val="auto"/>
              </w:rPr>
            </w:pPr>
            <w:r>
              <w:rPr>
                <w:rFonts w:ascii="Arial" w:cs="Arial" w:eastAsia="Arial" w:hAnsi="Arial"/>
                <w:sz w:val="18"/>
                <w:szCs w:val="18"/>
                <w:color w:val="auto"/>
              </w:rPr>
              <w:t>Residential construction</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440" w:type="dxa"/>
            <w:vAlign w:val="bottom"/>
          </w:tcPr>
          <w:p>
            <w:pPr>
              <w:ind w:left="100"/>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848,464</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848,464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958,414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3,676,282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3,676,282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192,266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4,056,182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Residential construction</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200,963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200,963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200,963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31, 2020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440" w:type="dxa"/>
            <w:vAlign w:val="bottom"/>
          </w:tcPr>
          <w:p>
            <w:pPr>
              <w:ind w:left="100"/>
              <w:spacing w:after="0"/>
              <w:rPr>
                <w:sz w:val="20"/>
                <w:szCs w:val="20"/>
                <w:color w:val="auto"/>
              </w:rPr>
            </w:pPr>
            <w:r>
              <w:rPr>
                <w:rFonts w:ascii="Arial" w:cs="Arial" w:eastAsia="Arial" w:hAnsi="Arial"/>
                <w:sz w:val="18"/>
                <w:szCs w:val="18"/>
                <w:color w:val="auto"/>
              </w:rPr>
              <w:t>With no related allowance recorded:</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2,148,827</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2,148,827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1,866,819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6,415,419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6,415,419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5,010,078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Residential construction</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200,963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200,963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555,278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With an allowance recorded:</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44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Residential</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1,517,261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1,517,261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219,905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1,182,368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ind w:left="240"/>
              <w:spacing w:after="0"/>
              <w:rPr>
                <w:sz w:val="20"/>
                <w:szCs w:val="20"/>
                <w:color w:val="auto"/>
              </w:rPr>
            </w:pPr>
            <w:r>
              <w:rPr>
                <w:rFonts w:ascii="Arial" w:cs="Arial" w:eastAsia="Arial" w:hAnsi="Arial"/>
                <w:sz w:val="18"/>
                <w:szCs w:val="18"/>
                <w:color w:val="auto"/>
              </w:rPr>
              <w:t>Residential construction</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440" w:type="dxa"/>
            <w:vAlign w:val="bottom"/>
          </w:tcPr>
          <w:p>
            <w:pPr>
              <w:ind w:left="100"/>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2,148,827</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2,148,827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1,866,819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7,932,680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7,932,680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219,905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6,192,446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Residential construction</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200,963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200,963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555,278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756"/>
        </w:trPr>
        <w:tc>
          <w:tcPr>
            <w:tcW w:w="3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24</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(3) Investments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 Profile Based on Performance Status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performing and non-performing mortgage loans held for investment were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7"/>
          </w:tcPr>
          <w:p>
            <w:pPr>
              <w:ind w:left="600"/>
              <w:spacing w:after="0"/>
              <w:rPr>
                <w:sz w:val="20"/>
                <w:szCs w:val="20"/>
                <w:color w:val="auto"/>
              </w:rPr>
            </w:pPr>
            <w:r>
              <w:rPr>
                <w:rFonts w:ascii="Arial" w:cs="Arial" w:eastAsia="Arial" w:hAnsi="Arial"/>
                <w:sz w:val="18"/>
                <w:szCs w:val="18"/>
                <w:color w:val="auto"/>
              </w:rPr>
              <w:t>Commercial</w:t>
            </w:r>
          </w:p>
        </w:tc>
        <w:tc>
          <w:tcPr>
            <w:tcW w:w="2440" w:type="dxa"/>
            <w:vAlign w:val="bottom"/>
            <w:gridSpan w:val="6"/>
          </w:tcPr>
          <w:p>
            <w:pPr>
              <w:ind w:left="720"/>
              <w:spacing w:after="0"/>
              <w:rPr>
                <w:sz w:val="20"/>
                <w:szCs w:val="20"/>
                <w:color w:val="auto"/>
              </w:rPr>
            </w:pPr>
            <w:r>
              <w:rPr>
                <w:rFonts w:ascii="Arial" w:cs="Arial" w:eastAsia="Arial" w:hAnsi="Arial"/>
                <w:sz w:val="18"/>
                <w:szCs w:val="18"/>
                <w:color w:val="auto"/>
              </w:rPr>
              <w:t>Residential</w:t>
            </w:r>
          </w:p>
        </w:tc>
        <w:tc>
          <w:tcPr>
            <w:tcW w:w="2600" w:type="dxa"/>
            <w:vAlign w:val="bottom"/>
            <w:gridSpan w:val="6"/>
          </w:tcPr>
          <w:p>
            <w:pPr>
              <w:ind w:left="320"/>
              <w:spacing w:after="0"/>
              <w:rPr>
                <w:sz w:val="20"/>
                <w:szCs w:val="20"/>
                <w:color w:val="auto"/>
              </w:rPr>
            </w:pPr>
            <w:r>
              <w:rPr>
                <w:rFonts w:ascii="Arial" w:cs="Arial" w:eastAsia="Arial" w:hAnsi="Arial"/>
                <w:sz w:val="18"/>
                <w:szCs w:val="18"/>
                <w:color w:val="auto"/>
              </w:rPr>
              <w:t>Residential Construction</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4"/>
          </w:tcPr>
          <w:p>
            <w:pPr>
              <w:spacing w:after="0"/>
              <w:rPr>
                <w:sz w:val="20"/>
                <w:szCs w:val="20"/>
                <w:color w:val="auto"/>
              </w:rPr>
            </w:pPr>
            <w:r>
              <w:rPr>
                <w:rFonts w:ascii="Arial" w:cs="Arial" w:eastAsia="Arial" w:hAnsi="Arial"/>
                <w:sz w:val="18"/>
                <w:szCs w:val="18"/>
                <w:color w:val="auto"/>
              </w:rPr>
              <w:t>Total</w:t>
            </w:r>
          </w:p>
        </w:tc>
      </w:tr>
      <w:tr>
        <w:trPr>
          <w:trHeight w:val="195"/>
        </w:trPr>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420"/>
              <w:spacing w:after="0" w:line="195" w:lineRule="exact"/>
              <w:rPr>
                <w:sz w:val="20"/>
                <w:szCs w:val="20"/>
                <w:color w:val="auto"/>
              </w:rPr>
            </w:pPr>
            <w:r>
              <w:rPr>
                <w:rFonts w:ascii="Arial" w:cs="Arial" w:eastAsia="Arial" w:hAnsi="Arial"/>
                <w:sz w:val="18"/>
                <w:szCs w:val="18"/>
                <w:color w:val="auto"/>
              </w:rPr>
              <w:t>June</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ind w:right="140"/>
              <w:spacing w:after="0" w:line="195" w:lineRule="exact"/>
              <w:rPr>
                <w:sz w:val="20"/>
                <w:szCs w:val="20"/>
                <w:color w:val="auto"/>
              </w:rPr>
            </w:pPr>
            <w:r>
              <w:rPr>
                <w:rFonts w:ascii="Arial" w:cs="Arial" w:eastAsia="Arial" w:hAnsi="Arial"/>
                <w:sz w:val="18"/>
                <w:szCs w:val="18"/>
                <w:color w:val="auto"/>
                <w:w w:val="89"/>
              </w:rPr>
              <w:t>December</w:t>
            </w:r>
          </w:p>
        </w:tc>
        <w:tc>
          <w:tcPr>
            <w:tcW w:w="180" w:type="dxa"/>
            <w:vAlign w:val="bottom"/>
          </w:tcPr>
          <w:p>
            <w:pPr>
              <w:spacing w:after="0"/>
              <w:rPr>
                <w:sz w:val="16"/>
                <w:szCs w:val="16"/>
                <w:color w:val="auto"/>
              </w:rPr>
            </w:pPr>
          </w:p>
        </w:tc>
        <w:tc>
          <w:tcPr>
            <w:tcW w:w="1220" w:type="dxa"/>
            <w:vAlign w:val="bottom"/>
            <w:tcBorders>
              <w:top w:val="single" w:sz="8" w:color="auto"/>
            </w:tcBorders>
            <w:gridSpan w:val="3"/>
          </w:tcPr>
          <w:p>
            <w:pPr>
              <w:ind w:left="300"/>
              <w:spacing w:after="0" w:line="195" w:lineRule="exact"/>
              <w:rPr>
                <w:sz w:val="20"/>
                <w:szCs w:val="20"/>
                <w:color w:val="auto"/>
              </w:rPr>
            </w:pPr>
            <w:r>
              <w:rPr>
                <w:rFonts w:ascii="Arial" w:cs="Arial" w:eastAsia="Arial" w:hAnsi="Arial"/>
                <w:sz w:val="18"/>
                <w:szCs w:val="18"/>
                <w:color w:val="auto"/>
              </w:rPr>
              <w:t>June</w:t>
            </w:r>
          </w:p>
        </w:tc>
        <w:tc>
          <w:tcPr>
            <w:tcW w:w="1020" w:type="dxa"/>
            <w:vAlign w:val="bottom"/>
            <w:tcBorders>
              <w:top w:val="single" w:sz="8" w:color="auto"/>
            </w:tcBorders>
            <w:gridSpan w:val="2"/>
          </w:tcPr>
          <w:p>
            <w:pPr>
              <w:ind w:left="140"/>
              <w:spacing w:after="0" w:line="195" w:lineRule="exact"/>
              <w:rPr>
                <w:sz w:val="20"/>
                <w:szCs w:val="20"/>
                <w:color w:val="auto"/>
              </w:rPr>
            </w:pPr>
            <w:r>
              <w:rPr>
                <w:rFonts w:ascii="Arial" w:cs="Arial" w:eastAsia="Arial" w:hAnsi="Arial"/>
                <w:sz w:val="18"/>
                <w:szCs w:val="18"/>
                <w:color w:val="auto"/>
              </w:rPr>
              <w:t>December</w:t>
            </w:r>
          </w:p>
        </w:tc>
        <w:tc>
          <w:tcPr>
            <w:tcW w:w="200" w:type="dxa"/>
            <w:vAlign w:val="bottom"/>
          </w:tcPr>
          <w:p>
            <w:pPr>
              <w:spacing w:after="0"/>
              <w:rPr>
                <w:sz w:val="16"/>
                <w:szCs w:val="16"/>
                <w:color w:val="auto"/>
              </w:rPr>
            </w:pPr>
          </w:p>
        </w:tc>
        <w:tc>
          <w:tcPr>
            <w:tcW w:w="1120" w:type="dxa"/>
            <w:vAlign w:val="bottom"/>
            <w:tcBorders>
              <w:top w:val="single" w:sz="8" w:color="auto"/>
            </w:tcBorders>
            <w:gridSpan w:val="2"/>
          </w:tcPr>
          <w:p>
            <w:pPr>
              <w:jc w:val="right"/>
              <w:ind w:right="440"/>
              <w:spacing w:after="0" w:line="195" w:lineRule="exact"/>
              <w:rPr>
                <w:sz w:val="20"/>
                <w:szCs w:val="20"/>
                <w:color w:val="auto"/>
              </w:rPr>
            </w:pPr>
            <w:r>
              <w:rPr>
                <w:rFonts w:ascii="Arial" w:cs="Arial" w:eastAsia="Arial" w:hAnsi="Arial"/>
                <w:sz w:val="18"/>
                <w:szCs w:val="18"/>
                <w:color w:val="auto"/>
              </w:rPr>
              <w:t>June</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200"/>
              <w:spacing w:after="0" w:line="195" w:lineRule="exact"/>
              <w:rPr>
                <w:sz w:val="20"/>
                <w:szCs w:val="20"/>
                <w:color w:val="auto"/>
              </w:rPr>
            </w:pPr>
            <w:r>
              <w:rPr>
                <w:rFonts w:ascii="Arial" w:cs="Arial" w:eastAsia="Arial" w:hAnsi="Arial"/>
                <w:sz w:val="18"/>
                <w:szCs w:val="18"/>
                <w:color w:val="auto"/>
              </w:rPr>
              <w:t>December</w:t>
            </w:r>
          </w:p>
        </w:tc>
        <w:tc>
          <w:tcPr>
            <w:tcW w:w="180" w:type="dxa"/>
            <w:vAlign w:val="bottom"/>
          </w:tcPr>
          <w:p>
            <w:pPr>
              <w:spacing w:after="0"/>
              <w:rPr>
                <w:sz w:val="16"/>
                <w:szCs w:val="16"/>
                <w:color w:val="auto"/>
              </w:rPr>
            </w:pPr>
          </w:p>
        </w:tc>
        <w:tc>
          <w:tcPr>
            <w:tcW w:w="104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rPr>
              <w:t>June</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200"/>
              <w:spacing w:after="0" w:line="195" w:lineRule="exact"/>
              <w:rPr>
                <w:sz w:val="20"/>
                <w:szCs w:val="20"/>
                <w:color w:val="auto"/>
              </w:rPr>
            </w:pPr>
            <w:r>
              <w:rPr>
                <w:rFonts w:ascii="Arial" w:cs="Arial" w:eastAsia="Arial" w:hAnsi="Arial"/>
                <w:sz w:val="18"/>
                <w:szCs w:val="18"/>
                <w:color w:val="auto"/>
              </w:rPr>
              <w:t>December</w:t>
            </w:r>
          </w:p>
        </w:tc>
      </w:tr>
      <w:tr>
        <w:trPr>
          <w:trHeight w:val="230"/>
        </w:trPr>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99"/>
              </w:rPr>
              <w:t>30, 2021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99"/>
              </w:rPr>
              <w:t>31, 2020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30, 2021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31, 2020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30, 2021</w:t>
            </w:r>
          </w:p>
        </w:tc>
        <w:tc>
          <w:tcPr>
            <w:tcW w:w="120" w:type="dxa"/>
            <w:vAlign w:val="bottom"/>
          </w:tcPr>
          <w:p>
            <w:pPr>
              <w:spacing w:after="0"/>
              <w:rPr>
                <w:sz w:val="20"/>
                <w:szCs w:val="20"/>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31, 2020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30, 2021</w:t>
            </w:r>
          </w:p>
        </w:tc>
        <w:tc>
          <w:tcPr>
            <w:tcW w:w="20" w:type="dxa"/>
            <w:vAlign w:val="bottom"/>
          </w:tcPr>
          <w:p>
            <w:pPr>
              <w:spacing w:after="0"/>
              <w:rPr>
                <w:sz w:val="20"/>
                <w:szCs w:val="20"/>
                <w:color w:val="auto"/>
              </w:rPr>
            </w:pPr>
          </w:p>
        </w:tc>
        <w:tc>
          <w:tcPr>
            <w:tcW w:w="1300" w:type="dxa"/>
            <w:vAlign w:val="bottom"/>
            <w:gridSpan w:val="3"/>
          </w:tcPr>
          <w:p>
            <w:pPr>
              <w:jc w:val="right"/>
              <w:ind w:right="50"/>
              <w:spacing w:after="0"/>
              <w:rPr>
                <w:sz w:val="20"/>
                <w:szCs w:val="20"/>
                <w:color w:val="auto"/>
              </w:rPr>
            </w:pPr>
            <w:r>
              <w:rPr>
                <w:rFonts w:ascii="Arial" w:cs="Arial" w:eastAsia="Arial" w:hAnsi="Arial"/>
                <w:sz w:val="18"/>
                <w:szCs w:val="18"/>
                <w:color w:val="auto"/>
              </w:rPr>
              <w:t>31, 2020</w:t>
            </w: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7"/>
              </w:rPr>
              <w:t>Performing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46,591,771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44,688,039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$ 79,519,065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$ 87,889,768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$ 135,527,317</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$ 110,910,814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$ 261,638,153</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$ 243,488,621</w:t>
            </w:r>
          </w:p>
        </w:tc>
        <w:tc>
          <w:tcPr>
            <w:tcW w:w="100" w:type="dxa"/>
            <w:vAlign w:val="bottom"/>
            <w:shd w:val="clear" w:color="auto" w:fill="CCEEFF"/>
          </w:tcPr>
          <w:p>
            <w:pPr>
              <w:spacing w:after="0"/>
              <w:rPr>
                <w:sz w:val="18"/>
                <w:szCs w:val="18"/>
                <w:color w:val="auto"/>
              </w:rPr>
            </w:pPr>
          </w:p>
        </w:tc>
      </w:tr>
      <w:tr>
        <w:trPr>
          <w:trHeight w:val="202"/>
        </w:trPr>
        <w:tc>
          <w:tcPr>
            <w:tcW w:w="80" w:type="dxa"/>
            <w:vAlign w:val="bottom"/>
          </w:tcPr>
          <w:p>
            <w:pPr>
              <w:spacing w:after="0"/>
              <w:rPr>
                <w:sz w:val="17"/>
                <w:szCs w:val="17"/>
                <w:color w:val="auto"/>
              </w:rPr>
            </w:pPr>
          </w:p>
        </w:tc>
        <w:tc>
          <w:tcPr>
            <w:tcW w:w="114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Non-</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w w:val="99"/>
              </w:rPr>
              <w:t>performing</w:t>
            </w:r>
          </w:p>
        </w:tc>
        <w:tc>
          <w:tcPr>
            <w:tcW w:w="1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848,464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2,148,827</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3,676,282</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7,932,680</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200,963</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200,963</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4,725,709</w:t>
            </w: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10,282,470</w:t>
            </w:r>
          </w:p>
        </w:tc>
      </w:tr>
      <w:tr>
        <w:trPr>
          <w:trHeight w:val="209"/>
        </w:trPr>
        <w:tc>
          <w:tcPr>
            <w:tcW w:w="80" w:type="dxa"/>
            <w:vAlign w:val="bottom"/>
            <w:tcBorders>
              <w:top w:val="single" w:sz="8" w:color="CCEEFF"/>
              <w:bottom w:val="single" w:sz="8" w:color="CDFFCC"/>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8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47,440,235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46,836,866</w:t>
            </w:r>
          </w:p>
        </w:tc>
        <w:tc>
          <w:tcPr>
            <w:tcW w:w="1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83,195,347</w:t>
            </w: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95,822,448</w:t>
            </w:r>
          </w:p>
        </w:tc>
        <w:tc>
          <w:tcPr>
            <w:tcW w:w="2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$ 135,728,280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$ 111,111,777</w:t>
            </w:r>
          </w:p>
        </w:tc>
        <w:tc>
          <w:tcPr>
            <w:tcW w:w="1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$ 266,363,862</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$ 253,771,091</w:t>
            </w:r>
          </w:p>
        </w:tc>
        <w:tc>
          <w:tcPr>
            <w:tcW w:w="100" w:type="dxa"/>
            <w:vAlign w:val="bottom"/>
          </w:tcPr>
          <w:p>
            <w:pPr>
              <w:spacing w:after="0"/>
              <w:rPr>
                <w:sz w:val="21"/>
                <w:szCs w:val="21"/>
                <w:color w:val="auto"/>
              </w:rPr>
            </w:pPr>
          </w:p>
        </w:tc>
      </w:tr>
      <w:tr>
        <w:trPr>
          <w:trHeight w:val="20"/>
        </w:trPr>
        <w:tc>
          <w:tcPr>
            <w:tcW w:w="80" w:type="dxa"/>
            <w:vAlign w:val="bottom"/>
            <w:tcBorders>
              <w:top w:val="single" w:sz="8" w:color="CDFFCC"/>
            </w:tcBorders>
            <w:shd w:val="clear" w:color="auto" w:fill="CDFFC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Non-Accrual Mortgage Loans Held for Investment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$316,000 and $491,000 as of June 30, 2021 and December 31,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mortgage loans held for investment on a non-accrual status for the periods presented.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3"/>
          </w:tcPr>
          <w:p>
            <w:pPr>
              <w:ind w:left="200"/>
              <w:spacing w:after="0"/>
              <w:rPr>
                <w:sz w:val="20"/>
                <w:szCs w:val="20"/>
                <w:color w:val="auto"/>
              </w:rPr>
            </w:pPr>
            <w:r>
              <w:rPr>
                <w:rFonts w:ascii="Arial" w:cs="Arial" w:eastAsia="Arial" w:hAnsi="Arial"/>
                <w:sz w:val="18"/>
                <w:szCs w:val="18"/>
                <w:color w:val="auto"/>
              </w:rPr>
              <w:t>As of June 30</w:t>
            </w:r>
          </w:p>
        </w:tc>
        <w:tc>
          <w:tcPr>
            <w:tcW w:w="18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As of December 31</w:t>
            </w:r>
          </w:p>
        </w:tc>
      </w:tr>
      <w:tr>
        <w:trPr>
          <w:trHeight w:val="230"/>
        </w:trPr>
        <w:tc>
          <w:tcPr>
            <w:tcW w:w="370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r>
      <w:tr>
        <w:trPr>
          <w:trHeight w:val="210"/>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3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848,464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2,148,827</w:t>
            </w:r>
          </w:p>
        </w:tc>
      </w:tr>
      <w:tr>
        <w:trPr>
          <w:trHeight w:val="216"/>
        </w:trPr>
        <w:tc>
          <w:tcPr>
            <w:tcW w:w="3700" w:type="dxa"/>
            <w:vAlign w:val="bottom"/>
          </w:tcPr>
          <w:p>
            <w:pPr>
              <w:ind w:left="100"/>
              <w:spacing w:after="0"/>
              <w:rPr>
                <w:sz w:val="20"/>
                <w:szCs w:val="20"/>
                <w:color w:val="auto"/>
              </w:rPr>
            </w:pPr>
            <w:r>
              <w:rPr>
                <w:rFonts w:ascii="Arial" w:cs="Arial" w:eastAsia="Arial" w:hAnsi="Arial"/>
                <w:sz w:val="18"/>
                <w:szCs w:val="18"/>
                <w:color w:val="auto"/>
              </w:rPr>
              <w:t>Residential</w:t>
            </w:r>
          </w:p>
        </w:tc>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3,676,282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7,932,680</w:t>
            </w:r>
          </w:p>
        </w:tc>
      </w:tr>
      <w:tr>
        <w:trPr>
          <w:trHeight w:val="230"/>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Residential construction</w:t>
            </w:r>
          </w:p>
        </w:tc>
        <w:tc>
          <w:tcPr>
            <w:tcW w:w="3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200,963</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200,963</w:t>
            </w:r>
          </w:p>
        </w:tc>
      </w:tr>
      <w:tr>
        <w:trPr>
          <w:trHeight w:val="230"/>
        </w:trPr>
        <w:tc>
          <w:tcPr>
            <w:tcW w:w="3700" w:type="dxa"/>
            <w:vAlign w:val="bottom"/>
          </w:tcPr>
          <w:p>
            <w:pPr>
              <w:ind w:left="100"/>
              <w:spacing w:after="0"/>
              <w:rPr>
                <w:sz w:val="20"/>
                <w:szCs w:val="20"/>
                <w:color w:val="auto"/>
              </w:rPr>
            </w:pPr>
            <w:r>
              <w:rPr>
                <w:rFonts w:ascii="Arial" w:cs="Arial" w:eastAsia="Arial" w:hAnsi="Arial"/>
                <w:sz w:val="18"/>
                <w:szCs w:val="18"/>
                <w:color w:val="auto"/>
              </w:rPr>
              <w:t>Total</w:t>
            </w:r>
          </w:p>
        </w:tc>
        <w:tc>
          <w:tcPr>
            <w:tcW w:w="31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4,725,709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10,282,470</w:t>
            </w:r>
          </w:p>
        </w:tc>
        <w:tc>
          <w:tcPr>
            <w:tcW w:w="100" w:type="dxa"/>
            <w:vAlign w:val="bottom"/>
          </w:tcPr>
          <w:p>
            <w:pPr>
              <w:spacing w:after="0"/>
              <w:rPr>
                <w:sz w:val="20"/>
                <w:szCs w:val="20"/>
                <w:color w:val="auto"/>
              </w:rPr>
            </w:pPr>
          </w:p>
        </w:tc>
      </w:tr>
      <w:tr>
        <w:trPr>
          <w:trHeight w:val="756"/>
        </w:trPr>
        <w:tc>
          <w:tcPr>
            <w:tcW w:w="37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25" w:name="page26"/>
    <w:bookmarkEnd w:id="25"/>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Loans Held for Sale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the fair value option for loans held for sale. Changes in the fair value of the loans are included in mortgage fee income. Interest income is recorded based on the contractual terms of the loan and in accordance with the Company’s policy on mortgage loans held for investment and is included in mortgage fee income on the condensed consolidated statement of earnings. See Note 8 to the condensed consolidated financial statements for additional disclosures regarding loans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aggregate fair value and the aggregate unpaid principal balance of loans held for sale for the periods presented: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8"/>
              </w:rPr>
              <w:t>As of June 30</w:t>
            </w:r>
          </w:p>
        </w:tc>
        <w:tc>
          <w:tcPr>
            <w:tcW w:w="88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w w:val="94"/>
              </w:rPr>
              <w:t>As of December 31</w:t>
            </w:r>
          </w:p>
        </w:tc>
      </w:tr>
      <w:tr>
        <w:trPr>
          <w:trHeight w:val="230"/>
        </w:trPr>
        <w:tc>
          <w:tcPr>
            <w:tcW w:w="4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10"/>
        </w:trPr>
        <w:tc>
          <w:tcPr>
            <w:tcW w:w="4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Aggregate fair value</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296,728,086</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422,772,418</w:t>
            </w: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Unpaid principal balance</w:t>
            </w: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287,867,995</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406,407,323</w:t>
            </w:r>
          </w:p>
        </w:tc>
      </w:tr>
      <w:tr>
        <w:trPr>
          <w:trHeight w:val="216"/>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gain</w:t>
            </w: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8,860,091</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16,365,095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Fee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Mortgage fee income consists of origination fees, processing fees, interest income and certain other income related to the origination and sale of mortgage loans held for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mortgage fee income for loans held for sale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7"/>
          </w:tcPr>
          <w:p>
            <w:pPr>
              <w:ind w:left="220"/>
              <w:spacing w:after="0"/>
              <w:rPr>
                <w:sz w:val="20"/>
                <w:szCs w:val="20"/>
                <w:color w:val="auto"/>
              </w:rPr>
            </w:pPr>
            <w:r>
              <w:rPr>
                <w:rFonts w:ascii="Arial" w:cs="Arial" w:eastAsia="Arial" w:hAnsi="Arial"/>
                <w:sz w:val="18"/>
                <w:szCs w:val="18"/>
                <w:color w:val="auto"/>
              </w:rPr>
              <w:t>Three Months Ended June 30</w:t>
            </w:r>
          </w:p>
        </w:tc>
        <w:tc>
          <w:tcPr>
            <w:tcW w:w="220" w:type="dxa"/>
            <w:vAlign w:val="bottom"/>
          </w:tcPr>
          <w:p>
            <w:pPr>
              <w:spacing w:after="0"/>
              <w:rPr>
                <w:sz w:val="20"/>
                <w:szCs w:val="20"/>
                <w:color w:val="auto"/>
              </w:rPr>
            </w:pPr>
          </w:p>
        </w:tc>
        <w:tc>
          <w:tcPr>
            <w:tcW w:w="2780" w:type="dxa"/>
            <w:vAlign w:val="bottom"/>
            <w:gridSpan w:val="6"/>
          </w:tcPr>
          <w:p>
            <w:pPr>
              <w:jc w:val="right"/>
              <w:ind w:right="520"/>
              <w:spacing w:after="0"/>
              <w:rPr>
                <w:sz w:val="20"/>
                <w:szCs w:val="20"/>
                <w:color w:val="auto"/>
              </w:rPr>
            </w:pPr>
            <w:r>
              <w:rPr>
                <w:rFonts w:ascii="Arial" w:cs="Arial" w:eastAsia="Arial" w:hAnsi="Arial"/>
                <w:sz w:val="18"/>
                <w:szCs w:val="18"/>
                <w:color w:val="auto"/>
              </w:rPr>
              <w:t>Six Months Ended June 30</w:t>
            </w:r>
          </w:p>
        </w:tc>
      </w:tr>
      <w:tr>
        <w:trPr>
          <w:trHeight w:val="223"/>
        </w:trPr>
        <w:tc>
          <w:tcPr>
            <w:tcW w:w="48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auto"/>
            </w:tcBorders>
          </w:tcPr>
          <w:p>
            <w:pPr>
              <w:spacing w:after="0"/>
              <w:rPr>
                <w:sz w:val="19"/>
                <w:szCs w:val="19"/>
                <w:color w:val="auto"/>
              </w:rPr>
            </w:pPr>
          </w:p>
        </w:tc>
      </w:tr>
      <w:tr>
        <w:trPr>
          <w:trHeight w:val="209"/>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 fees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9,154,621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15,226,535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18,694,577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22,940,750</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2,188,380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2,601,605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4,500,181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4,282,063</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Secondary gains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56,020,876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49,422,815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124,459,809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77,269,683</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Change in fair value of loan commitments</w:t>
            </w: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(482,863)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5,278,100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(168,397)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8,553,132</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loans held for sale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(1,114,632)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2,363,713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(8,060,513)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2,742,010</w:t>
            </w:r>
          </w:p>
        </w:tc>
      </w:tr>
      <w:tr>
        <w:trPr>
          <w:trHeight w:val="230"/>
        </w:trPr>
        <w:tc>
          <w:tcPr>
            <w:tcW w:w="4840" w:type="dxa"/>
            <w:vAlign w:val="bottom"/>
          </w:tcPr>
          <w:p>
            <w:pPr>
              <w:ind w:left="100"/>
              <w:spacing w:after="0"/>
              <w:rPr>
                <w:sz w:val="20"/>
                <w:szCs w:val="20"/>
                <w:color w:val="auto"/>
              </w:rPr>
            </w:pPr>
            <w:r>
              <w:rPr>
                <w:rFonts w:ascii="Arial" w:cs="Arial" w:eastAsia="Arial" w:hAnsi="Arial"/>
                <w:sz w:val="18"/>
                <w:szCs w:val="18"/>
                <w:color w:val="auto"/>
              </w:rPr>
              <w:t>Provision for loan loss reserve</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(608,569)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(1,524,435)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(1,269,232)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(2,137,544)</w:t>
            </w:r>
          </w:p>
        </w:tc>
      </w:tr>
      <w:tr>
        <w:trPr>
          <w:trHeight w:val="230"/>
        </w:trPr>
        <w:tc>
          <w:tcPr>
            <w:tcW w:w="48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Mortgage fee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65,157,813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73,368,333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138,156,425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113,650,094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Loss Reserve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Loans Held for Sale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loan loss reserve that is included in other liabilities and accrued expenses: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Balance, beginning of period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Provision on current loan originations (1)</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Additional provision for loan loss reserve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Charge-offs, net of recaptured amounts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Balance, end of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(1) Included in mortgage fee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As of June 30</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5715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660" w:hanging="657"/>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20,583,618</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7"/>
          <w:szCs w:val="17"/>
          <w:color w:val="auto"/>
        </w:rPr>
        <w:t>1,269,232</w:t>
      </w:r>
    </w:p>
    <w:p>
      <w:pPr>
        <w:spacing w:after="0" w:line="20"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-130810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right="220"/>
        <w:spacing w:after="0"/>
        <w:rPr>
          <w:sz w:val="20"/>
          <w:szCs w:val="20"/>
          <w:color w:val="auto"/>
        </w:rPr>
      </w:pPr>
      <w:r>
        <w:rPr>
          <w:rFonts w:ascii="Arial" w:cs="Arial" w:eastAsia="Arial" w:hAnsi="Arial"/>
          <w:sz w:val="18"/>
          <w:szCs w:val="18"/>
          <w:color w:val="auto"/>
        </w:rPr>
        <w:t>(19,440,198)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ind w:left="760" w:hanging="757"/>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2,412,652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of December 31</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2020</w:t>
      </w:r>
    </w:p>
    <w:p>
      <w:pPr>
        <w:spacing w:after="0" w:line="9" w:lineRule="exact"/>
        <w:rPr>
          <w:sz w:val="20"/>
          <w:szCs w:val="20"/>
          <w:color w:val="auto"/>
        </w:rPr>
      </w:pPr>
    </w:p>
    <w:p>
      <w:pPr>
        <w:ind w:left="740" w:hanging="733"/>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4,046,288</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7"/>
          <w:szCs w:val="17"/>
          <w:color w:val="auto"/>
        </w:rPr>
        <w:t>4,938,214</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16,506,030</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(4,906,914)</w:t>
      </w:r>
    </w:p>
    <w:p>
      <w:pPr>
        <w:spacing w:after="0" w:line="35" w:lineRule="exact"/>
        <w:rPr>
          <w:sz w:val="20"/>
          <w:szCs w:val="20"/>
          <w:color w:val="auto"/>
        </w:rPr>
      </w:pPr>
    </w:p>
    <w:p>
      <w:pPr>
        <w:ind w:left="640" w:hanging="633"/>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20,583,618</w:t>
      </w:r>
    </w:p>
    <w:p>
      <w:pPr>
        <w:spacing w:after="0" w:line="670" w:lineRule="exact"/>
        <w:rPr>
          <w:sz w:val="20"/>
          <w:szCs w:val="20"/>
          <w:color w:val="auto"/>
        </w:rPr>
      </w:pPr>
    </w:p>
    <w:p>
      <w:pPr>
        <w:sectPr>
          <w:pgSz w:w="11900" w:h="16838" w:orient="portrait"/>
          <w:cols w:equalWidth="0" w:num="3">
            <w:col w:w="6480" w:space="720"/>
            <w:col w:w="1760" w:space="720"/>
            <w:col w:w="1560"/>
          </w:cols>
          <w:pgMar w:left="320" w:top="341" w:right="339" w:bottom="1440" w:gutter="0" w:footer="0" w:header="0"/>
          <w:type w:val="continuous"/>
        </w:sectPr>
      </w:pPr>
    </w:p>
    <w:p>
      <w:pPr>
        <w:spacing w:after="0" w:line="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maintains reserves for estimated losses on current production volumes. For the six months ended June 30, 2021, $1,269,232 in reserves were added at a rate of 4.5 basis points per loan, the equivalent of $450 per $1,000,000 in loans originated. This is an increase over the six months ended June 30, 2020, when reserves were added at a rate of 2.5 basis points per loan originated, the equivalent of $250 per $1,000,000 in loans originated. The Company also increased its loan loss reserve for the year ended December 31, 2020 by an additional $16,506,030 to account for changes in estimates specific to settlements of loan losses. See Note 11 for additional information regarding mortgage loan loss settlements and charge-offs. The economic impact of COVID-19 and subsequent government action has increased the potential for losses due to early payoff penalties and potential for losses due to increased delinquency. The unique nature of these current events creates significant difficulty for forecasting potential future losses. The Company will continue to monitor data and economic conditions in order to maintain adequate loss reserves on current production. Thus, the Company believes that the final loan loss reserve as of June 30, 2021, represents its best estimate for adequate loss reserves on loans sold.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7" w:name="page28"/>
    <w:bookmarkEnd w:id="27"/>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two fixed option plans (the “2013 Plan” and the “2014 Director Plan”). Compensation expense for options issued of $ 0 and $101,520 has been recognized for these plans for the three months ended June 30, 2021 and 2020, respectively, and $39,153 and $167,397 has been recognized for these plans for the six months ended June 30, 2021 and 2020, respectively. As of June 30, 2021, the total unrecognized compensation expense related to the options issued was $0.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Company’s stock compensation plans as of June 30, 2021, and the changes during the six months ended June 30, 2021, are presented below:</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Outstanding at January 1, 2021</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Adjustment for effect of stock dividends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Cancelled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Outstanding at June 30, 2021</w:t>
      </w:r>
    </w:p>
    <w:p>
      <w:pPr>
        <w:spacing w:after="0" w:line="27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of June 30, 2021:</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Options exercisable</w:t>
      </w:r>
    </w:p>
    <w:p>
      <w:pPr>
        <w:spacing w:after="0" w:line="26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of June 30, 2021:</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Available options for future grant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Number of</w:t>
            </w:r>
          </w:p>
        </w:tc>
        <w:tc>
          <w:tcPr>
            <w:tcW w:w="34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rPr>
              <w:t>Weighted Average</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w w:val="89"/>
              </w:rPr>
              <w:t>Weighted Average</w:t>
            </w:r>
          </w:p>
        </w:tc>
      </w:tr>
      <w:tr>
        <w:trPr>
          <w:trHeight w:val="230"/>
        </w:trPr>
        <w:tc>
          <w:tcPr>
            <w:tcW w:w="1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8"/>
              </w:rPr>
              <w:t>Class A Shares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Exercise Price</w:t>
            </w:r>
          </w:p>
        </w:tc>
        <w:tc>
          <w:tcPr>
            <w:tcW w:w="3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6"/>
              </w:rPr>
              <w:t>Class C Shares</w:t>
            </w:r>
          </w:p>
        </w:tc>
        <w:tc>
          <w:tcPr>
            <w:tcW w:w="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Exercise Price</w:t>
            </w:r>
          </w:p>
        </w:tc>
      </w:tr>
      <w:tr>
        <w:trPr>
          <w:trHeight w:val="411"/>
        </w:trPr>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1,072,863</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32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662,666</w:t>
            </w:r>
          </w:p>
        </w:tc>
        <w:tc>
          <w:tcPr>
            <w:tcW w:w="520" w:type="dxa"/>
            <w:vAlign w:val="bottom"/>
            <w:gridSpan w:val="3"/>
          </w:tcPr>
          <w:p>
            <w:pPr>
              <w:ind w:left="4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216"/>
        </w:trPr>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47,594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33,136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(97,313)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0"/>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1,023,144</w:t>
            </w:r>
          </w:p>
        </w:tc>
        <w:tc>
          <w:tcPr>
            <w:tcW w:w="120" w:type="dxa"/>
            <w:vAlign w:val="bottom"/>
          </w:tcPr>
          <w:p>
            <w:pPr>
              <w:spacing w:after="0"/>
              <w:rPr>
                <w:sz w:val="20"/>
                <w:szCs w:val="20"/>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32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695,802</w:t>
            </w:r>
          </w:p>
        </w:tc>
        <w:tc>
          <w:tcPr>
            <w:tcW w:w="20" w:type="dxa"/>
            <w:vAlign w:val="bottom"/>
            <w:tcBorders>
              <w:bottom w:val="single" w:sz="8" w:color="auto"/>
            </w:tcBorders>
          </w:tcPr>
          <w:p>
            <w:pPr>
              <w:spacing w:after="0"/>
              <w:rPr>
                <w:sz w:val="20"/>
                <w:szCs w:val="20"/>
                <w:color w:val="auto"/>
              </w:rPr>
            </w:pPr>
          </w:p>
        </w:tc>
        <w:tc>
          <w:tcPr>
            <w:tcW w:w="520" w:type="dxa"/>
            <w:vAlign w:val="bottom"/>
            <w:gridSpan w:val="3"/>
          </w:tcPr>
          <w:p>
            <w:pPr>
              <w:ind w:left="4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682"/>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1,023,144</w:t>
            </w:r>
          </w:p>
        </w:tc>
        <w:tc>
          <w:tcPr>
            <w:tcW w:w="120" w:type="dxa"/>
            <w:vAlign w:val="bottom"/>
          </w:tcPr>
          <w:p>
            <w:pPr>
              <w:spacing w:after="0"/>
              <w:rPr>
                <w:sz w:val="24"/>
                <w:szCs w:val="24"/>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320" w:type="dxa"/>
            <w:vAlign w:val="bottom"/>
          </w:tcPr>
          <w:p>
            <w:pPr>
              <w:spacing w:after="0"/>
              <w:rPr>
                <w:sz w:val="24"/>
                <w:szCs w:val="24"/>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695,802</w:t>
            </w:r>
          </w:p>
        </w:tc>
        <w:tc>
          <w:tcPr>
            <w:tcW w:w="520" w:type="dxa"/>
            <w:vAlign w:val="bottom"/>
            <w:gridSpan w:val="3"/>
          </w:tcPr>
          <w:p>
            <w:pPr>
              <w:ind w:left="4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682"/>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358,462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279,825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-1756410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-1482090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-1207770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-899160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-616585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-307975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120" w:space="720"/>
            <w:col w:w="6400"/>
          </w:cols>
          <w:pgMar w:left="320" w:top="34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Weighted average contractual term of options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outstanding at June 30, 2021</w:t>
            </w:r>
          </w:p>
        </w:tc>
        <w:tc>
          <w:tcPr>
            <w:tcW w:w="3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140"/>
              <w:spacing w:after="0"/>
              <w:rPr>
                <w:sz w:val="20"/>
                <w:szCs w:val="20"/>
                <w:color w:val="auto"/>
              </w:rPr>
            </w:pPr>
            <w:r>
              <w:rPr>
                <w:rFonts w:ascii="Arial" w:cs="Arial" w:eastAsia="Arial" w:hAnsi="Arial"/>
                <w:sz w:val="18"/>
                <w:szCs w:val="18"/>
                <w:color w:val="auto"/>
              </w:rPr>
              <w:t>5.18 years</w:t>
            </w:r>
          </w:p>
        </w:tc>
        <w:tc>
          <w:tcPr>
            <w:tcW w:w="30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6.32 years</w:t>
            </w:r>
          </w:p>
        </w:tc>
      </w:tr>
      <w:tr>
        <w:trPr>
          <w:trHeight w:val="216"/>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contractual term of options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4840" w:type="dxa"/>
            <w:vAlign w:val="bottom"/>
          </w:tcPr>
          <w:p>
            <w:pPr>
              <w:ind w:left="260"/>
              <w:spacing w:after="0"/>
              <w:rPr>
                <w:sz w:val="20"/>
                <w:szCs w:val="20"/>
                <w:color w:val="auto"/>
              </w:rPr>
            </w:pPr>
            <w:r>
              <w:rPr>
                <w:rFonts w:ascii="Arial" w:cs="Arial" w:eastAsia="Arial" w:hAnsi="Arial"/>
                <w:sz w:val="18"/>
                <w:szCs w:val="18"/>
                <w:color w:val="auto"/>
              </w:rPr>
              <w:t>exercisable at June 30, 2021</w:t>
            </w:r>
          </w:p>
        </w:tc>
        <w:tc>
          <w:tcPr>
            <w:tcW w:w="300" w:type="dxa"/>
            <w:vAlign w:val="bottom"/>
          </w:tcPr>
          <w:p>
            <w:pPr>
              <w:spacing w:after="0"/>
              <w:rPr>
                <w:sz w:val="18"/>
                <w:szCs w:val="18"/>
                <w:color w:val="auto"/>
              </w:rPr>
            </w:pPr>
          </w:p>
        </w:tc>
        <w:tc>
          <w:tcPr>
            <w:tcW w:w="3100" w:type="dxa"/>
            <w:vAlign w:val="bottom"/>
            <w:gridSpan w:val="2"/>
          </w:tcPr>
          <w:p>
            <w:pPr>
              <w:jc w:val="right"/>
              <w:ind w:right="2140"/>
              <w:spacing w:after="0"/>
              <w:rPr>
                <w:sz w:val="20"/>
                <w:szCs w:val="20"/>
                <w:color w:val="auto"/>
              </w:rPr>
            </w:pPr>
            <w:r>
              <w:rPr>
                <w:rFonts w:ascii="Arial" w:cs="Arial" w:eastAsia="Arial" w:hAnsi="Arial"/>
                <w:sz w:val="18"/>
                <w:szCs w:val="18"/>
                <w:color w:val="auto"/>
              </w:rPr>
              <w:t>5.18 years</w:t>
            </w:r>
          </w:p>
        </w:tc>
        <w:tc>
          <w:tcPr>
            <w:tcW w:w="300" w:type="dxa"/>
            <w:vAlign w:val="bottom"/>
          </w:tcPr>
          <w:p>
            <w:pPr>
              <w:spacing w:after="0"/>
              <w:rPr>
                <w:sz w:val="18"/>
                <w:szCs w:val="18"/>
                <w:color w:val="auto"/>
              </w:rPr>
            </w:pPr>
          </w:p>
        </w:tc>
        <w:tc>
          <w:tcPr>
            <w:tcW w:w="2700" w:type="dxa"/>
            <w:vAlign w:val="bottom"/>
            <w:gridSpan w:val="2"/>
          </w:tcPr>
          <w:p>
            <w:pPr>
              <w:jc w:val="right"/>
              <w:ind w:right="1760"/>
              <w:spacing w:after="0"/>
              <w:rPr>
                <w:sz w:val="20"/>
                <w:szCs w:val="20"/>
                <w:color w:val="auto"/>
              </w:rPr>
            </w:pPr>
            <w:r>
              <w:rPr>
                <w:rFonts w:ascii="Arial" w:cs="Arial" w:eastAsia="Arial" w:hAnsi="Arial"/>
                <w:sz w:val="18"/>
                <w:szCs w:val="18"/>
                <w:color w:val="auto"/>
              </w:rPr>
              <w:t>6.32 years</w:t>
            </w:r>
          </w:p>
        </w:tc>
      </w:tr>
      <w:tr>
        <w:trPr>
          <w:trHeight w:val="216"/>
        </w:trPr>
        <w:tc>
          <w:tcPr>
            <w:tcW w:w="4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Aggregated intrinsic value of options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50"/>
        </w:trPr>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outstanding at June 30, 2021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3100" w:type="dxa"/>
            <w:vAlign w:val="bottom"/>
            <w:gridSpan w:val="2"/>
            <w:shd w:val="clear" w:color="auto" w:fill="CCEEFF"/>
          </w:tcPr>
          <w:p>
            <w:pPr>
              <w:jc w:val="right"/>
              <w:ind w:right="2140"/>
              <w:spacing w:after="0"/>
              <w:rPr>
                <w:sz w:val="20"/>
                <w:szCs w:val="20"/>
                <w:color w:val="auto"/>
              </w:rPr>
            </w:pPr>
            <w:r>
              <w:rPr>
                <w:rFonts w:ascii="Arial" w:cs="Arial" w:eastAsia="Arial" w:hAnsi="Arial"/>
                <w:sz w:val="18"/>
                <w:szCs w:val="18"/>
                <w:color w:val="auto"/>
              </w:rPr>
              <w:t>4,135,399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2,585,420</w:t>
            </w:r>
          </w:p>
        </w:tc>
        <w:tc>
          <w:tcPr>
            <w:tcW w:w="1760" w:type="dxa"/>
            <w:vAlign w:val="bottom"/>
            <w:shd w:val="clear" w:color="auto" w:fill="CCEEFF"/>
          </w:tcPr>
          <w:p>
            <w:pPr>
              <w:spacing w:after="0"/>
              <w:rPr>
                <w:sz w:val="21"/>
                <w:szCs w:val="21"/>
                <w:color w:val="auto"/>
              </w:rPr>
            </w:pPr>
          </w:p>
        </w:tc>
      </w:tr>
      <w:tr>
        <w:trPr>
          <w:trHeight w:val="216"/>
        </w:trPr>
        <w:tc>
          <w:tcPr>
            <w:tcW w:w="48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Aggregated intrinsic value of options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50"/>
        </w:trPr>
        <w:tc>
          <w:tcPr>
            <w:tcW w:w="4840" w:type="dxa"/>
            <w:vAlign w:val="bottom"/>
          </w:tcPr>
          <w:p>
            <w:pPr>
              <w:ind w:left="260"/>
              <w:spacing w:after="0"/>
              <w:rPr>
                <w:sz w:val="20"/>
                <w:szCs w:val="20"/>
                <w:color w:val="auto"/>
              </w:rPr>
            </w:pPr>
            <w:r>
              <w:rPr>
                <w:rFonts w:ascii="Arial" w:cs="Arial" w:eastAsia="Arial" w:hAnsi="Arial"/>
                <w:sz w:val="18"/>
                <w:szCs w:val="18"/>
                <w:color w:val="auto"/>
              </w:rPr>
              <w:t>exercisable at June 30, 2021 (1)</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4,135,399</w:t>
            </w:r>
          </w:p>
        </w:tc>
        <w:tc>
          <w:tcPr>
            <w:tcW w:w="21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2,585,420</w:t>
            </w:r>
          </w:p>
        </w:tc>
        <w:tc>
          <w:tcPr>
            <w:tcW w:w="1760" w:type="dxa"/>
            <w:vAlign w:val="bottom"/>
          </w:tcPr>
          <w:p>
            <w:pPr>
              <w:spacing w:after="0"/>
              <w:rPr>
                <w:sz w:val="21"/>
                <w:szCs w:val="21"/>
                <w:color w:val="auto"/>
              </w:rPr>
            </w:pPr>
          </w:p>
        </w:tc>
      </w:tr>
    </w:tbl>
    <w:p>
      <w:pPr>
        <w:spacing w:after="0" w:line="202" w:lineRule="exact"/>
        <w:rPr>
          <w:sz w:val="20"/>
          <w:szCs w:val="20"/>
          <w:color w:val="auto"/>
        </w:rPr>
      </w:pPr>
    </w:p>
    <w:p>
      <w:pPr>
        <w:ind w:left="5540" w:right="4780" w:hanging="5532"/>
        <w:spacing w:after="0" w:line="705" w:lineRule="auto"/>
        <w:tabs>
          <w:tab w:leader="none" w:pos="237"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used a stock price of $8.33 as of June 30, 2021 to derive intrinsic value.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auto"/>
        </w:rPr>
        <w:t>(5) Stock Compensation Plans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status of the Company’s stock compensation plans as of June 30, 2020, and the changes during the six months ended June 30, 2020, are presented below:</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Outstanding at January 1, 2020</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Adjustment for effect of stock dividends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Cancelled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Outstanding at June 30, 2020</w:t>
      </w:r>
    </w:p>
    <w:p>
      <w:pPr>
        <w:spacing w:after="0" w:line="27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of June 30, 2020:</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Options exercisable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Number of</w:t>
            </w:r>
          </w:p>
        </w:tc>
        <w:tc>
          <w:tcPr>
            <w:tcW w:w="340" w:type="dxa"/>
            <w:vAlign w:val="bottom"/>
          </w:tcPr>
          <w:p>
            <w:pPr>
              <w:spacing w:after="0"/>
              <w:rPr>
                <w:sz w:val="18"/>
                <w:szCs w:val="18"/>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color w:val="auto"/>
              </w:rPr>
              <w:t>Weighted Average</w:t>
            </w:r>
          </w:p>
        </w:tc>
        <w:tc>
          <w:tcPr>
            <w:tcW w:w="1660" w:type="dxa"/>
            <w:vAlign w:val="bottom"/>
            <w:gridSpan w:val="4"/>
          </w:tcPr>
          <w:p>
            <w:pPr>
              <w:jc w:val="center"/>
              <w:ind w:right="320"/>
              <w:spacing w:after="0"/>
              <w:rPr>
                <w:sz w:val="20"/>
                <w:szCs w:val="20"/>
                <w:color w:val="auto"/>
              </w:rPr>
            </w:pPr>
            <w:r>
              <w:rPr>
                <w:rFonts w:ascii="Arial" w:cs="Arial" w:eastAsia="Arial" w:hAnsi="Arial"/>
                <w:sz w:val="18"/>
                <w:szCs w:val="18"/>
                <w:color w:val="auto"/>
                <w:w w:val="92"/>
              </w:rPr>
              <w:t>Number of</w:t>
            </w:r>
          </w:p>
        </w:tc>
        <w:tc>
          <w:tcPr>
            <w:tcW w:w="1340" w:type="dxa"/>
            <w:vAlign w:val="bottom"/>
            <w:gridSpan w:val="4"/>
          </w:tcPr>
          <w:p>
            <w:pPr>
              <w:spacing w:after="0"/>
              <w:rPr>
                <w:sz w:val="20"/>
                <w:szCs w:val="20"/>
                <w:color w:val="auto"/>
              </w:rPr>
            </w:pPr>
            <w:r>
              <w:rPr>
                <w:rFonts w:ascii="Arial" w:cs="Arial" w:eastAsia="Arial" w:hAnsi="Arial"/>
                <w:sz w:val="18"/>
                <w:szCs w:val="18"/>
                <w:color w:val="auto"/>
                <w:w w:val="89"/>
              </w:rPr>
              <w:t>Weighted Average</w:t>
            </w:r>
          </w:p>
        </w:tc>
      </w:tr>
      <w:tr>
        <w:trPr>
          <w:trHeight w:val="230"/>
        </w:trPr>
        <w:tc>
          <w:tcPr>
            <w:tcW w:w="1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8"/>
              </w:rPr>
              <w:t>Class A Shares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Exercise Price</w:t>
            </w:r>
          </w:p>
        </w:tc>
        <w:tc>
          <w:tcPr>
            <w:tcW w:w="320" w:type="dxa"/>
            <w:vAlign w:val="bottom"/>
          </w:tcPr>
          <w:p>
            <w:pPr>
              <w:spacing w:after="0"/>
              <w:rPr>
                <w:sz w:val="20"/>
                <w:szCs w:val="20"/>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Class C Shares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Exercise Price</w:t>
            </w:r>
          </w:p>
        </w:tc>
      </w:tr>
      <w:tr>
        <w:trPr>
          <w:trHeight w:val="411"/>
        </w:trPr>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1,086,053</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32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594,132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5.36</w:t>
            </w:r>
          </w:p>
        </w:tc>
      </w:tr>
      <w:tr>
        <w:trPr>
          <w:trHeight w:val="216"/>
        </w:trPr>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29,099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22,544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77,000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(78,803)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4"/>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CDFFCC"/>
            </w:tcBorders>
          </w:tcPr>
          <w:p>
            <w:pPr>
              <w:spacing w:after="0"/>
              <w:rPr>
                <w:sz w:val="20"/>
                <w:szCs w:val="20"/>
                <w:color w:val="auto"/>
              </w:rPr>
            </w:pPr>
          </w:p>
        </w:tc>
        <w:tc>
          <w:tcPr>
            <w:tcW w:w="1140" w:type="dxa"/>
            <w:vAlign w:val="bottom"/>
            <w:tcBorders>
              <w:bottom w:val="single" w:sz="8" w:color="CDFFCC"/>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420" w:type="dxa"/>
            <w:vAlign w:val="bottom"/>
            <w:gridSpan w:val="3"/>
          </w:tcPr>
          <w:p>
            <w:pPr>
              <w:spacing w:after="0"/>
              <w:rPr>
                <w:sz w:val="20"/>
                <w:szCs w:val="20"/>
                <w:color w:val="auto"/>
              </w:rPr>
            </w:pPr>
          </w:p>
        </w:tc>
        <w:tc>
          <w:tcPr>
            <w:tcW w:w="120" w:type="dxa"/>
            <w:vAlign w:val="bottom"/>
            <w:tcBorders>
              <w:bottom w:val="single" w:sz="8" w:color="CDFFCC"/>
            </w:tcBorders>
          </w:tcPr>
          <w:p>
            <w:pPr>
              <w:spacing w:after="0"/>
              <w:rPr>
                <w:sz w:val="20"/>
                <w:szCs w:val="20"/>
                <w:color w:val="auto"/>
              </w:rPr>
            </w:pPr>
          </w:p>
        </w:tc>
        <w:tc>
          <w:tcPr>
            <w:tcW w:w="1120" w:type="dxa"/>
            <w:vAlign w:val="bottom"/>
            <w:tcBorders>
              <w:bottom w:val="single" w:sz="8" w:color="CDFFC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1,113,349</w:t>
            </w:r>
          </w:p>
        </w:tc>
        <w:tc>
          <w:tcPr>
            <w:tcW w:w="120" w:type="dxa"/>
            <w:vAlign w:val="bottom"/>
          </w:tcPr>
          <w:p>
            <w:pPr>
              <w:spacing w:after="0"/>
              <w:rPr>
                <w:sz w:val="20"/>
                <w:szCs w:val="20"/>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796,676</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4.87</w:t>
            </w:r>
          </w:p>
        </w:tc>
      </w:tr>
      <w:tr>
        <w:trPr>
          <w:trHeight w:val="695"/>
        </w:trPr>
        <w:tc>
          <w:tcPr>
            <w:tcW w:w="1260" w:type="dxa"/>
            <w:vAlign w:val="bottom"/>
          </w:tcPr>
          <w:p>
            <w:pPr>
              <w:jc w:val="right"/>
              <w:spacing w:after="0"/>
              <w:rPr>
                <w:sz w:val="20"/>
                <w:szCs w:val="20"/>
                <w:color w:val="auto"/>
              </w:rPr>
            </w:pPr>
            <w:r>
              <w:rPr>
                <w:rFonts w:ascii="Arial" w:cs="Arial" w:eastAsia="Arial" w:hAnsi="Arial"/>
                <w:sz w:val="18"/>
                <w:szCs w:val="18"/>
                <w:color w:val="auto"/>
              </w:rPr>
              <w:t>1,013,955</w:t>
            </w:r>
          </w:p>
        </w:tc>
        <w:tc>
          <w:tcPr>
            <w:tcW w:w="120" w:type="dxa"/>
            <w:vAlign w:val="bottom"/>
          </w:tcPr>
          <w:p>
            <w:pPr>
              <w:spacing w:after="0"/>
              <w:rPr>
                <w:sz w:val="24"/>
                <w:szCs w:val="24"/>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32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561,440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24"/>
                <w:szCs w:val="24"/>
                <w:color w:val="auto"/>
              </w:rPr>
            </w:pPr>
          </w:p>
        </w:tc>
      </w:tr>
      <w:tr>
        <w:trPr>
          <w:trHeight w:val="20"/>
        </w:trPr>
        <w:tc>
          <w:tcPr>
            <w:tcW w:w="12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CDFFCC"/>
            </w:tcBorders>
            <w:shd w:val="clear" w:color="auto" w:fill="CDFFCC"/>
          </w:tcPr>
          <w:p>
            <w:pPr>
              <w:spacing w:after="0" w:line="20" w:lineRule="exact"/>
              <w:rPr>
                <w:sz w:val="1"/>
                <w:szCs w:val="1"/>
                <w:color w:val="auto"/>
              </w:rPr>
            </w:pPr>
          </w:p>
        </w:tc>
        <w:tc>
          <w:tcPr>
            <w:tcW w:w="1140" w:type="dxa"/>
            <w:vAlign w:val="bottom"/>
            <w:tcBorders>
              <w:top w:val="single" w:sz="8" w:color="CDFFCC"/>
            </w:tcBorders>
            <w:shd w:val="clear" w:color="auto" w:fill="CDFF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CDFFCC"/>
            </w:tcBorders>
            <w:shd w:val="clear" w:color="auto" w:fill="CDFFCC"/>
          </w:tcPr>
          <w:p>
            <w:pPr>
              <w:spacing w:after="0" w:line="20" w:lineRule="exact"/>
              <w:rPr>
                <w:sz w:val="1"/>
                <w:szCs w:val="1"/>
                <w:color w:val="auto"/>
              </w:rPr>
            </w:pPr>
          </w:p>
        </w:tc>
        <w:tc>
          <w:tcPr>
            <w:tcW w:w="1120" w:type="dxa"/>
            <w:vAlign w:val="bottom"/>
            <w:tcBorders>
              <w:top w:val="single" w:sz="8" w:color="CDFFCC"/>
            </w:tcBorders>
            <w:shd w:val="clear" w:color="auto" w:fill="CDFFCC"/>
          </w:tcPr>
          <w:p>
            <w:pPr>
              <w:spacing w:after="0" w:line="20" w:lineRule="exact"/>
              <w:rPr>
                <w:sz w:val="1"/>
                <w:szCs w:val="1"/>
                <w:color w:val="auto"/>
              </w:rPr>
            </w:pPr>
          </w:p>
        </w:tc>
        <w:tc>
          <w:tcPr>
            <w:tcW w:w="20" w:type="dxa"/>
            <w:vAlign w:val="bottom"/>
            <w:tcBorders>
              <w:top w:val="single" w:sz="8" w:color="CDFF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-1319530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-1045210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-770890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-462280</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-179070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34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of June 30, 2020: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840" w:type="dxa"/>
            <w:vAlign w:val="bottom"/>
          </w:tcPr>
          <w:p>
            <w:pPr>
              <w:ind w:left="100"/>
              <w:spacing w:after="0"/>
              <w:rPr>
                <w:sz w:val="20"/>
                <w:szCs w:val="20"/>
                <w:color w:val="auto"/>
              </w:rPr>
            </w:pPr>
            <w:r>
              <w:rPr>
                <w:rFonts w:ascii="Arial" w:cs="Arial" w:eastAsia="Arial" w:hAnsi="Arial"/>
                <w:sz w:val="18"/>
                <w:szCs w:val="18"/>
                <w:color w:val="auto"/>
              </w:rPr>
              <w:t>Available options for future grant</w:t>
            </w:r>
          </w:p>
        </w:tc>
        <w:tc>
          <w:tcPr>
            <w:tcW w:w="300" w:type="dxa"/>
            <w:vAlign w:val="bottom"/>
          </w:tcPr>
          <w:p>
            <w:pPr>
              <w:spacing w:after="0"/>
              <w:rPr>
                <w:sz w:val="24"/>
                <w:szCs w:val="2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325,372</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266,500</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48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DFFCC"/>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DFFCC"/>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Weighted average contractual term of options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outstanding at June 30, 2020</w:t>
            </w:r>
          </w:p>
        </w:tc>
        <w:tc>
          <w:tcPr>
            <w:tcW w:w="30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5.97 years</w:t>
            </w:r>
          </w:p>
        </w:tc>
        <w:tc>
          <w:tcPr>
            <w:tcW w:w="300" w:type="dxa"/>
            <w:vAlign w:val="bottom"/>
            <w:shd w:val="clear" w:color="auto" w:fill="CCEEFF"/>
          </w:tcPr>
          <w:p>
            <w:pPr>
              <w:spacing w:after="0"/>
              <w:rPr>
                <w:sz w:val="18"/>
                <w:szCs w:val="18"/>
                <w:color w:val="auto"/>
              </w:rPr>
            </w:pPr>
          </w:p>
        </w:tc>
        <w:tc>
          <w:tcPr>
            <w:tcW w:w="27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6.18 years</w:t>
            </w:r>
          </w:p>
        </w:tc>
      </w:tr>
      <w:tr>
        <w:trPr>
          <w:trHeight w:val="216"/>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contractual term of options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260"/>
              <w:spacing w:after="0"/>
              <w:rPr>
                <w:sz w:val="20"/>
                <w:szCs w:val="20"/>
                <w:color w:val="auto"/>
              </w:rPr>
            </w:pPr>
            <w:r>
              <w:rPr>
                <w:rFonts w:ascii="Arial" w:cs="Arial" w:eastAsia="Arial" w:hAnsi="Arial"/>
                <w:sz w:val="18"/>
                <w:szCs w:val="18"/>
                <w:color w:val="auto"/>
              </w:rPr>
              <w:t>exercisable at June 30, 2020</w:t>
            </w:r>
          </w:p>
        </w:tc>
        <w:tc>
          <w:tcPr>
            <w:tcW w:w="300" w:type="dxa"/>
            <w:vAlign w:val="bottom"/>
          </w:tcPr>
          <w:p>
            <w:pPr>
              <w:spacing w:after="0"/>
              <w:rPr>
                <w:sz w:val="18"/>
                <w:szCs w:val="18"/>
                <w:color w:val="auto"/>
              </w:rPr>
            </w:pPr>
          </w:p>
        </w:tc>
        <w:tc>
          <w:tcPr>
            <w:tcW w:w="3100" w:type="dxa"/>
            <w:vAlign w:val="bottom"/>
            <w:gridSpan w:val="4"/>
          </w:tcPr>
          <w:p>
            <w:pPr>
              <w:ind w:left="220"/>
              <w:spacing w:after="0"/>
              <w:rPr>
                <w:sz w:val="20"/>
                <w:szCs w:val="20"/>
                <w:color w:val="auto"/>
              </w:rPr>
            </w:pPr>
            <w:r>
              <w:rPr>
                <w:rFonts w:ascii="Arial" w:cs="Arial" w:eastAsia="Arial" w:hAnsi="Arial"/>
                <w:sz w:val="18"/>
                <w:szCs w:val="18"/>
                <w:color w:val="auto"/>
              </w:rPr>
              <w:t>5.61 years</w:t>
            </w:r>
          </w:p>
        </w:tc>
        <w:tc>
          <w:tcPr>
            <w:tcW w:w="300" w:type="dxa"/>
            <w:vAlign w:val="bottom"/>
          </w:tcPr>
          <w:p>
            <w:pPr>
              <w:spacing w:after="0"/>
              <w:rPr>
                <w:sz w:val="18"/>
                <w:szCs w:val="18"/>
                <w:color w:val="auto"/>
              </w:rPr>
            </w:pPr>
          </w:p>
        </w:tc>
        <w:tc>
          <w:tcPr>
            <w:tcW w:w="2700" w:type="dxa"/>
            <w:vAlign w:val="bottom"/>
            <w:gridSpan w:val="4"/>
          </w:tcPr>
          <w:p>
            <w:pPr>
              <w:ind w:left="200"/>
              <w:spacing w:after="0"/>
              <w:rPr>
                <w:sz w:val="20"/>
                <w:szCs w:val="20"/>
                <w:color w:val="auto"/>
              </w:rPr>
            </w:pPr>
            <w:r>
              <w:rPr>
                <w:rFonts w:ascii="Arial" w:cs="Arial" w:eastAsia="Arial" w:hAnsi="Arial"/>
                <w:sz w:val="18"/>
                <w:szCs w:val="18"/>
                <w:color w:val="auto"/>
              </w:rPr>
              <w:t>5.32 years</w:t>
            </w:r>
          </w:p>
        </w:tc>
      </w:tr>
      <w:tr>
        <w:trPr>
          <w:trHeight w:val="216"/>
        </w:trPr>
        <w:tc>
          <w:tcPr>
            <w:tcW w:w="4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Aggregated intrinsic value of options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3"/>
        </w:trPr>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outstanding at June 30, 2020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2,568,502</w:t>
            </w:r>
          </w:p>
        </w:tc>
        <w:tc>
          <w:tcPr>
            <w:tcW w:w="1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1,360,855</w:t>
            </w: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196"/>
        </w:trPr>
        <w:tc>
          <w:tcPr>
            <w:tcW w:w="48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60" w:type="dxa"/>
            <w:vAlign w:val="bottom"/>
            <w:tcBorders>
              <w:top w:val="single" w:sz="8" w:color="CDFFCC"/>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240" w:type="dxa"/>
            <w:vAlign w:val="bottom"/>
            <w:tcBorders>
              <w:top w:val="single" w:sz="8" w:color="CDFFCC"/>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Aggregated intrinsic value of options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840" w:type="dxa"/>
            <w:vAlign w:val="bottom"/>
          </w:tcPr>
          <w:p>
            <w:pPr>
              <w:ind w:left="260"/>
              <w:spacing w:after="0"/>
              <w:rPr>
                <w:sz w:val="20"/>
                <w:szCs w:val="20"/>
                <w:color w:val="auto"/>
              </w:rPr>
            </w:pPr>
            <w:r>
              <w:rPr>
                <w:rFonts w:ascii="Arial" w:cs="Arial" w:eastAsia="Arial" w:hAnsi="Arial"/>
                <w:sz w:val="18"/>
                <w:szCs w:val="18"/>
                <w:color w:val="auto"/>
              </w:rPr>
              <w:t>exercisable at June 30, 2020 (1)</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2,338,090</w:t>
            </w:r>
          </w:p>
        </w:tc>
        <w:tc>
          <w:tcPr>
            <w:tcW w:w="460" w:type="dxa"/>
            <w:vAlign w:val="bottom"/>
          </w:tcPr>
          <w:p>
            <w:pPr>
              <w:spacing w:after="0"/>
              <w:rPr>
                <w:sz w:val="24"/>
                <w:szCs w:val="24"/>
                <w:color w:val="auto"/>
              </w:rPr>
            </w:pPr>
          </w:p>
        </w:tc>
        <w:tc>
          <w:tcPr>
            <w:tcW w:w="1260" w:type="dxa"/>
            <w:vAlign w:val="bottom"/>
            <w:tcBorders>
              <w:bottom w:val="single" w:sz="8" w:color="CDFFCC"/>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823,712</w:t>
            </w:r>
          </w:p>
        </w:tc>
        <w:tc>
          <w:tcPr>
            <w:tcW w:w="420" w:type="dxa"/>
            <w:vAlign w:val="bottom"/>
          </w:tcPr>
          <w:p>
            <w:pPr>
              <w:spacing w:after="0"/>
              <w:rPr>
                <w:sz w:val="24"/>
                <w:szCs w:val="24"/>
                <w:color w:val="auto"/>
              </w:rPr>
            </w:pPr>
          </w:p>
        </w:tc>
        <w:tc>
          <w:tcPr>
            <w:tcW w:w="1240" w:type="dxa"/>
            <w:vAlign w:val="bottom"/>
            <w:tcBorders>
              <w:bottom w:val="single" w:sz="8" w:color="CDFFCC"/>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Company used a stock price of $6.58 as of June 30, 2020 to derive intrinsic value.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intrinsic value (which is the amount by which the fair value of the underlying stock exceeds the exercise price of an option on the exercise date) of stock options exercised during the six months June 30, 2021 and 2020 was $434,318 and $191,656, respectively.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9" w:name="page30"/>
    <w:bookmarkEnd w:id="29"/>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basic and diluted earnings per share amounts were calculated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6"/>
          </w:tcPr>
          <w:p>
            <w:pPr>
              <w:ind w:left="66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8"/>
                <w:szCs w:val="18"/>
                <w:color w:val="auto"/>
              </w:rPr>
            </w:pPr>
          </w:p>
        </w:tc>
        <w:tc>
          <w:tcPr>
            <w:tcW w:w="2880" w:type="dxa"/>
            <w:vAlign w:val="bottom"/>
            <w:gridSpan w:val="6"/>
          </w:tcPr>
          <w:p>
            <w:pPr>
              <w:jc w:val="center"/>
              <w:ind w:right="10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2"/>
              </w:rPr>
              <w:t>30-June</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850"/>
              <w:spacing w:after="0"/>
              <w:rPr>
                <w:sz w:val="20"/>
                <w:szCs w:val="20"/>
                <w:color w:val="auto"/>
              </w:rPr>
            </w:pPr>
            <w:r>
              <w:rPr>
                <w:rFonts w:ascii="Arial" w:cs="Arial" w:eastAsia="Arial" w:hAnsi="Arial"/>
                <w:sz w:val="18"/>
                <w:szCs w:val="18"/>
                <w:color w:val="auto"/>
                <w:w w:val="86"/>
              </w:rPr>
              <w:t>30-June</w:t>
            </w: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top w:val="single" w:sz="8" w:color="CDFFCC"/>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DFFCC"/>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DFFCC"/>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DFFCC"/>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0"/>
        </w:trPr>
        <w:tc>
          <w:tcPr>
            <w:tcW w:w="4840" w:type="dxa"/>
            <w:vAlign w:val="bottom"/>
          </w:tcPr>
          <w:p>
            <w:pPr>
              <w:spacing w:after="0"/>
              <w:rPr>
                <w:sz w:val="20"/>
                <w:szCs w:val="20"/>
                <w:color w:val="auto"/>
              </w:rPr>
            </w:pPr>
            <w:r>
              <w:rPr>
                <w:rFonts w:ascii="Arial" w:cs="Arial" w:eastAsia="Arial" w:hAnsi="Arial"/>
                <w:sz w:val="18"/>
                <w:szCs w:val="18"/>
                <w:color w:val="auto"/>
              </w:rPr>
              <w:t>Net earnings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11,257,479</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20,557,047</w:t>
            </w:r>
          </w:p>
        </w:tc>
        <w:tc>
          <w:tcPr>
            <w:tcW w:w="3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23,386,194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21,981,496</w:t>
            </w:r>
          </w:p>
        </w:tc>
        <w:tc>
          <w:tcPr>
            <w:tcW w:w="80" w:type="dxa"/>
            <w:vAlign w:val="bottom"/>
          </w:tcPr>
          <w:p>
            <w:pPr>
              <w:spacing w:after="0"/>
              <w:rPr>
                <w:sz w:val="21"/>
                <w:szCs w:val="21"/>
                <w:color w:val="auto"/>
              </w:rPr>
            </w:pP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Basic weighted-average shares outstanding</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20,106,954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19,719,792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20,093,834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19,658,351</w:t>
            </w:r>
          </w:p>
        </w:tc>
        <w:tc>
          <w:tcPr>
            <w:tcW w:w="80" w:type="dxa"/>
            <w:vAlign w:val="bottom"/>
          </w:tcPr>
          <w:p>
            <w:pPr>
              <w:spacing w:after="0"/>
              <w:rPr>
                <w:sz w:val="19"/>
                <w:szCs w:val="19"/>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Employee stock options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784,817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439,593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826,048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349,502</w:t>
            </w:r>
          </w:p>
        </w:tc>
        <w:tc>
          <w:tcPr>
            <w:tcW w:w="80" w:type="dxa"/>
            <w:vAlign w:val="bottom"/>
          </w:tcPr>
          <w:p>
            <w:pPr>
              <w:spacing w:after="0"/>
              <w:rPr>
                <w:sz w:val="18"/>
                <w:szCs w:val="18"/>
                <w:color w:val="auto"/>
              </w:rPr>
            </w:pPr>
          </w:p>
        </w:tc>
      </w:tr>
      <w:tr>
        <w:trPr>
          <w:trHeight w:val="210"/>
        </w:trPr>
        <w:tc>
          <w:tcPr>
            <w:tcW w:w="4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DFFCC"/>
            </w:tcBorders>
            <w:shd w:val="clear" w:color="auto" w:fill="CCEEFF"/>
          </w:tcPr>
          <w:p>
            <w:pPr>
              <w:spacing w:after="0"/>
              <w:rPr>
                <w:sz w:val="18"/>
                <w:szCs w:val="18"/>
                <w:color w:val="auto"/>
              </w:rPr>
            </w:pPr>
          </w:p>
        </w:tc>
        <w:tc>
          <w:tcPr>
            <w:tcW w:w="1140" w:type="dxa"/>
            <w:vAlign w:val="bottom"/>
            <w:tcBorders>
              <w:top w:val="single" w:sz="8" w:color="auto"/>
              <w:bottom w:val="single" w:sz="8" w:color="CDFFCC"/>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DFFCC"/>
            </w:tcBorders>
            <w:shd w:val="clear" w:color="auto" w:fill="CCEEFF"/>
          </w:tcPr>
          <w:p>
            <w:pPr>
              <w:spacing w:after="0"/>
              <w:rPr>
                <w:sz w:val="18"/>
                <w:szCs w:val="18"/>
                <w:color w:val="auto"/>
              </w:rPr>
            </w:pPr>
          </w:p>
        </w:tc>
        <w:tc>
          <w:tcPr>
            <w:tcW w:w="1140" w:type="dxa"/>
            <w:vAlign w:val="bottom"/>
            <w:tcBorders>
              <w:top w:val="single" w:sz="8" w:color="auto"/>
              <w:bottom w:val="single" w:sz="8" w:color="CDFFCC"/>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DFFCC"/>
            </w:tcBorders>
            <w:shd w:val="clear" w:color="auto" w:fill="CCEEFF"/>
          </w:tcPr>
          <w:p>
            <w:pPr>
              <w:spacing w:after="0"/>
              <w:rPr>
                <w:sz w:val="18"/>
                <w:szCs w:val="18"/>
                <w:color w:val="auto"/>
              </w:rPr>
            </w:pPr>
          </w:p>
        </w:tc>
        <w:tc>
          <w:tcPr>
            <w:tcW w:w="1120" w:type="dxa"/>
            <w:vAlign w:val="bottom"/>
            <w:tcBorders>
              <w:top w:val="single" w:sz="8" w:color="auto"/>
              <w:bottom w:val="single" w:sz="8" w:color="CDFFCC"/>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DFFCC"/>
            </w:tcBorders>
            <w:shd w:val="clear" w:color="auto" w:fill="CCEEFF"/>
          </w:tcPr>
          <w:p>
            <w:pPr>
              <w:spacing w:after="0"/>
              <w:rPr>
                <w:sz w:val="18"/>
                <w:szCs w:val="18"/>
                <w:color w:val="auto"/>
              </w:rPr>
            </w:pPr>
          </w:p>
        </w:tc>
        <w:tc>
          <w:tcPr>
            <w:tcW w:w="160" w:type="dxa"/>
            <w:vAlign w:val="bottom"/>
            <w:tcBorders>
              <w:top w:val="single" w:sz="8" w:color="auto"/>
              <w:bottom w:val="single" w:sz="8" w:color="CDFFCC"/>
            </w:tcBorders>
            <w:shd w:val="clear" w:color="auto" w:fill="CCEEFF"/>
          </w:tcPr>
          <w:p>
            <w:pPr>
              <w:spacing w:after="0"/>
              <w:rPr>
                <w:sz w:val="18"/>
                <w:szCs w:val="18"/>
                <w:color w:val="auto"/>
              </w:rPr>
            </w:pPr>
          </w:p>
        </w:tc>
        <w:tc>
          <w:tcPr>
            <w:tcW w:w="980" w:type="dxa"/>
            <w:vAlign w:val="bottom"/>
            <w:tcBorders>
              <w:top w:val="single" w:sz="8" w:color="auto"/>
              <w:bottom w:val="single" w:sz="8" w:color="CDFFCC"/>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weighted-average shares outstanding</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20,891,771</w:t>
            </w:r>
          </w:p>
        </w:tc>
        <w:tc>
          <w:tcPr>
            <w:tcW w:w="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20,159,385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20,919,882</w:t>
            </w:r>
          </w:p>
        </w:tc>
        <w:tc>
          <w:tcPr>
            <w:tcW w:w="4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20,007,853</w:t>
            </w:r>
          </w:p>
        </w:tc>
        <w:tc>
          <w:tcPr>
            <w:tcW w:w="80" w:type="dxa"/>
            <w:vAlign w:val="bottom"/>
            <w:tcBorders>
              <w:bottom w:val="single" w:sz="8" w:color="CCEEFF"/>
            </w:tcBorders>
          </w:tcPr>
          <w:p>
            <w:pPr>
              <w:spacing w:after="0"/>
              <w:rPr>
                <w:sz w:val="20"/>
                <w:szCs w:val="20"/>
                <w:color w:val="auto"/>
              </w:rPr>
            </w:pPr>
          </w:p>
        </w:tc>
      </w:tr>
      <w:tr>
        <w:trPr>
          <w:trHeight w:val="216"/>
        </w:trPr>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0"/>
        </w:trPr>
        <w:tc>
          <w:tcPr>
            <w:tcW w:w="484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0.56</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1.16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1"/>
                <w:szCs w:val="21"/>
                <w:color w:val="auto"/>
              </w:rPr>
            </w:pPr>
          </w:p>
        </w:tc>
      </w:tr>
      <w:tr>
        <w:trPr>
          <w:trHeight w:val="216"/>
        </w:trPr>
        <w:tc>
          <w:tcPr>
            <w:tcW w:w="4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484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0.54</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1.12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earnings per share amounts have been retroactively adjusted for the effect of annual stock dividends. For the six months June 30, 2021 and 2020,there were 0 and 0 of anti-dilutive employee stock option shares, respectively, that were not included in the computation of diluted net earnings per common share as their effect would be anti-dilutive. Basic and diluted earnings per share amounts are the same for each class of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shares of capital stock for the periods presented: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480" w:type="dxa"/>
            <w:vAlign w:val="bottom"/>
            <w:gridSpan w:val="3"/>
          </w:tcPr>
          <w:p>
            <w:pPr>
              <w:ind w:left="520"/>
              <w:spacing w:after="0"/>
              <w:rPr>
                <w:sz w:val="20"/>
                <w:szCs w:val="20"/>
                <w:color w:val="auto"/>
              </w:rPr>
            </w:pPr>
            <w:r>
              <w:rPr>
                <w:rFonts w:ascii="Arial" w:cs="Arial" w:eastAsia="Arial" w:hAnsi="Arial"/>
                <w:sz w:val="18"/>
                <w:szCs w:val="18"/>
                <w:color w:val="auto"/>
              </w:rPr>
              <w:t>Class A</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Class C</w:t>
            </w:r>
          </w:p>
        </w:tc>
      </w:tr>
      <w:tr>
        <w:trPr>
          <w:trHeight w:val="210"/>
        </w:trPr>
        <w:tc>
          <w:tcPr>
            <w:tcW w:w="72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shares at December 31, 2019</w:t>
            </w:r>
          </w:p>
        </w:tc>
        <w:tc>
          <w:tcPr>
            <w:tcW w:w="16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16,107,779</w:t>
            </w:r>
          </w:p>
        </w:tc>
        <w:tc>
          <w:tcPr>
            <w:tcW w:w="8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2,500,887</w:t>
            </w:r>
          </w:p>
        </w:tc>
      </w:tr>
      <w:tr>
        <w:trPr>
          <w:trHeight w:val="216"/>
        </w:trPr>
        <w:tc>
          <w:tcPr>
            <w:tcW w:w="7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Exercise of stock options</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33,774</w:t>
            </w:r>
          </w:p>
        </w:tc>
        <w:tc>
          <w:tcPr>
            <w:tcW w:w="8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ind w:left="260"/>
              <w:spacing w:after="0"/>
              <w:rPr>
                <w:sz w:val="20"/>
                <w:szCs w:val="20"/>
                <w:color w:val="auto"/>
              </w:rPr>
            </w:pPr>
            <w:r>
              <w:rPr>
                <w:rFonts w:ascii="Arial" w:cs="Arial" w:eastAsia="Arial" w:hAnsi="Arial"/>
                <w:sz w:val="18"/>
                <w:szCs w:val="18"/>
                <w:color w:val="auto"/>
              </w:rPr>
              <w:t>Stock dividends</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404,839</w:t>
            </w:r>
          </w:p>
        </w:tc>
        <w:tc>
          <w:tcPr>
            <w:tcW w:w="8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61,720</w:t>
            </w:r>
          </w:p>
        </w:tc>
      </w:tr>
      <w:tr>
        <w:trPr>
          <w:trHeight w:val="216"/>
        </w:trPr>
        <w:tc>
          <w:tcPr>
            <w:tcW w:w="7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Conversion of Class C to Class A</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11,162</w:t>
            </w:r>
          </w:p>
        </w:tc>
        <w:tc>
          <w:tcPr>
            <w:tcW w:w="8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(11,162)</w:t>
            </w:r>
          </w:p>
        </w:tc>
      </w:tr>
      <w:tr>
        <w:trPr>
          <w:trHeight w:val="209"/>
        </w:trPr>
        <w:tc>
          <w:tcPr>
            <w:tcW w:w="72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CDFFCC"/>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CDFFCC"/>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30"/>
        </w:trPr>
        <w:tc>
          <w:tcPr>
            <w:tcW w:w="7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shares at June 30,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16,557,554</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2,551,445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7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Outstanding shares at December 31, 2020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16,595,783</w:t>
            </w:r>
          </w:p>
        </w:tc>
        <w:tc>
          <w:tcPr>
            <w:tcW w:w="8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2,679,603</w:t>
            </w:r>
          </w:p>
        </w:tc>
      </w:tr>
      <w:tr>
        <w:trPr>
          <w:trHeight w:val="216"/>
        </w:trPr>
        <w:tc>
          <w:tcPr>
            <w:tcW w:w="7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Exercise of stock options</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80,948</w:t>
            </w:r>
          </w:p>
        </w:tc>
        <w:tc>
          <w:tcPr>
            <w:tcW w:w="8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ind w:left="260"/>
              <w:spacing w:after="0"/>
              <w:rPr>
                <w:sz w:val="20"/>
                <w:szCs w:val="20"/>
                <w:color w:val="auto"/>
              </w:rPr>
            </w:pPr>
            <w:r>
              <w:rPr>
                <w:rFonts w:ascii="Arial" w:cs="Arial" w:eastAsia="Arial" w:hAnsi="Arial"/>
                <w:sz w:val="18"/>
                <w:szCs w:val="18"/>
                <w:color w:val="auto"/>
              </w:rPr>
              <w:t>Stock dividends</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836,263</w:t>
            </w:r>
          </w:p>
        </w:tc>
        <w:tc>
          <w:tcPr>
            <w:tcW w:w="8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131,554</w:t>
            </w:r>
          </w:p>
        </w:tc>
      </w:tr>
      <w:tr>
        <w:trPr>
          <w:trHeight w:val="216"/>
        </w:trPr>
        <w:tc>
          <w:tcPr>
            <w:tcW w:w="7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Conversion of Class C to Class A</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48,527</w:t>
            </w:r>
          </w:p>
        </w:tc>
        <w:tc>
          <w:tcPr>
            <w:tcW w:w="8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(48,527)</w:t>
            </w:r>
          </w:p>
        </w:tc>
      </w:tr>
      <w:tr>
        <w:trPr>
          <w:trHeight w:val="210"/>
        </w:trPr>
        <w:tc>
          <w:tcPr>
            <w:tcW w:w="72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CDFFCC"/>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CDFFCC"/>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30"/>
        </w:trPr>
        <w:tc>
          <w:tcPr>
            <w:tcW w:w="7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shares at June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17,561,521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2,762,630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Measurement of Segment Profit or Loss and Segment Assets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accounting policies of the reportable segments are the same as those described in the Significant Accounting Principles of the Form 10-K for the year ended December 31, 2020. Intersegment revenues are recorded at cost plus an agreed upon intercompany profit, and are eliminated upon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Factors Management Used to Identify the Enterprise’s Reportable Segments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rPr>
              <w:t>(7) Business Segment Information (Continued)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7"/>
        </w:trPr>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Cemetery/</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w w:val="89"/>
              </w:rPr>
              <w:t>Intercompany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6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Life Insurance</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5"/>
              </w:rPr>
              <w:t>Mortuary</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Mortgage</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8"/>
                <w:szCs w:val="18"/>
                <w:color w:val="auto"/>
                <w:w w:val="96"/>
              </w:rPr>
              <w:t>Eliminations</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Consolidated</w:t>
            </w:r>
          </w:p>
        </w:tc>
      </w:tr>
      <w:tr>
        <w:trPr>
          <w:trHeight w:val="210"/>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 the Three Months Ended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June 30, 2021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Revenues from external customers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40,657,393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6,807,922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69,285,000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116,750,315</w:t>
            </w:r>
          </w:p>
        </w:tc>
      </w:tr>
      <w:tr>
        <w:trPr>
          <w:trHeight w:val="216"/>
        </w:trPr>
        <w:tc>
          <w:tcPr>
            <w:tcW w:w="3740" w:type="dxa"/>
            <w:vAlign w:val="bottom"/>
            <w:gridSpan w:val="3"/>
          </w:tcPr>
          <w:p>
            <w:pPr>
              <w:ind w:left="100"/>
              <w:spacing w:after="0"/>
              <w:rPr>
                <w:sz w:val="20"/>
                <w:szCs w:val="20"/>
                <w:color w:val="auto"/>
              </w:rPr>
            </w:pPr>
            <w:r>
              <w:rPr>
                <w:rFonts w:ascii="Arial" w:cs="Arial" w:eastAsia="Arial" w:hAnsi="Arial"/>
                <w:sz w:val="18"/>
                <w:szCs w:val="18"/>
                <w:color w:val="auto"/>
              </w:rPr>
              <w:t>Intersegment revenues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1,750,929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78,302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156,016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(1,985,247)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Segment profit before income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4,694,177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2,269,325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7,713,850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14,677,352</w:t>
            </w:r>
          </w:p>
        </w:tc>
      </w:tr>
      <w:tr>
        <w:trPr>
          <w:trHeight w:val="216"/>
        </w:trPr>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 the Three Months Ended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June 30, 2020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Revenues from external customers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37,788,593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5,306,305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75,566,844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118,661,742</w:t>
            </w:r>
          </w:p>
        </w:tc>
      </w:tr>
      <w:tr>
        <w:trPr>
          <w:trHeight w:val="216"/>
        </w:trPr>
        <w:tc>
          <w:tcPr>
            <w:tcW w:w="3740" w:type="dxa"/>
            <w:vAlign w:val="bottom"/>
            <w:gridSpan w:val="3"/>
          </w:tcPr>
          <w:p>
            <w:pPr>
              <w:ind w:left="100"/>
              <w:spacing w:after="0"/>
              <w:rPr>
                <w:sz w:val="20"/>
                <w:szCs w:val="20"/>
                <w:color w:val="auto"/>
              </w:rPr>
            </w:pPr>
            <w:r>
              <w:rPr>
                <w:rFonts w:ascii="Arial" w:cs="Arial" w:eastAsia="Arial" w:hAnsi="Arial"/>
                <w:sz w:val="18"/>
                <w:szCs w:val="18"/>
                <w:color w:val="auto"/>
              </w:rPr>
              <w:t>Intersegment revenues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1,816,185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89,799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190,701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(2,096,685)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Segment profit before income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3,670,369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1,548,452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21,974,935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27,193,756</w:t>
            </w:r>
          </w:p>
        </w:tc>
      </w:tr>
      <w:tr>
        <w:trPr>
          <w:trHeight w:val="216"/>
        </w:trPr>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 the Six Months Ended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June 30, 2021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Revenues from external customers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79,601,227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13,807,187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146,000,507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239,408,921</w:t>
            </w:r>
          </w:p>
        </w:tc>
      </w:tr>
      <w:tr>
        <w:trPr>
          <w:trHeight w:val="216"/>
        </w:trPr>
        <w:tc>
          <w:tcPr>
            <w:tcW w:w="3740" w:type="dxa"/>
            <w:vAlign w:val="bottom"/>
            <w:gridSpan w:val="3"/>
          </w:tcPr>
          <w:p>
            <w:pPr>
              <w:ind w:left="100"/>
              <w:spacing w:after="0"/>
              <w:rPr>
                <w:sz w:val="20"/>
                <w:szCs w:val="20"/>
                <w:color w:val="auto"/>
              </w:rPr>
            </w:pPr>
            <w:r>
              <w:rPr>
                <w:rFonts w:ascii="Arial" w:cs="Arial" w:eastAsia="Arial" w:hAnsi="Arial"/>
                <w:sz w:val="18"/>
                <w:szCs w:val="18"/>
                <w:color w:val="auto"/>
              </w:rPr>
              <w:t>Intersegment revenues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3,652,981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155,809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317,032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(4,125,822)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Segment profit before income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7,389,205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4,970,270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18,672,932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31,032,407</w:t>
            </w:r>
          </w:p>
        </w:tc>
      </w:tr>
      <w:tr>
        <w:trPr>
          <w:trHeight w:val="216"/>
        </w:trPr>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Identifiable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1,193,893,855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59,621,349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317,945,282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(72,923,887)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1,498,536,599</w:t>
            </w:r>
          </w:p>
        </w:tc>
      </w:tr>
      <w:tr>
        <w:trPr>
          <w:trHeight w:val="229"/>
        </w:trPr>
        <w:tc>
          <w:tcPr>
            <w:tcW w:w="3740" w:type="dxa"/>
            <w:vAlign w:val="bottom"/>
            <w:gridSpan w:val="3"/>
          </w:tcPr>
          <w:p>
            <w:pPr>
              <w:ind w:left="10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2,765,570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754,018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3,519,588</w:t>
            </w:r>
          </w:p>
        </w:tc>
      </w:tr>
      <w:tr>
        <w:trPr>
          <w:trHeight w:val="230"/>
        </w:trPr>
        <w:tc>
          <w:tcPr>
            <w:tcW w:w="374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1,196,659,425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60,375,367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317,945,282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(72,923,887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1,502,056,187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 the Six Months Ended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June 30, 2020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Revenues from external customers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70,994,355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9,320,001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117,956,335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198,270,691</w:t>
            </w:r>
          </w:p>
        </w:tc>
      </w:tr>
      <w:tr>
        <w:trPr>
          <w:trHeight w:val="216"/>
        </w:trPr>
        <w:tc>
          <w:tcPr>
            <w:tcW w:w="3740" w:type="dxa"/>
            <w:vAlign w:val="bottom"/>
            <w:gridSpan w:val="3"/>
          </w:tcPr>
          <w:p>
            <w:pPr>
              <w:ind w:left="100"/>
              <w:spacing w:after="0"/>
              <w:rPr>
                <w:sz w:val="20"/>
                <w:szCs w:val="20"/>
                <w:color w:val="auto"/>
              </w:rPr>
            </w:pPr>
            <w:r>
              <w:rPr>
                <w:rFonts w:ascii="Arial" w:cs="Arial" w:eastAsia="Arial" w:hAnsi="Arial"/>
                <w:sz w:val="18"/>
                <w:szCs w:val="18"/>
                <w:color w:val="auto"/>
              </w:rPr>
              <w:t>Intersegment revenues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2,724,353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193,313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391,033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(3,308,699)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Segment profit before income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601,202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1,653,253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26,413,535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28,667,990</w:t>
            </w:r>
          </w:p>
        </w:tc>
      </w:tr>
      <w:tr>
        <w:trPr>
          <w:trHeight w:val="216"/>
        </w:trPr>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Identifiable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1,206,815,231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75,048,428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346,286,603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(110,608,108)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1,517,542,154</w:t>
            </w:r>
          </w:p>
        </w:tc>
      </w:tr>
      <w:tr>
        <w:trPr>
          <w:trHeight w:val="229"/>
        </w:trPr>
        <w:tc>
          <w:tcPr>
            <w:tcW w:w="3740" w:type="dxa"/>
            <w:vAlign w:val="bottom"/>
            <w:gridSpan w:val="3"/>
          </w:tcPr>
          <w:p>
            <w:pPr>
              <w:ind w:left="10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2,765,570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754,018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3,519,588</w:t>
            </w:r>
          </w:p>
        </w:tc>
      </w:tr>
      <w:tr>
        <w:trPr>
          <w:trHeight w:val="230"/>
        </w:trPr>
        <w:tc>
          <w:tcPr>
            <w:tcW w:w="374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DFFCC"/>
              <w:bottom w:val="single" w:sz="8" w:color="auto"/>
            </w:tcBorders>
            <w:shd w:val="clear" w:color="auto" w:fill="CCEEFF"/>
          </w:tcPr>
          <w:p>
            <w:pPr>
              <w:spacing w:after="0"/>
              <w:rPr>
                <w:sz w:val="20"/>
                <w:szCs w:val="20"/>
                <w:color w:val="auto"/>
              </w:rPr>
            </w:pPr>
          </w:p>
        </w:tc>
        <w:tc>
          <w:tcPr>
            <w:tcW w:w="1080" w:type="dxa"/>
            <w:vAlign w:val="bottom"/>
            <w:tcBorders>
              <w:top w:val="single" w:sz="8" w:color="CDFFCC"/>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1,209,580,801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DFFCC"/>
              <w:bottom w:val="single" w:sz="8" w:color="auto"/>
            </w:tcBorders>
            <w:shd w:val="clear" w:color="auto" w:fill="CCEEFF"/>
          </w:tcPr>
          <w:p>
            <w:pPr>
              <w:spacing w:after="0"/>
              <w:rPr>
                <w:sz w:val="20"/>
                <w:szCs w:val="20"/>
                <w:color w:val="auto"/>
              </w:rPr>
            </w:pPr>
          </w:p>
        </w:tc>
        <w:tc>
          <w:tcPr>
            <w:tcW w:w="940" w:type="dxa"/>
            <w:vAlign w:val="bottom"/>
            <w:tcBorders>
              <w:top w:val="single" w:sz="8" w:color="CDFFCC"/>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75,802,446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DFFCC"/>
              <w:bottom w:val="single" w:sz="8" w:color="auto"/>
            </w:tcBorders>
            <w:shd w:val="clear" w:color="auto" w:fill="CCEEFF"/>
          </w:tcPr>
          <w:p>
            <w:pPr>
              <w:spacing w:after="0"/>
              <w:rPr>
                <w:sz w:val="20"/>
                <w:szCs w:val="20"/>
                <w:color w:val="auto"/>
              </w:rPr>
            </w:pPr>
          </w:p>
        </w:tc>
        <w:tc>
          <w:tcPr>
            <w:tcW w:w="940" w:type="dxa"/>
            <w:vAlign w:val="bottom"/>
            <w:tcBorders>
              <w:top w:val="single" w:sz="8" w:color="CDFFCC"/>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346,286,603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DFFCC"/>
              <w:bottom w:val="single" w:sz="8" w:color="auto"/>
            </w:tcBorders>
            <w:shd w:val="clear" w:color="auto" w:fill="CCEEFF"/>
          </w:tcPr>
          <w:p>
            <w:pPr>
              <w:spacing w:after="0"/>
              <w:rPr>
                <w:sz w:val="20"/>
                <w:szCs w:val="20"/>
                <w:color w:val="auto"/>
              </w:rPr>
            </w:pPr>
          </w:p>
        </w:tc>
        <w:tc>
          <w:tcPr>
            <w:tcW w:w="1000" w:type="dxa"/>
            <w:vAlign w:val="bottom"/>
            <w:tcBorders>
              <w:top w:val="single" w:sz="8" w:color="CDFFCC"/>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(110,608,108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DFFCC"/>
              <w:bottom w:val="single" w:sz="8" w:color="auto"/>
            </w:tcBorders>
            <w:shd w:val="clear" w:color="auto" w:fill="CCEEFF"/>
          </w:tcPr>
          <w:p>
            <w:pPr>
              <w:spacing w:after="0"/>
              <w:rPr>
                <w:sz w:val="20"/>
                <w:szCs w:val="20"/>
                <w:color w:val="auto"/>
              </w:rPr>
            </w:pPr>
          </w:p>
        </w:tc>
        <w:tc>
          <w:tcPr>
            <w:tcW w:w="1060" w:type="dxa"/>
            <w:vAlign w:val="bottom"/>
            <w:tcBorders>
              <w:top w:val="single" w:sz="8" w:color="CDFFCC"/>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1,521,061,742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756"/>
        </w:trPr>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32</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32" w:name="page33"/>
    <w:bookmarkEnd w:id="32"/>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financial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Company can access.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financial liabilities whose values are based on the following:</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Quoted prices for similar assets or liabilities in active markets;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b)Quoted prices for identical or similar assets or liabilities in non-active markets; or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 Valuation models whose inputs are observable, directly or indirectly, for substantially the full term of the asset or liability.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financial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may reflect the Company’s estimates of the assumptions that market participants would use in valuing the financial assets and financial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by the Company in estimating the fair value disclosures related to significant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items shown under Level 1 and Level 2 are valued as follows: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Fixed Maturity Securities Available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fixed maturity securities are based on quoted market prices, when available. For fixed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not actively traded, fair values are estimated using values obtained from independent pricing services, or in the case of private placements (considered Level 3 investments), are estimated by discounting expected future cash flows using a current market value applicable to the coupon rate, credit and maturity of the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equity securities are based on quoted market prices.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Restricted Assets</w:t>
      </w:r>
      <w:r>
        <w:rPr>
          <w:rFonts w:ascii="Arial" w:cs="Arial" w:eastAsia="Arial" w:hAnsi="Arial"/>
          <w:sz w:val="16"/>
          <w:szCs w:val="16"/>
          <w:i w:val="1"/>
          <w:iCs w:val="1"/>
          <w:color w:val="auto"/>
        </w:rPr>
        <w:t>:</w:t>
      </w:r>
      <w:r>
        <w:rPr>
          <w:rFonts w:ascii="Arial" w:cs="Arial" w:eastAsia="Arial" w:hAnsi="Arial"/>
          <w:sz w:val="16"/>
          <w:szCs w:val="16"/>
          <w:color w:val="auto"/>
        </w:rPr>
        <w:t>A portion of these assets include mutual funds and equity securities and fixed maturity securities that have quoted market prices that are used</w:t>
      </w:r>
      <w:r>
        <w:rPr>
          <w:rFonts w:ascii="Arial" w:cs="Arial" w:eastAsia="Arial" w:hAnsi="Arial"/>
          <w:sz w:val="16"/>
          <w:szCs w:val="16"/>
          <w:i w:val="1"/>
          <w:iCs w:val="1"/>
          <w:color w:val="auto"/>
        </w:rPr>
        <w:t xml:space="preserve"> </w:t>
      </w:r>
      <w:r>
        <w:rPr>
          <w:rFonts w:ascii="Arial" w:cs="Arial" w:eastAsia="Arial" w:hAnsi="Arial"/>
          <w:sz w:val="16"/>
          <w:szCs w:val="16"/>
          <w:color w:val="auto"/>
        </w:rPr>
        <w:t>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Cemetery Perpetual Care Trust Investments</w:t>
      </w:r>
      <w:r>
        <w:rPr>
          <w:rFonts w:ascii="Arial" w:cs="Arial" w:eastAsia="Arial" w:hAnsi="Arial"/>
          <w:sz w:val="17"/>
          <w:szCs w:val="17"/>
          <w:i w:val="1"/>
          <w:iCs w:val="1"/>
          <w:color w:val="auto"/>
        </w:rPr>
        <w:t>:</w:t>
      </w:r>
      <w:r>
        <w:rPr>
          <w:rFonts w:ascii="Arial" w:cs="Arial" w:eastAsia="Arial" w:hAnsi="Arial"/>
          <w:sz w:val="17"/>
          <w:szCs w:val="17"/>
          <w:color w:val="auto"/>
        </w:rPr>
        <w:t>A portion of these assets include equity securities and fixed maturity securities that have quoted market prices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Call and Put Option Derivatives</w:t>
      </w:r>
      <w:r>
        <w:rPr>
          <w:rFonts w:ascii="Arial" w:cs="Arial" w:eastAsia="Arial" w:hAnsi="Arial"/>
          <w:sz w:val="18"/>
          <w:szCs w:val="18"/>
          <w:i w:val="1"/>
          <w:iCs w:val="1"/>
          <w:color w:val="auto"/>
        </w:rPr>
        <w:t>:</w:t>
      </w:r>
      <w:r>
        <w:rPr>
          <w:rFonts w:ascii="Arial" w:cs="Arial" w:eastAsia="Arial" w:hAnsi="Arial"/>
          <w:sz w:val="18"/>
          <w:szCs w:val="18"/>
          <w:color w:val="auto"/>
        </w:rPr>
        <w:t>The fair values for call and put options are based on quoted market prices.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jc w:val="both"/>
        <w:ind w:right="7300" w:firstLine="8"/>
        <w:spacing w:after="0" w:line="563" w:lineRule="auto"/>
        <w:tabs>
          <w:tab w:leader="none" w:pos="4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Fair Value of Financial Instruments (Continued) The items shown under Level 3 are valued as follows:</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Loans Held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elected the fair value option for loans held for sale. The fair value is based on quoted market prices, when available. When</w:t>
      </w:r>
      <w:r>
        <w:rPr>
          <w:rFonts w:ascii="Arial" w:cs="Arial" w:eastAsia="Arial" w:hAnsi="Arial"/>
          <w:sz w:val="18"/>
          <w:szCs w:val="18"/>
          <w:i w:val="1"/>
          <w:iCs w:val="1"/>
          <w:color w:val="auto"/>
        </w:rPr>
        <w:t xml:space="preserve"> </w:t>
      </w:r>
      <w:r>
        <w:rPr>
          <w:rFonts w:ascii="Arial" w:cs="Arial" w:eastAsia="Arial" w:hAnsi="Arial"/>
          <w:sz w:val="18"/>
          <w:szCs w:val="18"/>
          <w:color w:val="auto"/>
        </w:rPr>
        <w:t>a quoted market price is not readily available, the Company uses the market price from its last sale of similar assets.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Loan Commitments and Forward Sale Commitments</w:t>
      </w:r>
      <w:r>
        <w:rPr>
          <w:rFonts w:ascii="Arial" w:cs="Arial" w:eastAsia="Arial" w:hAnsi="Arial"/>
          <w:sz w:val="18"/>
          <w:szCs w:val="18"/>
          <w:color w:val="auto"/>
        </w:rPr>
        <w:t>: The Company’s mortgage segment enters into loan commitments with potential borrowers and</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u w:val="single" w:color="auto"/>
          <w:color w:val="auto"/>
        </w:rPr>
        <w:t>Impaired 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the fair value of these nonperforming loans will approximate the unpaid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Impaired Real Estate Held for Investment</w:t>
      </w:r>
      <w:r>
        <w:rPr>
          <w:rFonts w:ascii="Arial" w:cs="Arial" w:eastAsia="Arial" w:hAnsi="Arial"/>
          <w:sz w:val="18"/>
          <w:szCs w:val="18"/>
          <w:color w:val="auto"/>
        </w:rPr>
        <w:t>:The Company believes that in an orderly market, fair value will approximate the replacement cost of a home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comparables and property condition when determining fair value.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Mortgage Servicing Rights</w:t>
      </w:r>
      <w:r>
        <w:rPr>
          <w:rFonts w:ascii="Arial" w:cs="Arial" w:eastAsia="Arial" w:hAnsi="Arial"/>
          <w:sz w:val="18"/>
          <w:szCs w:val="18"/>
          <w:color w:val="auto"/>
        </w:rPr>
        <w:t>: The Company initially recognizes Mortgage Servicing Rights (“MSRs”) at their estimated fair values derived from the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associated with the servicing contracts,where the Company assumes the obligation to service the loan in the sale transaction. See Note 12 for more information regarding MSRs.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June 30, 2021.</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Quoted Prices in</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Active Markets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Significant</w:t>
            </w:r>
          </w:p>
        </w:tc>
      </w:t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for Identical</w:t>
            </w: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Significant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Unobservable</w:t>
            </w:r>
          </w:p>
        </w:tc>
      </w:t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320"/>
              <w:spacing w:after="0"/>
              <w:rPr>
                <w:sz w:val="20"/>
                <w:szCs w:val="20"/>
                <w:color w:val="auto"/>
              </w:rPr>
            </w:pPr>
            <w:r>
              <w:rPr>
                <w:rFonts w:ascii="Arial" w:cs="Arial" w:eastAsia="Arial" w:hAnsi="Arial"/>
                <w:sz w:val="18"/>
                <w:szCs w:val="18"/>
                <w:color w:val="auto"/>
              </w:rPr>
              <w:t>Assets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w w:val="88"/>
              </w:rPr>
              <w:t>Observable Inputs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Inputs</w:t>
            </w:r>
          </w:p>
        </w:tc>
      </w:tr>
      <w:tr>
        <w:trPr>
          <w:trHeight w:val="230"/>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44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(Level 3)</w:t>
            </w:r>
          </w:p>
        </w:tc>
      </w:tr>
      <w:tr>
        <w:trPr>
          <w:trHeight w:val="182"/>
        </w:trPr>
        <w:tc>
          <w:tcPr>
            <w:tcW w:w="4840" w:type="dxa"/>
            <w:vAlign w:val="bottom"/>
            <w:tcBorders>
              <w:top w:val="single" w:sz="8" w:color="CCEEFF"/>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Assets accounted for at fair value on a</w:t>
            </w: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recurring basis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260,957,676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258,776,848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2,180,828</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10,322,456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10,322,456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296,728,086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296,728,086</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assets (1)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1,448,292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1,448,292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Restricted assets (2)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2,914,880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2,914,880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710,533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710,533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Cemetery perpetual care trust investments (2)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2,367,059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2,367,059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10,704,411</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10,704,411</w:t>
            </w:r>
          </w:p>
        </w:tc>
      </w:tr>
      <w:tr>
        <w:trPr>
          <w:trHeight w:val="230"/>
        </w:trPr>
        <w:tc>
          <w:tcPr>
            <w:tcW w:w="4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9"/>
              </w:rPr>
              <w:t>Total assets accounted for at fair value on a recurring basis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586,153,393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15,604,395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260,935,673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309,613,325</w:t>
            </w:r>
          </w:p>
        </w:tc>
        <w:tc>
          <w:tcPr>
            <w:tcW w:w="100" w:type="dxa"/>
            <w:vAlign w:val="bottom"/>
            <w:tcBorders>
              <w:bottom w:val="single" w:sz="8" w:color="CCEEFF"/>
            </w:tcBorders>
          </w:tcPr>
          <w:p>
            <w:pPr>
              <w:spacing w:after="0"/>
              <w:rPr>
                <w:sz w:val="20"/>
                <w:szCs w:val="20"/>
                <w:color w:val="auto"/>
              </w:rPr>
            </w:pPr>
          </w:p>
        </w:tc>
      </w:tr>
      <w:tr>
        <w:trPr>
          <w:trHeight w:val="216"/>
        </w:trPr>
        <w:tc>
          <w:tcPr>
            <w:tcW w:w="4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840" w:type="dxa"/>
            <w:vAlign w:val="bottom"/>
          </w:tcPr>
          <w:p>
            <w:pPr>
              <w:ind w:left="100"/>
              <w:spacing w:after="0" w:line="201" w:lineRule="exact"/>
              <w:rPr>
                <w:sz w:val="20"/>
                <w:szCs w:val="20"/>
                <w:color w:val="auto"/>
              </w:rPr>
            </w:pPr>
            <w:r>
              <w:rPr>
                <w:rFonts w:ascii="Arial" w:cs="Arial" w:eastAsia="Arial" w:hAnsi="Arial"/>
                <w:sz w:val="18"/>
                <w:szCs w:val="18"/>
                <w:color w:val="auto"/>
              </w:rPr>
              <w:t>Liabilities accounted for at fair value on a</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recurring basis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Derivatives - call options (4)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(12,795)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4840" w:type="dxa"/>
            <w:vAlign w:val="bottom"/>
          </w:tcPr>
          <w:p>
            <w:pPr>
              <w:ind w:left="100"/>
              <w:spacing w:after="0"/>
              <w:rPr>
                <w:sz w:val="20"/>
                <w:szCs w:val="20"/>
                <w:color w:val="auto"/>
              </w:rPr>
            </w:pPr>
            <w:r>
              <w:rPr>
                <w:rFonts w:ascii="Arial" w:cs="Arial" w:eastAsia="Arial" w:hAnsi="Arial"/>
                <w:sz w:val="18"/>
                <w:szCs w:val="18"/>
                <w:color w:val="auto"/>
              </w:rPr>
              <w:t>Derivatives - loan commitments (4)</w:t>
            </w: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(744,198)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(744,198)</w:t>
            </w:r>
          </w:p>
        </w:tc>
      </w:tr>
      <w:tr>
        <w:trPr>
          <w:trHeight w:val="182"/>
        </w:trPr>
        <w:tc>
          <w:tcPr>
            <w:tcW w:w="4840" w:type="dxa"/>
            <w:vAlign w:val="bottom"/>
            <w:tcBorders>
              <w:top w:val="single" w:sz="8" w:color="CCEEFF"/>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Total liabilities accounted for at fair value</w:t>
            </w: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57"/>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on a recurring basis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(756,993)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(12,795)</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(744,198)</w:t>
            </w:r>
          </w:p>
        </w:tc>
      </w:tr>
      <w:tr>
        <w:trPr>
          <w:trHeight w:val="27"/>
        </w:trPr>
        <w:tc>
          <w:tcPr>
            <w:tcW w:w="48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Fixed maturity securities available for sale</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Equity securities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other assets on the consolidated balance sheets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consolidated balance sheets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right="20"/>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Quoted Prices in</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Active Markets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Significant</w:t>
            </w:r>
          </w:p>
        </w:tc>
      </w:t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for Identical</w:t>
            </w: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Significant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Unobservable</w:t>
            </w:r>
          </w:p>
        </w:tc>
      </w:tr>
      <w:tr>
        <w:trPr>
          <w:trHeight w:val="216"/>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320"/>
              <w:spacing w:after="0"/>
              <w:rPr>
                <w:sz w:val="20"/>
                <w:szCs w:val="20"/>
                <w:color w:val="auto"/>
              </w:rPr>
            </w:pPr>
            <w:r>
              <w:rPr>
                <w:rFonts w:ascii="Arial" w:cs="Arial" w:eastAsia="Arial" w:hAnsi="Arial"/>
                <w:sz w:val="18"/>
                <w:szCs w:val="18"/>
                <w:color w:val="auto"/>
              </w:rPr>
              <w:t>Assets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w w:val="88"/>
              </w:rPr>
              <w:t>Observable Inputs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Inputs</w:t>
            </w:r>
          </w:p>
        </w:tc>
      </w:tr>
      <w:tr>
        <w:trPr>
          <w:trHeight w:val="230"/>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44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(Level 3)</w:t>
            </w:r>
          </w:p>
        </w:tc>
      </w:tr>
      <w:tr>
        <w:trPr>
          <w:trHeight w:val="182"/>
        </w:trPr>
        <w:tc>
          <w:tcPr>
            <w:tcW w:w="4840" w:type="dxa"/>
            <w:vAlign w:val="bottom"/>
            <w:tcBorders>
              <w:top w:val="single" w:sz="8" w:color="CCEEFF"/>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Assets accounted for at fair value on a</w:t>
            </w: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recurring basis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294,656,679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292,455,504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2,201,175</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11,324,239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11,324,239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422,772,418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422,772,418</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assets (1)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1,473,637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1,473,637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Restricted assets (2)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2,515,778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2,515,778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747,767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747,767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Cemetery perpetual care trust investments (2)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2,062,303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2,062,303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12,592,672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12,592,672</w:t>
            </w:r>
          </w:p>
        </w:tc>
      </w:tr>
      <w:tr>
        <w:trPr>
          <w:trHeight w:val="182"/>
        </w:trPr>
        <w:tc>
          <w:tcPr>
            <w:tcW w:w="4840" w:type="dxa"/>
            <w:vAlign w:val="bottom"/>
          </w:tcPr>
          <w:p>
            <w:pPr>
              <w:ind w:left="100"/>
              <w:spacing w:after="0" w:line="182" w:lineRule="exact"/>
              <w:rPr>
                <w:sz w:val="20"/>
                <w:szCs w:val="20"/>
                <w:color w:val="auto"/>
              </w:rPr>
            </w:pPr>
            <w:r>
              <w:rPr>
                <w:rFonts w:ascii="Arial" w:cs="Arial" w:eastAsia="Arial" w:hAnsi="Arial"/>
                <w:sz w:val="18"/>
                <w:szCs w:val="18"/>
                <w:color w:val="auto"/>
              </w:rPr>
              <w:t>Total assets accounted for at fair value on a</w:t>
            </w: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4"/>
        </w:trPr>
        <w:tc>
          <w:tcPr>
            <w:tcW w:w="4840" w:type="dxa"/>
            <w:vAlign w:val="bottom"/>
          </w:tcPr>
          <w:p>
            <w:pPr>
              <w:ind w:left="240"/>
              <w:spacing w:after="0"/>
              <w:rPr>
                <w:sz w:val="20"/>
                <w:szCs w:val="20"/>
                <w:color w:val="auto"/>
              </w:rPr>
            </w:pPr>
            <w:r>
              <w:rPr>
                <w:rFonts w:ascii="Arial" w:cs="Arial" w:eastAsia="Arial" w:hAnsi="Arial"/>
                <w:sz w:val="18"/>
                <w:szCs w:val="18"/>
                <w:color w:val="auto"/>
              </w:rPr>
              <w:t>recurring basis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748,145,493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15,902,320</w:t>
            </w:r>
          </w:p>
        </w:tc>
        <w:tc>
          <w:tcPr>
            <w:tcW w:w="3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294,676,908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437,566,265</w:t>
            </w:r>
          </w:p>
        </w:tc>
      </w:tr>
      <w:tr>
        <w:trPr>
          <w:trHeight w:val="216"/>
        </w:trPr>
        <w:tc>
          <w:tcPr>
            <w:tcW w:w="4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840" w:type="dxa"/>
            <w:vAlign w:val="bottom"/>
          </w:tcPr>
          <w:p>
            <w:pPr>
              <w:ind w:left="100"/>
              <w:spacing w:after="0" w:line="201" w:lineRule="exact"/>
              <w:rPr>
                <w:sz w:val="20"/>
                <w:szCs w:val="20"/>
                <w:color w:val="auto"/>
              </w:rPr>
            </w:pPr>
            <w:r>
              <w:rPr>
                <w:rFonts w:ascii="Arial" w:cs="Arial" w:eastAsia="Arial" w:hAnsi="Arial"/>
                <w:sz w:val="18"/>
                <w:szCs w:val="18"/>
                <w:color w:val="auto"/>
              </w:rPr>
              <w:t>Liabilities accounted for at fair value on a</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recurring basis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Derivatives - call options (4)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(43,097)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(43,097)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4840" w:type="dxa"/>
            <w:vAlign w:val="bottom"/>
          </w:tcPr>
          <w:p>
            <w:pPr>
              <w:ind w:left="100"/>
              <w:spacing w:after="0"/>
              <w:rPr>
                <w:sz w:val="20"/>
                <w:szCs w:val="20"/>
                <w:color w:val="auto"/>
              </w:rPr>
            </w:pPr>
            <w:r>
              <w:rPr>
                <w:rFonts w:ascii="Arial" w:cs="Arial" w:eastAsia="Arial" w:hAnsi="Arial"/>
                <w:sz w:val="18"/>
                <w:szCs w:val="18"/>
                <w:color w:val="auto"/>
              </w:rPr>
              <w:t>Derivatives - loan commitments (4)</w:t>
            </w: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(2,464,062)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(2,464,062)</w:t>
            </w:r>
          </w:p>
        </w:tc>
      </w:tr>
      <w:tr>
        <w:trPr>
          <w:trHeight w:val="182"/>
        </w:trPr>
        <w:tc>
          <w:tcPr>
            <w:tcW w:w="4840" w:type="dxa"/>
            <w:vAlign w:val="bottom"/>
            <w:tcBorders>
              <w:top w:val="single" w:sz="8" w:color="CCEEFF"/>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Total liabilities accounted for at fair value</w:t>
            </w: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57"/>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on a recurring basis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(2,507,159)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(43,097)</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(2,464,062)</w:t>
            </w:r>
          </w:p>
        </w:tc>
      </w:tr>
      <w:tr>
        <w:trPr>
          <w:trHeight w:val="27"/>
        </w:trPr>
        <w:tc>
          <w:tcPr>
            <w:tcW w:w="48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Fixed maturity securities available for sale</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Equity securities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other assets on the consolidated balance sheets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consolidated balance sheets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right="2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basis as of June 30, 2021, the significant unobservable inputs used in the fair value measurements were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8"/>
                <w:szCs w:val="18"/>
                <w:color w:val="auto"/>
              </w:rPr>
              <w:t>Fair Value at</w:t>
            </w: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0"/>
              </w:rPr>
              <w:t>Valuation</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Significant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color w:val="auto"/>
              </w:rPr>
              <w:t>Range of Inputs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vMerge w:val="restart"/>
          </w:tcPr>
          <w:p>
            <w:pPr>
              <w:jc w:val="right"/>
              <w:ind w:right="270"/>
              <w:spacing w:after="0"/>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Minimum</w:t>
            </w:r>
          </w:p>
        </w:tc>
        <w:tc>
          <w:tcPr>
            <w:tcW w:w="20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Maximum</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6/30/2021</w:t>
            </w:r>
          </w:p>
        </w:tc>
        <w:tc>
          <w:tcPr>
            <w:tcW w:w="22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Technique</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Input(s)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Value</w:t>
            </w:r>
          </w:p>
        </w:tc>
        <w:tc>
          <w:tcPr>
            <w:tcW w:w="20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195"/>
        </w:trPr>
        <w:tc>
          <w:tcPr>
            <w:tcW w:w="16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Investor contract</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pricing as 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percentage of</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Loans held for</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unpaid principal</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296,728,086</w:t>
            </w: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Market approach</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Derivatives - loan</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9,960,213</w:t>
            </w: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Market approach</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Pull-through rate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100"/>
              <w:spacing w:after="0"/>
              <w:rPr>
                <w:sz w:val="20"/>
                <w:szCs w:val="20"/>
                <w:color w:val="auto"/>
              </w:rPr>
            </w:pPr>
            <w:r>
              <w:rPr>
                <w:rFonts w:ascii="Arial" w:cs="Arial" w:eastAsia="Arial" w:hAnsi="Arial"/>
                <w:sz w:val="18"/>
                <w:szCs w:val="18"/>
                <w:color w:val="auto"/>
              </w:rPr>
              <w:t>Initial-Value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Servicing</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 bps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 bps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 bps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Fixed maturity</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available for sale</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2,180,828</w:t>
            </w: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Broker quotes</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Pricing quotes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90.83</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119.33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basis as of December 31, 2020, the significant unobservable inputs used in the fair value measurements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8"/>
                <w:szCs w:val="18"/>
                <w:color w:val="auto"/>
              </w:rPr>
              <w:t>Fair Value at</w:t>
            </w: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0"/>
              </w:rPr>
              <w:t>Valuation</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Significant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color w:val="auto"/>
              </w:rPr>
              <w:t>Range of Inputs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vMerge w:val="restart"/>
          </w:tcPr>
          <w:p>
            <w:pPr>
              <w:jc w:val="right"/>
              <w:ind w:right="270"/>
              <w:spacing w:after="0"/>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Minimum</w:t>
            </w:r>
          </w:p>
        </w:tc>
        <w:tc>
          <w:tcPr>
            <w:tcW w:w="20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Maximum</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12/31/2020</w:t>
            </w:r>
          </w:p>
        </w:tc>
        <w:tc>
          <w:tcPr>
            <w:tcW w:w="22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Technique</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Input(s)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Value</w:t>
            </w:r>
          </w:p>
        </w:tc>
        <w:tc>
          <w:tcPr>
            <w:tcW w:w="20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195"/>
        </w:trPr>
        <w:tc>
          <w:tcPr>
            <w:tcW w:w="16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DFFCC"/>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Investor contract</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pricing as 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percentage of</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Loans held for</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unpaid principal</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422,772,418</w:t>
            </w: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Market approach</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Derivatives - loan</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10,128,610</w:t>
            </w: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Market approach</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Pull-through rate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100"/>
              <w:spacing w:after="0"/>
              <w:rPr>
                <w:sz w:val="20"/>
                <w:szCs w:val="20"/>
                <w:color w:val="auto"/>
              </w:rPr>
            </w:pPr>
            <w:r>
              <w:rPr>
                <w:rFonts w:ascii="Arial" w:cs="Arial" w:eastAsia="Arial" w:hAnsi="Arial"/>
                <w:sz w:val="18"/>
                <w:szCs w:val="18"/>
                <w:color w:val="auto"/>
              </w:rPr>
              <w:t>Initial-Value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Servicing</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 bps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184 bps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 bps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Fixed maturity</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available for sale</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2,201,175</w:t>
            </w: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Broker quotes</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Pricing quotes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90.83</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119.33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left="60"/>
        <w:spacing w:after="0"/>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 for the periods presented: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Fixed Maturity</w:t>
            </w:r>
          </w:p>
        </w:tc>
      </w:tr>
      <w:tr>
        <w:trPr>
          <w:trHeight w:val="216"/>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Net Loan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1"/>
              </w:rPr>
              <w:t>Securities Available</w:t>
            </w:r>
          </w:p>
        </w:tc>
      </w:tr>
      <w:tr>
        <w:trPr>
          <w:trHeight w:val="230"/>
        </w:trPr>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Commitments</w:t>
            </w:r>
          </w:p>
        </w:tc>
        <w:tc>
          <w:tcPr>
            <w:tcW w:w="540" w:type="dxa"/>
            <w:vAlign w:val="bottom"/>
          </w:tcPr>
          <w:p>
            <w:pPr>
              <w:spacing w:after="0"/>
              <w:rPr>
                <w:sz w:val="20"/>
                <w:szCs w:val="20"/>
                <w:color w:val="auto"/>
              </w:rPr>
            </w:pPr>
          </w:p>
        </w:tc>
        <w:tc>
          <w:tcPr>
            <w:tcW w:w="2100" w:type="dxa"/>
            <w:vAlign w:val="bottom"/>
            <w:gridSpan w:val="4"/>
          </w:tcPr>
          <w:p>
            <w:pPr>
              <w:ind w:left="60"/>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for Sale</w:t>
            </w:r>
          </w:p>
        </w:tc>
      </w:tr>
      <w:tr>
        <w:trPr>
          <w:trHeight w:val="209"/>
        </w:trPr>
        <w:tc>
          <w:tcPr>
            <w:tcW w:w="55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December 31,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10,128,610</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422,772,418</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2,201,175</w:t>
            </w: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Originations and purchases</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2,810,230,507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maturities and paydowns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(3,025,027,077)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(22,400)</w:t>
            </w: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Transfer to mortgage loans held for investment</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(201,951)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gains (losses):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Included in earnings</w:t>
            </w:r>
          </w:p>
        </w:tc>
        <w:tc>
          <w:tcPr>
            <w:tcW w:w="1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(168,397(1)</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88,954,189(1)</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1,801(2)</w:t>
            </w:r>
          </w:p>
        </w:tc>
      </w:tr>
      <w:tr>
        <w:trPr>
          <w:trHeight w:val="216"/>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Included in other comprehensive income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r>
      <w:tr>
        <w:trPr>
          <w:trHeight w:val="210"/>
        </w:trPr>
        <w:tc>
          <w:tcPr>
            <w:tcW w:w="55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DFFCC"/>
            </w:tcBorders>
          </w:tcPr>
          <w:p>
            <w:pPr>
              <w:spacing w:after="0"/>
              <w:rPr>
                <w:sz w:val="18"/>
                <w:szCs w:val="18"/>
                <w:color w:val="auto"/>
              </w:rPr>
            </w:pPr>
          </w:p>
        </w:tc>
        <w:tc>
          <w:tcPr>
            <w:tcW w:w="1160" w:type="dxa"/>
            <w:vAlign w:val="bottom"/>
            <w:tcBorders>
              <w:top w:val="single" w:sz="8" w:color="auto"/>
              <w:bottom w:val="single" w:sz="8" w:color="CDFFCC"/>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DFFCC"/>
            </w:tcBorders>
          </w:tcPr>
          <w:p>
            <w:pPr>
              <w:spacing w:after="0"/>
              <w:rPr>
                <w:sz w:val="18"/>
                <w:szCs w:val="18"/>
                <w:color w:val="auto"/>
              </w:rPr>
            </w:pPr>
          </w:p>
        </w:tc>
        <w:tc>
          <w:tcPr>
            <w:tcW w:w="1160" w:type="dxa"/>
            <w:vAlign w:val="bottom"/>
            <w:tcBorders>
              <w:top w:val="single" w:sz="8" w:color="auto"/>
              <w:bottom w:val="single" w:sz="8" w:color="CDFFCC"/>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DFFCC"/>
            </w:tcBorders>
          </w:tcPr>
          <w:p>
            <w:pPr>
              <w:spacing w:after="0"/>
              <w:rPr>
                <w:sz w:val="18"/>
                <w:szCs w:val="18"/>
                <w:color w:val="auto"/>
              </w:rPr>
            </w:pPr>
          </w:p>
        </w:tc>
        <w:tc>
          <w:tcPr>
            <w:tcW w:w="1160" w:type="dxa"/>
            <w:vAlign w:val="bottom"/>
            <w:tcBorders>
              <w:top w:val="single" w:sz="8" w:color="auto"/>
              <w:bottom w:val="single" w:sz="8" w:color="CDFFCC"/>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r>
      <w:tr>
        <w:trPr>
          <w:trHeight w:val="230"/>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June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9,960,213</w:t>
            </w: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296,728,086</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2,180,828</w:t>
            </w:r>
          </w:p>
        </w:tc>
        <w:tc>
          <w:tcPr>
            <w:tcW w:w="22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component of Mortgage fee income on the condensed consolidated statements of earnings</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component of Net investment income on the condensed consolidated statements of earnings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 for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Fixed Maturity</w:t>
            </w:r>
          </w:p>
        </w:tc>
      </w:tr>
      <w:tr>
        <w:trPr>
          <w:trHeight w:val="216"/>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Net Loan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1"/>
              </w:rPr>
              <w:t>Securities Available</w:t>
            </w:r>
          </w:p>
        </w:tc>
      </w:tr>
      <w:tr>
        <w:trPr>
          <w:trHeight w:val="230"/>
        </w:trPr>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Commitments</w:t>
            </w:r>
          </w:p>
        </w:tc>
        <w:tc>
          <w:tcPr>
            <w:tcW w:w="540" w:type="dxa"/>
            <w:vAlign w:val="bottom"/>
          </w:tcPr>
          <w:p>
            <w:pPr>
              <w:spacing w:after="0"/>
              <w:rPr>
                <w:sz w:val="20"/>
                <w:szCs w:val="20"/>
                <w:color w:val="auto"/>
              </w:rPr>
            </w:pPr>
          </w:p>
        </w:tc>
        <w:tc>
          <w:tcPr>
            <w:tcW w:w="2100" w:type="dxa"/>
            <w:vAlign w:val="bottom"/>
            <w:gridSpan w:val="4"/>
          </w:tcPr>
          <w:p>
            <w:pPr>
              <w:ind w:left="60"/>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for Sale</w:t>
            </w:r>
          </w:p>
        </w:tc>
      </w:tr>
      <w:tr>
        <w:trPr>
          <w:trHeight w:val="210"/>
        </w:trPr>
        <w:tc>
          <w:tcPr>
            <w:tcW w:w="55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December 31,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2,491,233</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213,457,632</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3,216,382</w:t>
            </w: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Originations and purchases</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2,105,048,030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maturities and paydowns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(2,017,976,791)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(1,020,800)</w:t>
            </w: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Transfer to mortgage loans held for investment</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(8,933,676)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gains (losses):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520" w:type="dxa"/>
            <w:vAlign w:val="bottom"/>
          </w:tcPr>
          <w:p>
            <w:pPr>
              <w:ind w:left="240"/>
              <w:spacing w:after="0"/>
              <w:rPr>
                <w:sz w:val="20"/>
                <w:szCs w:val="20"/>
                <w:color w:val="auto"/>
              </w:rPr>
            </w:pPr>
            <w:r>
              <w:rPr>
                <w:rFonts w:ascii="Arial" w:cs="Arial" w:eastAsia="Arial" w:hAnsi="Arial"/>
                <w:sz w:val="18"/>
                <w:szCs w:val="18"/>
                <w:color w:val="auto"/>
              </w:rPr>
              <w:t>Included in earnings</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8,553,132(1)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65,354,763(1)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1,672(2)</w:t>
            </w:r>
          </w:p>
        </w:tc>
      </w:tr>
      <w:tr>
        <w:trPr>
          <w:trHeight w:val="216"/>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Included in other comprehensive income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24,138</w:t>
            </w:r>
          </w:p>
        </w:tc>
      </w:tr>
      <w:tr>
        <w:trPr>
          <w:trHeight w:val="209"/>
        </w:trPr>
        <w:tc>
          <w:tcPr>
            <w:tcW w:w="55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DFFCC"/>
            </w:tcBorders>
          </w:tcPr>
          <w:p>
            <w:pPr>
              <w:spacing w:after="0"/>
              <w:rPr>
                <w:sz w:val="18"/>
                <w:szCs w:val="18"/>
                <w:color w:val="auto"/>
              </w:rPr>
            </w:pPr>
          </w:p>
        </w:tc>
        <w:tc>
          <w:tcPr>
            <w:tcW w:w="1160" w:type="dxa"/>
            <w:vAlign w:val="bottom"/>
            <w:tcBorders>
              <w:top w:val="single" w:sz="8" w:color="auto"/>
              <w:bottom w:val="single" w:sz="8" w:color="CDFFCC"/>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DFFCC"/>
            </w:tcBorders>
          </w:tcPr>
          <w:p>
            <w:pPr>
              <w:spacing w:after="0"/>
              <w:rPr>
                <w:sz w:val="18"/>
                <w:szCs w:val="18"/>
                <w:color w:val="auto"/>
              </w:rPr>
            </w:pPr>
          </w:p>
        </w:tc>
        <w:tc>
          <w:tcPr>
            <w:tcW w:w="1160" w:type="dxa"/>
            <w:vAlign w:val="bottom"/>
            <w:tcBorders>
              <w:top w:val="single" w:sz="8" w:color="auto"/>
              <w:bottom w:val="single" w:sz="8" w:color="CDFFCC"/>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DFFCC"/>
            </w:tcBorders>
          </w:tcPr>
          <w:p>
            <w:pPr>
              <w:spacing w:after="0"/>
              <w:rPr>
                <w:sz w:val="18"/>
                <w:szCs w:val="18"/>
                <w:color w:val="auto"/>
              </w:rPr>
            </w:pPr>
          </w:p>
        </w:tc>
        <w:tc>
          <w:tcPr>
            <w:tcW w:w="1160" w:type="dxa"/>
            <w:vAlign w:val="bottom"/>
            <w:tcBorders>
              <w:top w:val="single" w:sz="8" w:color="auto"/>
              <w:bottom w:val="single" w:sz="8" w:color="CDFFCC"/>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r>
      <w:tr>
        <w:trPr>
          <w:trHeight w:val="230"/>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June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11,044,365</w:t>
            </w: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356,949,958</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2,221,392</w:t>
            </w:r>
          </w:p>
        </w:tc>
        <w:tc>
          <w:tcPr>
            <w:tcW w:w="22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component of Mortgage fee income on the condensed consolidated statements of earnings</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component of Net investment income on the condensed consolidated statements of earnings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 for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Fixed Maturity</w:t>
            </w:r>
          </w:p>
        </w:tc>
      </w:tr>
      <w:tr>
        <w:trPr>
          <w:trHeight w:val="216"/>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Net Loan</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1"/>
              </w:rPr>
              <w:t>Securities Available</w:t>
            </w:r>
          </w:p>
        </w:tc>
      </w:tr>
      <w:tr>
        <w:trPr>
          <w:trHeight w:val="230"/>
        </w:trPr>
        <w:tc>
          <w:tcPr>
            <w:tcW w:w="5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Commitments</w:t>
            </w:r>
          </w:p>
        </w:tc>
        <w:tc>
          <w:tcPr>
            <w:tcW w:w="220" w:type="dxa"/>
            <w:vAlign w:val="bottom"/>
          </w:tcPr>
          <w:p>
            <w:pPr>
              <w:spacing w:after="0"/>
              <w:rPr>
                <w:sz w:val="20"/>
                <w:szCs w:val="20"/>
                <w:color w:val="auto"/>
              </w:rPr>
            </w:pP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for Sale</w:t>
            </w:r>
          </w:p>
        </w:tc>
      </w:tr>
      <w:tr>
        <w:trPr>
          <w:trHeight w:val="209"/>
        </w:trPr>
        <w:tc>
          <w:tcPr>
            <w:tcW w:w="51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March 31, 2021</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10,443,076</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304,030,372</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2,191,093</w:t>
            </w: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Originations and purchases</w:t>
            </w:r>
          </w:p>
        </w:tc>
        <w:tc>
          <w:tcPr>
            <w:tcW w:w="160" w:type="dxa"/>
            <w:vAlign w:val="bottom"/>
          </w:tcPr>
          <w:p>
            <w:pPr>
              <w:spacing w:after="0"/>
              <w:rPr>
                <w:sz w:val="18"/>
                <w:szCs w:val="18"/>
                <w:color w:val="auto"/>
              </w:rPr>
            </w:pPr>
          </w:p>
        </w:tc>
        <w:tc>
          <w:tcPr>
            <w:tcW w:w="18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1,360,389,498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maturities and paydowns</w:t>
            </w:r>
          </w:p>
        </w:tc>
        <w:tc>
          <w:tcPr>
            <w:tcW w:w="1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(1,410,147,019)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(11,300)</w:t>
            </w: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Transfer to mortgage loans held for investment</w:t>
            </w:r>
          </w:p>
        </w:tc>
        <w:tc>
          <w:tcPr>
            <w:tcW w:w="160" w:type="dxa"/>
            <w:vAlign w:val="bottom"/>
          </w:tcPr>
          <w:p>
            <w:pPr>
              <w:spacing w:after="0"/>
              <w:rPr>
                <w:sz w:val="18"/>
                <w:szCs w:val="18"/>
                <w:color w:val="auto"/>
              </w:rPr>
            </w:pPr>
          </w:p>
        </w:tc>
        <w:tc>
          <w:tcPr>
            <w:tcW w:w="18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0" w:type="dxa"/>
            <w:vAlign w:val="bottom"/>
            <w:gridSpan w:val="3"/>
          </w:tcPr>
          <w:p>
            <w:pPr>
              <w:ind w:left="1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gains (losses):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Included in earnings</w:t>
            </w:r>
          </w:p>
        </w:tc>
        <w:tc>
          <w:tcPr>
            <w:tcW w:w="160" w:type="dxa"/>
            <w:vAlign w:val="bottom"/>
          </w:tcPr>
          <w:p>
            <w:pPr>
              <w:spacing w:after="0"/>
              <w:rPr>
                <w:sz w:val="18"/>
                <w:szCs w:val="18"/>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color w:val="auto"/>
                <w:w w:val="90"/>
              </w:rPr>
              <w:t>(482,863)(1)</w:t>
            </w:r>
          </w:p>
        </w:tc>
        <w:tc>
          <w:tcPr>
            <w:tcW w:w="48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42,455,235(1)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r>
      <w:tr>
        <w:trPr>
          <w:trHeight w:val="209"/>
        </w:trPr>
        <w:tc>
          <w:tcPr>
            <w:tcW w:w="5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DFFCC"/>
            </w:tcBorders>
          </w:tcPr>
          <w:p>
            <w:pPr>
              <w:spacing w:after="0"/>
              <w:rPr>
                <w:sz w:val="18"/>
                <w:szCs w:val="18"/>
                <w:color w:val="auto"/>
              </w:rPr>
            </w:pPr>
          </w:p>
        </w:tc>
        <w:tc>
          <w:tcPr>
            <w:tcW w:w="1120" w:type="dxa"/>
            <w:vAlign w:val="bottom"/>
            <w:tcBorders>
              <w:top w:val="single" w:sz="8" w:color="auto"/>
              <w:bottom w:val="single" w:sz="8" w:color="CDFFCC"/>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CDFFCC"/>
            </w:tcBorders>
          </w:tcPr>
          <w:p>
            <w:pPr>
              <w:spacing w:after="0"/>
              <w:rPr>
                <w:sz w:val="18"/>
                <w:szCs w:val="18"/>
                <w:color w:val="auto"/>
              </w:rPr>
            </w:pPr>
          </w:p>
        </w:tc>
        <w:tc>
          <w:tcPr>
            <w:tcW w:w="1800" w:type="dxa"/>
            <w:vAlign w:val="bottom"/>
            <w:tcBorders>
              <w:top w:val="single" w:sz="8" w:color="auto"/>
              <w:bottom w:val="single" w:sz="8" w:color="CDFFCC"/>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DFFCC"/>
            </w:tcBorders>
          </w:tcPr>
          <w:p>
            <w:pPr>
              <w:spacing w:after="0"/>
              <w:rPr>
                <w:sz w:val="18"/>
                <w:szCs w:val="18"/>
                <w:color w:val="auto"/>
              </w:rPr>
            </w:pPr>
          </w:p>
        </w:tc>
        <w:tc>
          <w:tcPr>
            <w:tcW w:w="1280" w:type="dxa"/>
            <w:vAlign w:val="bottom"/>
            <w:tcBorders>
              <w:top w:val="single" w:sz="8" w:color="auto"/>
              <w:bottom w:val="single" w:sz="8" w:color="CDFFCC"/>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30"/>
        </w:trPr>
        <w:tc>
          <w:tcPr>
            <w:tcW w:w="5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June 30, 2021</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9,960,213</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296,728,086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2,180,828</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 component of Mortgage fee income on the condensed consolidated statements of earnings</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 component of Net investment income on the condensed consolidated statements of earnings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 for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Fixed Maturity</w:t>
            </w:r>
          </w:p>
        </w:tc>
      </w:tr>
      <w:tr>
        <w:trPr>
          <w:trHeight w:val="216"/>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Net Loan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1"/>
              </w:rPr>
              <w:t>Securities Available</w:t>
            </w:r>
          </w:p>
        </w:tc>
      </w:tr>
      <w:tr>
        <w:trPr>
          <w:trHeight w:val="230"/>
        </w:trPr>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Commitments</w:t>
            </w:r>
          </w:p>
        </w:tc>
        <w:tc>
          <w:tcPr>
            <w:tcW w:w="540" w:type="dxa"/>
            <w:vAlign w:val="bottom"/>
          </w:tcPr>
          <w:p>
            <w:pPr>
              <w:spacing w:after="0"/>
              <w:rPr>
                <w:sz w:val="20"/>
                <w:szCs w:val="20"/>
                <w:color w:val="auto"/>
              </w:rPr>
            </w:pPr>
          </w:p>
        </w:tc>
        <w:tc>
          <w:tcPr>
            <w:tcW w:w="2100" w:type="dxa"/>
            <w:vAlign w:val="bottom"/>
            <w:gridSpan w:val="4"/>
          </w:tcPr>
          <w:p>
            <w:pPr>
              <w:ind w:left="60"/>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for Sale</w:t>
            </w:r>
          </w:p>
        </w:tc>
      </w:tr>
      <w:tr>
        <w:trPr>
          <w:trHeight w:val="209"/>
        </w:trPr>
        <w:tc>
          <w:tcPr>
            <w:tcW w:w="55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March 31,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5,766,265</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281,052,576</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3,275,326</w:t>
            </w: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Originations and purchases</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1,312,854,438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maturities and paydowns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(1,278,846,335)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(1,010,500)</w:t>
            </w: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Transfer to mortgage loans held for investment</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gains (losses):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520" w:type="dxa"/>
            <w:vAlign w:val="bottom"/>
          </w:tcPr>
          <w:p>
            <w:pPr>
              <w:ind w:left="240"/>
              <w:spacing w:after="0"/>
              <w:rPr>
                <w:sz w:val="20"/>
                <w:szCs w:val="20"/>
                <w:color w:val="auto"/>
              </w:rPr>
            </w:pPr>
            <w:r>
              <w:rPr>
                <w:rFonts w:ascii="Arial" w:cs="Arial" w:eastAsia="Arial" w:hAnsi="Arial"/>
                <w:sz w:val="18"/>
                <w:szCs w:val="18"/>
                <w:color w:val="auto"/>
              </w:rPr>
              <w:t>Included in earnings</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5,278,100(1)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41,889,279(1)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844(2)</w:t>
            </w:r>
          </w:p>
        </w:tc>
      </w:tr>
      <w:tr>
        <w:trPr>
          <w:trHeight w:val="216"/>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Included in other comprehensive income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(44,278)</w:t>
            </w:r>
          </w:p>
        </w:tc>
      </w:tr>
      <w:tr>
        <w:trPr>
          <w:trHeight w:val="210"/>
        </w:trPr>
        <w:tc>
          <w:tcPr>
            <w:tcW w:w="55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DFFCC"/>
            </w:tcBorders>
          </w:tcPr>
          <w:p>
            <w:pPr>
              <w:spacing w:after="0"/>
              <w:rPr>
                <w:sz w:val="18"/>
                <w:szCs w:val="18"/>
                <w:color w:val="auto"/>
              </w:rPr>
            </w:pPr>
          </w:p>
        </w:tc>
        <w:tc>
          <w:tcPr>
            <w:tcW w:w="1160" w:type="dxa"/>
            <w:vAlign w:val="bottom"/>
            <w:tcBorders>
              <w:top w:val="single" w:sz="8" w:color="auto"/>
              <w:bottom w:val="single" w:sz="8" w:color="CDFFCC"/>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DFFCC"/>
            </w:tcBorders>
          </w:tcPr>
          <w:p>
            <w:pPr>
              <w:spacing w:after="0"/>
              <w:rPr>
                <w:sz w:val="18"/>
                <w:szCs w:val="18"/>
                <w:color w:val="auto"/>
              </w:rPr>
            </w:pPr>
          </w:p>
        </w:tc>
        <w:tc>
          <w:tcPr>
            <w:tcW w:w="1160" w:type="dxa"/>
            <w:vAlign w:val="bottom"/>
            <w:tcBorders>
              <w:top w:val="single" w:sz="8" w:color="auto"/>
              <w:bottom w:val="single" w:sz="8" w:color="CDFFCC"/>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DFFCC"/>
            </w:tcBorders>
          </w:tcPr>
          <w:p>
            <w:pPr>
              <w:spacing w:after="0"/>
              <w:rPr>
                <w:sz w:val="18"/>
                <w:szCs w:val="18"/>
                <w:color w:val="auto"/>
              </w:rPr>
            </w:pPr>
          </w:p>
        </w:tc>
        <w:tc>
          <w:tcPr>
            <w:tcW w:w="1160" w:type="dxa"/>
            <w:vAlign w:val="bottom"/>
            <w:tcBorders>
              <w:top w:val="single" w:sz="8" w:color="auto"/>
              <w:bottom w:val="single" w:sz="8" w:color="CDFFCC"/>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r>
      <w:tr>
        <w:trPr>
          <w:trHeight w:val="230"/>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June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11,044,365</w:t>
            </w: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356,949,958</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2,221,392</w:t>
            </w:r>
          </w:p>
        </w:tc>
        <w:tc>
          <w:tcPr>
            <w:tcW w:w="22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component of Mortgage fee income on the condensed consolidated statements of earnings</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component of Net investment income on the condensed consolidated statements of earnings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right="860" w:firstLine="42"/>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condensed consolidated balance sheet at June 30, 2021.</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Quoted Prices in</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Active Markets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Significant</w:t>
            </w:r>
          </w:p>
        </w:tc>
      </w:tr>
      <w:tr>
        <w:trPr>
          <w:trHeight w:val="216"/>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for Identical</w:t>
            </w:r>
          </w:p>
        </w:tc>
        <w:tc>
          <w:tcPr>
            <w:tcW w:w="180" w:type="dxa"/>
            <w:vAlign w:val="bottom"/>
          </w:tcPr>
          <w:p>
            <w:pPr>
              <w:spacing w:after="0"/>
              <w:rPr>
                <w:sz w:val="18"/>
                <w:szCs w:val="18"/>
                <w:color w:val="auto"/>
              </w:rPr>
            </w:pPr>
          </w:p>
        </w:tc>
        <w:tc>
          <w:tcPr>
            <w:tcW w:w="148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Significant</w:t>
            </w:r>
          </w:p>
        </w:tc>
        <w:tc>
          <w:tcPr>
            <w:tcW w:w="14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Unobservable</w:t>
            </w:r>
          </w:p>
        </w:tc>
      </w:tr>
      <w:tr>
        <w:trPr>
          <w:trHeight w:val="216"/>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320"/>
              <w:spacing w:after="0"/>
              <w:rPr>
                <w:sz w:val="20"/>
                <w:szCs w:val="20"/>
                <w:color w:val="auto"/>
              </w:rPr>
            </w:pPr>
            <w:r>
              <w:rPr>
                <w:rFonts w:ascii="Arial" w:cs="Arial" w:eastAsia="Arial" w:hAnsi="Arial"/>
                <w:sz w:val="18"/>
                <w:szCs w:val="18"/>
                <w:color w:val="auto"/>
              </w:rPr>
              <w:t>Assets</w:t>
            </w:r>
          </w:p>
        </w:tc>
        <w:tc>
          <w:tcPr>
            <w:tcW w:w="1660" w:type="dxa"/>
            <w:vAlign w:val="bottom"/>
            <w:gridSpan w:val="4"/>
          </w:tcPr>
          <w:p>
            <w:pPr>
              <w:jc w:val="center"/>
              <w:ind w:right="320"/>
              <w:spacing w:after="0"/>
              <w:rPr>
                <w:sz w:val="20"/>
                <w:szCs w:val="20"/>
                <w:color w:val="auto"/>
              </w:rPr>
            </w:pPr>
            <w:r>
              <w:rPr>
                <w:rFonts w:ascii="Arial" w:cs="Arial" w:eastAsia="Arial" w:hAnsi="Arial"/>
                <w:sz w:val="18"/>
                <w:szCs w:val="18"/>
                <w:color w:val="auto"/>
                <w:w w:val="88"/>
              </w:rPr>
              <w:t>Observable Inputs</w:t>
            </w:r>
          </w:p>
        </w:tc>
        <w:tc>
          <w:tcPr>
            <w:tcW w:w="14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Inputs</w:t>
            </w:r>
          </w:p>
        </w:tc>
      </w:tr>
      <w:tr>
        <w:trPr>
          <w:trHeight w:val="230"/>
        </w:trPr>
        <w:tc>
          <w:tcPr>
            <w:tcW w:w="4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44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1480" w:type="dxa"/>
            <w:vAlign w:val="bottom"/>
            <w:gridSpan w:val="3"/>
          </w:tcPr>
          <w:p>
            <w:pPr>
              <w:jc w:val="center"/>
              <w:ind w:right="50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(Level 3)</w:t>
            </w:r>
          </w:p>
        </w:tc>
      </w:tr>
      <w:tr>
        <w:trPr>
          <w:trHeight w:val="210"/>
        </w:trPr>
        <w:tc>
          <w:tcPr>
            <w:tcW w:w="4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Assets accounted for at fair value on a nonrecurring basis</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Impaired mortgage loans held for investment</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1,091,908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1,091,908</w:t>
            </w:r>
          </w:p>
        </w:tc>
        <w:tc>
          <w:tcPr>
            <w:tcW w:w="100" w:type="dxa"/>
            <w:vAlign w:val="bottom"/>
          </w:tcPr>
          <w:p>
            <w:pPr>
              <w:spacing w:after="0"/>
              <w:rPr>
                <w:sz w:val="18"/>
                <w:szCs w:val="18"/>
                <w:color w:val="auto"/>
              </w:rPr>
            </w:pPr>
          </w:p>
        </w:tc>
      </w:tr>
      <w:tr>
        <w:trPr>
          <w:trHeight w:val="229"/>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Impaired real estate held for sale</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390,000</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100" w:type="dxa"/>
            <w:vAlign w:val="bottom"/>
            <w:shd w:val="clear" w:color="auto" w:fill="CCEEFF"/>
          </w:tcPr>
          <w:p>
            <w:pPr>
              <w:spacing w:after="0"/>
              <w:rPr>
                <w:sz w:val="19"/>
                <w:szCs w:val="19"/>
                <w:color w:val="auto"/>
              </w:rPr>
            </w:pPr>
          </w:p>
        </w:tc>
      </w:tr>
      <w:tr>
        <w:trPr>
          <w:trHeight w:val="182"/>
        </w:trPr>
        <w:tc>
          <w:tcPr>
            <w:tcW w:w="4840" w:type="dxa"/>
            <w:vAlign w:val="bottom"/>
          </w:tcPr>
          <w:p>
            <w:pPr>
              <w:ind w:left="100"/>
              <w:spacing w:after="0" w:line="182" w:lineRule="exact"/>
              <w:rPr>
                <w:sz w:val="20"/>
                <w:szCs w:val="20"/>
                <w:color w:val="auto"/>
              </w:rPr>
            </w:pPr>
            <w:r>
              <w:rPr>
                <w:rFonts w:ascii="Arial" w:cs="Arial" w:eastAsia="Arial" w:hAnsi="Arial"/>
                <w:sz w:val="18"/>
                <w:szCs w:val="18"/>
                <w:color w:val="auto"/>
              </w:rPr>
              <w:t>Total assets accounted for at fair value on a nonrecurring</w:t>
            </w: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7"/>
        </w:trPr>
        <w:tc>
          <w:tcPr>
            <w:tcW w:w="4840" w:type="dxa"/>
            <w:vAlign w:val="bottom"/>
          </w:tcPr>
          <w:p>
            <w:pPr>
              <w:ind w:left="100"/>
              <w:spacing w:after="0"/>
              <w:rPr>
                <w:sz w:val="20"/>
                <w:szCs w:val="20"/>
                <w:color w:val="auto"/>
              </w:rPr>
            </w:pPr>
            <w:r>
              <w:rPr>
                <w:rFonts w:ascii="Arial" w:cs="Arial" w:eastAsia="Arial" w:hAnsi="Arial"/>
                <w:sz w:val="18"/>
                <w:szCs w:val="18"/>
                <w:color w:val="auto"/>
              </w:rPr>
              <w:t>basis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1,481,908</w:t>
            </w:r>
          </w:p>
        </w:tc>
        <w:tc>
          <w:tcPr>
            <w:tcW w:w="1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1,481,908</w:t>
            </w:r>
          </w:p>
        </w:tc>
        <w:tc>
          <w:tcPr>
            <w:tcW w:w="100" w:type="dxa"/>
            <w:vAlign w:val="bottom"/>
          </w:tcPr>
          <w:p>
            <w:pPr>
              <w:spacing w:after="0"/>
              <w:rPr>
                <w:sz w:val="22"/>
                <w:szCs w:val="22"/>
                <w:color w:val="auto"/>
              </w:rPr>
            </w:pPr>
          </w:p>
        </w:tc>
      </w:tr>
      <w:tr>
        <w:trPr>
          <w:trHeight w:val="27"/>
        </w:trPr>
        <w:tc>
          <w:tcPr>
            <w:tcW w:w="4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condensed consolidated balance sheet at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Quoted Prices in</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Active Markets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Significant</w:t>
            </w:r>
          </w:p>
        </w:tc>
      </w:tr>
      <w:tr>
        <w:trPr>
          <w:trHeight w:val="216"/>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for Identical</w:t>
            </w:r>
          </w:p>
        </w:tc>
        <w:tc>
          <w:tcPr>
            <w:tcW w:w="1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Significant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Unobservable</w:t>
            </w:r>
          </w:p>
        </w:tc>
      </w:tr>
      <w:tr>
        <w:trPr>
          <w:trHeight w:val="216"/>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320"/>
              <w:spacing w:after="0"/>
              <w:rPr>
                <w:sz w:val="20"/>
                <w:szCs w:val="20"/>
                <w:color w:val="auto"/>
              </w:rPr>
            </w:pPr>
            <w:r>
              <w:rPr>
                <w:rFonts w:ascii="Arial" w:cs="Arial" w:eastAsia="Arial" w:hAnsi="Arial"/>
                <w:sz w:val="18"/>
                <w:szCs w:val="18"/>
                <w:color w:val="auto"/>
              </w:rPr>
              <w:t>Assets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w w:val="88"/>
              </w:rPr>
              <w:t>Observable Inputs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Inputs</w:t>
            </w:r>
          </w:p>
        </w:tc>
      </w:tr>
      <w:tr>
        <w:trPr>
          <w:trHeight w:val="230"/>
        </w:trPr>
        <w:tc>
          <w:tcPr>
            <w:tcW w:w="4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44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(Level 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(Level 3)</w:t>
            </w:r>
          </w:p>
        </w:tc>
      </w:tr>
      <w:tr>
        <w:trPr>
          <w:trHeight w:val="210"/>
        </w:trPr>
        <w:tc>
          <w:tcPr>
            <w:tcW w:w="4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Assets accounted for at fair value on a nonrecurring basis</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Impaired mortgage loans held for investment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1,297,356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1,297,356</w:t>
            </w:r>
          </w:p>
        </w:tc>
      </w:tr>
      <w:tr>
        <w:trPr>
          <w:trHeight w:val="229"/>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Impaired real estate held for sale</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4,249,000</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4,249,000</w:t>
            </w:r>
          </w:p>
        </w:tc>
      </w:tr>
      <w:tr>
        <w:trPr>
          <w:trHeight w:val="182"/>
        </w:trPr>
        <w:tc>
          <w:tcPr>
            <w:tcW w:w="4840" w:type="dxa"/>
            <w:vAlign w:val="bottom"/>
          </w:tcPr>
          <w:p>
            <w:pPr>
              <w:ind w:left="100"/>
              <w:spacing w:after="0" w:line="182" w:lineRule="exact"/>
              <w:rPr>
                <w:sz w:val="20"/>
                <w:szCs w:val="20"/>
                <w:color w:val="auto"/>
              </w:rPr>
            </w:pPr>
            <w:r>
              <w:rPr>
                <w:rFonts w:ascii="Arial" w:cs="Arial" w:eastAsia="Arial" w:hAnsi="Arial"/>
                <w:sz w:val="18"/>
                <w:szCs w:val="18"/>
                <w:color w:val="auto"/>
              </w:rPr>
              <w:t>Total assets accounted for at fair value on a nonrecurring</w:t>
            </w: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4"/>
        </w:trPr>
        <w:tc>
          <w:tcPr>
            <w:tcW w:w="4840" w:type="dxa"/>
            <w:vAlign w:val="bottom"/>
          </w:tcPr>
          <w:p>
            <w:pPr>
              <w:ind w:left="100"/>
              <w:spacing w:after="0"/>
              <w:rPr>
                <w:sz w:val="20"/>
                <w:szCs w:val="20"/>
                <w:color w:val="auto"/>
              </w:rPr>
            </w:pPr>
            <w:r>
              <w:rPr>
                <w:rFonts w:ascii="Arial" w:cs="Arial" w:eastAsia="Arial" w:hAnsi="Arial"/>
                <w:sz w:val="18"/>
                <w:szCs w:val="18"/>
                <w:color w:val="auto"/>
              </w:rPr>
              <w:t>basis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5,546,356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5,546,356</w:t>
            </w:r>
          </w:p>
        </w:tc>
      </w:tr>
      <w:tr>
        <w:trPr>
          <w:trHeight w:val="756"/>
        </w:trPr>
        <w:tc>
          <w:tcPr>
            <w:tcW w:w="484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June 30, 2021 and December 31,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June 30, 2021:</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Total Estimated</w:t>
            </w:r>
          </w:p>
        </w:tc>
      </w:tr>
      <w:tr>
        <w:trPr>
          <w:trHeight w:val="230"/>
        </w:trPr>
        <w:tc>
          <w:tcPr>
            <w:tcW w:w="3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Carrying Value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ind w:left="14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300" w:type="dxa"/>
            <w:vAlign w:val="bottom"/>
            <w:gridSpan w:val="3"/>
          </w:tcPr>
          <w:p>
            <w:pPr>
              <w:ind w:left="2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Fair Value</w:t>
            </w:r>
          </w:p>
        </w:tc>
      </w:tr>
      <w:tr>
        <w:trPr>
          <w:trHeight w:val="210"/>
        </w:trPr>
        <w:tc>
          <w:tcPr>
            <w:tcW w:w="37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Assets</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rPr>
              <w:t>Mortgage loans held for investment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Residential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80,082,710</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84,136,136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84,136,136</w:t>
            </w:r>
          </w:p>
        </w:tc>
      </w:tr>
      <w:tr>
        <w:trPr>
          <w:trHeight w:val="216"/>
        </w:trPr>
        <w:tc>
          <w:tcPr>
            <w:tcW w:w="3780" w:type="dxa"/>
            <w:vAlign w:val="bottom"/>
          </w:tcPr>
          <w:p>
            <w:pPr>
              <w:ind w:left="240"/>
              <w:spacing w:after="0"/>
              <w:rPr>
                <w:sz w:val="20"/>
                <w:szCs w:val="20"/>
                <w:color w:val="auto"/>
              </w:rPr>
            </w:pPr>
            <w:r>
              <w:rPr>
                <w:rFonts w:ascii="Arial" w:cs="Arial" w:eastAsia="Arial" w:hAnsi="Arial"/>
                <w:sz w:val="18"/>
                <w:szCs w:val="18"/>
                <w:color w:val="auto"/>
              </w:rPr>
              <w:t>Residential construction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135,202,855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135,202,855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135,202,855</w:t>
            </w:r>
          </w:p>
        </w:tc>
      </w:tr>
      <w:tr>
        <w:trPr>
          <w:trHeight w:val="230"/>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46,874,442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47,494,309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47,494,309</w:t>
            </w:r>
          </w:p>
        </w:tc>
      </w:tr>
      <w:tr>
        <w:trPr>
          <w:trHeight w:val="209"/>
        </w:trPr>
        <w:tc>
          <w:tcPr>
            <w:tcW w:w="3780" w:type="dxa"/>
            <w:vAlign w:val="bottom"/>
          </w:tcPr>
          <w:p>
            <w:pPr>
              <w:ind w:left="100"/>
              <w:spacing w:after="0"/>
              <w:rPr>
                <w:sz w:val="20"/>
                <w:szCs w:val="20"/>
                <w:color w:val="auto"/>
              </w:rPr>
            </w:pPr>
            <w:r>
              <w:rPr>
                <w:rFonts w:ascii="Arial" w:cs="Arial" w:eastAsia="Arial" w:hAnsi="Arial"/>
                <w:sz w:val="18"/>
                <w:szCs w:val="18"/>
                <w:color w:val="auto"/>
              </w:rPr>
              <w:t>Mortgage loans held for investment, net</w:t>
            </w:r>
          </w:p>
        </w:tc>
        <w:tc>
          <w:tcPr>
            <w:tcW w:w="4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262,160,007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266,833,300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266,833,300</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Policy loans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13,734,049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13,734,049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13,734,049</w:t>
            </w: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rPr>
              <w:t>Insurance assignments, net (1)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40,352,681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40,352,681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40,352,681</w:t>
            </w: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assets (2)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2,668,080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2,668,080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2,668,080</w:t>
            </w: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w w:val="99"/>
              </w:rPr>
              <w:t>Cemetery perpetual care trust investments (2)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811,250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811,250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811,250</w:t>
            </w: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Mortgage servicing rights, net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46,724,546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58,838,077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58,838,077</w:t>
            </w:r>
          </w:p>
        </w:tc>
      </w:tr>
      <w:tr>
        <w:trPr>
          <w:trHeight w:val="216"/>
        </w:trPr>
        <w:tc>
          <w:tcPr>
            <w:tcW w:w="3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Liabilities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rPr>
              <w:t>Bank and other loans payable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(231,972,771)</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(231,972,771)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(231,972,771)</w:t>
            </w: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Policyholder account balances (3)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(43,288,791)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(42,203,722)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(42,203,722)</w:t>
            </w:r>
          </w:p>
        </w:tc>
      </w:tr>
      <w:tr>
        <w:trPr>
          <w:trHeight w:val="230"/>
        </w:trPr>
        <w:tc>
          <w:tcPr>
            <w:tcW w:w="3780" w:type="dxa"/>
            <w:vAlign w:val="bottom"/>
          </w:tcPr>
          <w:p>
            <w:pPr>
              <w:ind w:left="100"/>
              <w:spacing w:after="0"/>
              <w:rPr>
                <w:sz w:val="20"/>
                <w:szCs w:val="20"/>
                <w:color w:val="auto"/>
              </w:rPr>
            </w:pPr>
            <w:r>
              <w:rPr>
                <w:rFonts w:ascii="Arial" w:cs="Arial" w:eastAsia="Arial" w:hAnsi="Arial"/>
                <w:sz w:val="18"/>
                <w:szCs w:val="18"/>
                <w:color w:val="auto"/>
              </w:rPr>
              <w:t>Future policy benefits - annuities (3)</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(108,765,849)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(112,155,627)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(112,155,627)</w:t>
            </w:r>
          </w:p>
        </w:tc>
      </w:tr>
    </w:tbl>
    <w:p>
      <w:pPr>
        <w:spacing w:after="0" w:line="187"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Included in other investments and policy loans</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Mortgage loans held for investment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Total Estimated</w:t>
            </w:r>
          </w:p>
        </w:tc>
      </w:tr>
      <w:tr>
        <w:trPr>
          <w:trHeight w:val="230"/>
        </w:trPr>
        <w:tc>
          <w:tcPr>
            <w:tcW w:w="3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Carrying Value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ind w:left="14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300" w:type="dxa"/>
            <w:vAlign w:val="bottom"/>
            <w:gridSpan w:val="3"/>
          </w:tcPr>
          <w:p>
            <w:pPr>
              <w:ind w:left="2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Fair Value</w:t>
            </w:r>
          </w:p>
        </w:tc>
      </w:tr>
      <w:tr>
        <w:trPr>
          <w:trHeight w:val="210"/>
        </w:trPr>
        <w:tc>
          <w:tcPr>
            <w:tcW w:w="37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Assets</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rPr>
              <w:t>Mortgage loans held for investment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Residential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92,757,613</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100,384,283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100,384,283</w:t>
            </w:r>
          </w:p>
        </w:tc>
      </w:tr>
      <w:tr>
        <w:trPr>
          <w:trHeight w:val="216"/>
        </w:trPr>
        <w:tc>
          <w:tcPr>
            <w:tcW w:w="3780" w:type="dxa"/>
            <w:vAlign w:val="bottom"/>
          </w:tcPr>
          <w:p>
            <w:pPr>
              <w:ind w:left="240"/>
              <w:spacing w:after="0"/>
              <w:rPr>
                <w:sz w:val="20"/>
                <w:szCs w:val="20"/>
                <w:color w:val="auto"/>
              </w:rPr>
            </w:pPr>
            <w:r>
              <w:rPr>
                <w:rFonts w:ascii="Arial" w:cs="Arial" w:eastAsia="Arial" w:hAnsi="Arial"/>
                <w:sz w:val="18"/>
                <w:szCs w:val="18"/>
                <w:color w:val="auto"/>
              </w:rPr>
              <w:t>Residential construction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110,849,864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110,849,864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110,849,864</w:t>
            </w:r>
          </w:p>
        </w:tc>
      </w:tr>
      <w:tr>
        <w:trPr>
          <w:trHeight w:val="230"/>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45,736,459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45,259,425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45,259,425</w:t>
            </w:r>
          </w:p>
        </w:tc>
      </w:tr>
      <w:tr>
        <w:trPr>
          <w:trHeight w:val="210"/>
        </w:trPr>
        <w:tc>
          <w:tcPr>
            <w:tcW w:w="3780" w:type="dxa"/>
            <w:vAlign w:val="bottom"/>
          </w:tcPr>
          <w:p>
            <w:pPr>
              <w:ind w:left="100"/>
              <w:spacing w:after="0"/>
              <w:rPr>
                <w:sz w:val="20"/>
                <w:szCs w:val="20"/>
                <w:color w:val="auto"/>
              </w:rPr>
            </w:pPr>
            <w:r>
              <w:rPr>
                <w:rFonts w:ascii="Arial" w:cs="Arial" w:eastAsia="Arial" w:hAnsi="Arial"/>
                <w:sz w:val="18"/>
                <w:szCs w:val="18"/>
                <w:color w:val="auto"/>
              </w:rPr>
              <w:t>Mortgage loans held for investment, net</w:t>
            </w:r>
          </w:p>
        </w:tc>
        <w:tc>
          <w:tcPr>
            <w:tcW w:w="4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249,343,936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256,493,572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256,493,572</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Policy loans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14,171,589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14,171,589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14,171,589</w:t>
            </w: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rPr>
              <w:t>Insurance assignments, net (1)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51,585,656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51,585,656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51,585,656</w:t>
            </w: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assets (2)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3,317,877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3,317,877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3,317,877</w:t>
            </w: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w w:val="99"/>
              </w:rPr>
              <w:t>Cemetery perpetual care trust investments (2)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1,468,600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1,468,600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1,468,600</w:t>
            </w: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Mortgage servicing rights, net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35,210,516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38,702,358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38,702,358</w:t>
            </w:r>
          </w:p>
        </w:tc>
      </w:tr>
      <w:tr>
        <w:trPr>
          <w:trHeight w:val="216"/>
        </w:trPr>
        <w:tc>
          <w:tcPr>
            <w:tcW w:w="3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Liabilities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rPr>
              <w:t>Bank and other loans payable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(297,824,368)</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(297,824,368)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(297,824,368)</w:t>
            </w: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Policyholder account balances (3)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(44,026,809)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(42,220,725)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(42,220,725)</w:t>
            </w:r>
          </w:p>
        </w:tc>
      </w:tr>
      <w:tr>
        <w:trPr>
          <w:trHeight w:val="230"/>
        </w:trPr>
        <w:tc>
          <w:tcPr>
            <w:tcW w:w="3780" w:type="dxa"/>
            <w:vAlign w:val="bottom"/>
          </w:tcPr>
          <w:p>
            <w:pPr>
              <w:ind w:left="100"/>
              <w:spacing w:after="0"/>
              <w:rPr>
                <w:sz w:val="20"/>
                <w:szCs w:val="20"/>
                <w:color w:val="auto"/>
              </w:rPr>
            </w:pPr>
            <w:r>
              <w:rPr>
                <w:rFonts w:ascii="Arial" w:cs="Arial" w:eastAsia="Arial" w:hAnsi="Arial"/>
                <w:sz w:val="18"/>
                <w:szCs w:val="18"/>
                <w:color w:val="auto"/>
              </w:rPr>
              <w:t>Future policy benefits - annuities (3)</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(106,522,113)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(112,354,186)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(112,354,186)</w:t>
            </w:r>
          </w:p>
        </w:tc>
      </w:tr>
    </w:tbl>
    <w:p>
      <w:pPr>
        <w:spacing w:after="0" w:line="187"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Included in other investments and policy loans on the condensed consolidated balance sheets</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 loans held for investment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 on the condensed consolidated balance sheets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color w:val="auto"/>
        </w:rPr>
        <w:t>The methods, assumptions and significant valuation techniques and inputs used to estimate the fair value of these financial instruments are summarized as follows: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estimated fair value of the Company’s mortgage loans held for investment is determined using various methods.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4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Residential – The estimated fair value is determined through a combination of discounted cash flows(estimating expected future cash flows of payments and discounting them using current interest rates from single family mortgages) and considering pricing of similar loans that were sold recently.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Residential Construction – These loans are primarily short in maturity.Accordingly, the estimated fair value is determined to be the carrying value.</w:t>
      </w:r>
    </w:p>
    <w:p>
      <w:pPr>
        <w:spacing w:after="0" w:line="24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Commercial – The estimated fair value is determined by estimating expected future cash flows of payments and discounting them using current interest rates for commercial mortgages.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Policy Loans</w:t>
      </w:r>
      <w:r>
        <w:rPr>
          <w:rFonts w:ascii="Arial" w:cs="Arial" w:eastAsia="Arial" w:hAnsi="Arial"/>
          <w:sz w:val="18"/>
          <w:szCs w:val="18"/>
          <w:color w:val="auto"/>
        </w:rPr>
        <w:t>: The carrying amounts reported in the accompanying condensed consolidated balance sheet for these financial instruments approximate their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values because they are fully collateralized by the cash surrender value of the underlying insurance policies.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Insurance Assignments, Net</w:t>
      </w:r>
      <w:r>
        <w:rPr>
          <w:rFonts w:ascii="Arial" w:cs="Arial" w:eastAsia="Arial" w:hAnsi="Arial"/>
          <w:sz w:val="18"/>
          <w:szCs w:val="18"/>
          <w:color w:val="auto"/>
        </w:rPr>
        <w:t>: These investments are primarily short in maturity, accordingly, the carrying amounts reported in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for these financial instruments approximate their fair values.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Bank and Other Loans Payable</w:t>
      </w:r>
      <w:r>
        <w:rPr>
          <w:rFonts w:ascii="Arial" w:cs="Arial" w:eastAsia="Arial" w:hAnsi="Arial"/>
          <w:sz w:val="18"/>
          <w:szCs w:val="18"/>
          <w:color w:val="auto"/>
        </w:rPr>
        <w:t>: The carrying amounts reported in the accompanying condensed consolidated balance sheet for these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values due to their relatively short-term maturities and variable interest rates.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u w:val="single" w:color="auto"/>
          <w:color w:val="auto"/>
        </w:rPr>
        <w:t>Policyholder Account Balances and Future Policy Benefits-Annuities</w:t>
      </w:r>
      <w:r>
        <w:rPr>
          <w:rFonts w:ascii="Arial" w:cs="Arial" w:eastAsia="Arial" w:hAnsi="Arial"/>
          <w:sz w:val="16"/>
          <w:szCs w:val="16"/>
          <w:color w:val="auto"/>
        </w:rPr>
        <w:t>: Future policy benefit reserves for interest-sensitive insurance products are computed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66" w:lineRule="exact"/>
        <w:rPr>
          <w:sz w:val="20"/>
          <w:szCs w:val="20"/>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Allowance for Doubtful Accounts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an allowance and recognizes an expense for potential losses from other investments and receivables in accordance with generally accepted accounting principles.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Commitments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Sale Commitments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and Put Options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expired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realized gains (losses) on investments and other assets. Call and put options are shown in other liabilities and accrued expenses on the condensed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notional amount and fair value of derivatives as of June 30, 2021 and December 31, 2020.</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12"/>
          </w:tcPr>
          <w:p>
            <w:pPr>
              <w:jc w:val="right"/>
              <w:ind w:right="140"/>
              <w:spacing w:after="0"/>
              <w:rPr>
                <w:sz w:val="20"/>
                <w:szCs w:val="20"/>
                <w:color w:val="auto"/>
              </w:rPr>
            </w:pPr>
            <w:r>
              <w:rPr>
                <w:rFonts w:ascii="Arial" w:cs="Arial" w:eastAsia="Arial" w:hAnsi="Arial"/>
                <w:sz w:val="18"/>
                <w:szCs w:val="18"/>
                <w:color w:val="auto"/>
                <w:w w:val="91"/>
              </w:rPr>
              <w:t>Fair Values and Notional Values of Derivative Instruments</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8"/>
              </w:rPr>
              <w:t>Balance Sheet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87"/>
              </w:rPr>
              <w:t>June 30, 2021</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6"/>
              </w:rPr>
              <w:t>December 31, 2020</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4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rPr>
              <w:t>Notional</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9"/>
              </w:rPr>
              <w:t>Liability Fair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340"/>
              <w:spacing w:after="0" w:line="195" w:lineRule="exact"/>
              <w:rPr>
                <w:sz w:val="20"/>
                <w:szCs w:val="20"/>
                <w:color w:val="auto"/>
              </w:rPr>
            </w:pPr>
            <w:r>
              <w:rPr>
                <w:rFonts w:ascii="Arial" w:cs="Arial" w:eastAsia="Arial" w:hAnsi="Arial"/>
                <w:sz w:val="18"/>
                <w:szCs w:val="18"/>
                <w:color w:val="auto"/>
                <w:w w:val="91"/>
              </w:rPr>
              <w:t>Asset Fair</w:t>
            </w:r>
          </w:p>
        </w:tc>
        <w:tc>
          <w:tcPr>
            <w:tcW w:w="1100" w:type="dxa"/>
            <w:vAlign w:val="bottom"/>
            <w:gridSpan w:val="3"/>
          </w:tcPr>
          <w:p>
            <w:pPr>
              <w:jc w:val="center"/>
              <w:ind w:right="20"/>
              <w:spacing w:after="0" w:line="195" w:lineRule="exact"/>
              <w:rPr>
                <w:sz w:val="20"/>
                <w:szCs w:val="20"/>
                <w:color w:val="auto"/>
              </w:rPr>
            </w:pPr>
            <w:r>
              <w:rPr>
                <w:rFonts w:ascii="Arial" w:cs="Arial" w:eastAsia="Arial" w:hAnsi="Arial"/>
                <w:sz w:val="18"/>
                <w:szCs w:val="18"/>
                <w:color w:val="auto"/>
                <w:w w:val="99"/>
              </w:rPr>
              <w:t>Liability Fair</w:t>
            </w:r>
          </w:p>
        </w:tc>
        <w:tc>
          <w:tcPr>
            <w:tcW w:w="0" w:type="dxa"/>
            <w:vAlign w:val="bottom"/>
          </w:tcPr>
          <w:p>
            <w:pPr>
              <w:spacing w:after="0"/>
              <w:rPr>
                <w:sz w:val="1"/>
                <w:szCs w:val="1"/>
                <w:color w:val="auto"/>
              </w:rPr>
            </w:pPr>
          </w:p>
        </w:tc>
      </w:tr>
      <w:tr>
        <w:trPr>
          <w:trHeight w:val="230"/>
        </w:trPr>
        <w:tc>
          <w:tcPr>
            <w:tcW w:w="1480" w:type="dxa"/>
            <w:vAlign w:val="bottom"/>
            <w:vMerge w:val="restart"/>
          </w:tcPr>
          <w:p>
            <w:pPr>
              <w:spacing w:after="0"/>
              <w:rPr>
                <w:sz w:val="20"/>
                <w:szCs w:val="20"/>
                <w:color w:val="auto"/>
              </w:rPr>
            </w:pPr>
            <w:r>
              <w:rPr>
                <w:rFonts w:ascii="Arial" w:cs="Arial" w:eastAsia="Arial" w:hAnsi="Arial"/>
                <w:sz w:val="18"/>
                <w:szCs w:val="18"/>
                <w:color w:val="auto"/>
              </w:rPr>
              <w:t>Derivatives not</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Location</w:t>
            </w: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48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Asset Fair Value</w:t>
            </w:r>
          </w:p>
        </w:tc>
        <w:tc>
          <w:tcPr>
            <w:tcW w:w="120" w:type="dxa"/>
            <w:vAlign w:val="bottom"/>
          </w:tcPr>
          <w:p>
            <w:pPr>
              <w:spacing w:after="0"/>
              <w:rPr>
                <w:sz w:val="20"/>
                <w:szCs w:val="20"/>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8"/>
                <w:szCs w:val="18"/>
                <w:color w:val="auto"/>
                <w:w w:val="86"/>
              </w:rPr>
              <w:t>Value</w:t>
            </w:r>
          </w:p>
        </w:tc>
        <w:tc>
          <w:tcPr>
            <w:tcW w:w="14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8"/>
                <w:szCs w:val="18"/>
                <w:color w:val="auto"/>
                <w:w w:val="86"/>
              </w:rPr>
              <w:t>Value</w:t>
            </w:r>
          </w:p>
        </w:tc>
        <w:tc>
          <w:tcPr>
            <w:tcW w:w="18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182"/>
        </w:trPr>
        <w:tc>
          <w:tcPr>
            <w:tcW w:w="1480" w:type="dxa"/>
            <w:vAlign w:val="bottom"/>
            <w:vMerge w:val="continue"/>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designated as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hedging</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instruments:</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4"/>
              </w:rPr>
              <w:t>Other assets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w:t>
            </w:r>
          </w:p>
        </w:tc>
        <w:tc>
          <w:tcPr>
            <w:tcW w:w="1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w:t>
            </w:r>
          </w:p>
        </w:tc>
        <w:tc>
          <w:tcPr>
            <w:tcW w:w="1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923,793,977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10,704,411</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744,198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659,245,038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12,592,672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2,464,062</w:t>
            </w:r>
          </w:p>
        </w:tc>
        <w:tc>
          <w:tcPr>
            <w:tcW w:w="0" w:type="dxa"/>
            <w:vAlign w:val="bottom"/>
          </w:tcPr>
          <w:p>
            <w:pPr>
              <w:spacing w:after="0"/>
              <w:rPr>
                <w:sz w:val="1"/>
                <w:szCs w:val="1"/>
                <w:color w:val="auto"/>
              </w:rPr>
            </w:pPr>
          </w:p>
        </w:tc>
      </w:tr>
      <w:tr>
        <w:trPr>
          <w:trHeight w:val="230"/>
        </w:trPr>
        <w:tc>
          <w:tcPr>
            <w:tcW w:w="1480" w:type="dxa"/>
            <w:vAlign w:val="bottom"/>
          </w:tcPr>
          <w:p>
            <w:pPr>
              <w:ind w:left="100"/>
              <w:spacing w:after="0"/>
              <w:rPr>
                <w:sz w:val="20"/>
                <w:szCs w:val="20"/>
                <w:color w:val="auto"/>
              </w:rPr>
            </w:pPr>
            <w:r>
              <w:rPr>
                <w:rFonts w:ascii="Arial" w:cs="Arial" w:eastAsia="Arial" w:hAnsi="Arial"/>
                <w:sz w:val="18"/>
                <w:szCs w:val="18"/>
                <w:color w:val="auto"/>
              </w:rPr>
              <w:t>Call options</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Other liabilities</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714,000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12,795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1,873,200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43,097</w:t>
            </w:r>
          </w:p>
        </w:tc>
        <w:tc>
          <w:tcPr>
            <w:tcW w:w="0" w:type="dxa"/>
            <w:vAlign w:val="bottom"/>
          </w:tcPr>
          <w:p>
            <w:pPr>
              <w:spacing w:after="0"/>
              <w:rPr>
                <w:sz w:val="1"/>
                <w:szCs w:val="1"/>
                <w:color w:val="auto"/>
              </w:rPr>
            </w:pPr>
          </w:p>
        </w:tc>
      </w:tr>
      <w:tr>
        <w:trPr>
          <w:trHeight w:val="230"/>
        </w:trPr>
        <w:tc>
          <w:tcPr>
            <w:tcW w:w="14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924,507,977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10,704,411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661,118,238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12,592,672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2,507,159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1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following table shows the gains and losses on derivatives for the periods presented.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60" w:type="dxa"/>
            <w:vAlign w:val="bottom"/>
            <w:gridSpan w:val="7"/>
          </w:tcPr>
          <w:p>
            <w:pPr>
              <w:jc w:val="center"/>
              <w:ind w:right="600"/>
              <w:spacing w:after="0"/>
              <w:rPr>
                <w:sz w:val="20"/>
                <w:szCs w:val="20"/>
                <w:color w:val="auto"/>
              </w:rPr>
            </w:pPr>
            <w:r>
              <w:rPr>
                <w:rFonts w:ascii="Arial" w:cs="Arial" w:eastAsia="Arial" w:hAnsi="Arial"/>
                <w:sz w:val="18"/>
                <w:szCs w:val="18"/>
                <w:color w:val="auto"/>
                <w:w w:val="92"/>
              </w:rPr>
              <w:t>Net Amount Gain (Loss)</w:t>
            </w:r>
          </w:p>
        </w:tc>
        <w:tc>
          <w:tcPr>
            <w:tcW w:w="360" w:type="dxa"/>
            <w:vAlign w:val="bottom"/>
          </w:tcPr>
          <w:p>
            <w:pPr>
              <w:spacing w:after="0"/>
              <w:rPr>
                <w:sz w:val="19"/>
                <w:szCs w:val="19"/>
                <w:color w:val="auto"/>
              </w:rPr>
            </w:pPr>
          </w:p>
        </w:tc>
        <w:tc>
          <w:tcPr>
            <w:tcW w:w="3200" w:type="dxa"/>
            <w:vAlign w:val="bottom"/>
            <w:gridSpan w:val="6"/>
          </w:tcPr>
          <w:p>
            <w:pPr>
              <w:jc w:val="center"/>
              <w:ind w:right="360"/>
              <w:spacing w:after="0"/>
              <w:rPr>
                <w:sz w:val="20"/>
                <w:szCs w:val="20"/>
                <w:color w:val="auto"/>
              </w:rPr>
            </w:pPr>
            <w:r>
              <w:rPr>
                <w:rFonts w:ascii="Arial" w:cs="Arial" w:eastAsia="Arial" w:hAnsi="Arial"/>
                <w:sz w:val="18"/>
                <w:szCs w:val="18"/>
                <w:color w:val="auto"/>
                <w:w w:val="93"/>
              </w:rPr>
              <w:t>Net Amount Gain (Loss)</w:t>
            </w:r>
          </w:p>
        </w:tc>
      </w:tr>
      <w:tr>
        <w:trPr>
          <w:trHeight w:val="230"/>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60" w:type="dxa"/>
            <w:vAlign w:val="bottom"/>
            <w:gridSpan w:val="7"/>
          </w:tcPr>
          <w:p>
            <w:pPr>
              <w:jc w:val="center"/>
              <w:ind w:right="580"/>
              <w:spacing w:after="0"/>
              <w:rPr>
                <w:sz w:val="20"/>
                <w:szCs w:val="20"/>
                <w:color w:val="auto"/>
              </w:rPr>
            </w:pPr>
            <w:r>
              <w:rPr>
                <w:rFonts w:ascii="Arial" w:cs="Arial" w:eastAsia="Arial" w:hAnsi="Arial"/>
                <w:sz w:val="18"/>
                <w:szCs w:val="18"/>
                <w:color w:val="auto"/>
                <w:w w:val="89"/>
              </w:rPr>
              <w:t>Three Months Ended June 30</w:t>
            </w:r>
          </w:p>
        </w:tc>
        <w:tc>
          <w:tcPr>
            <w:tcW w:w="360" w:type="dxa"/>
            <w:vAlign w:val="bottom"/>
          </w:tcPr>
          <w:p>
            <w:pPr>
              <w:spacing w:after="0"/>
              <w:rPr>
                <w:sz w:val="20"/>
                <w:szCs w:val="20"/>
                <w:color w:val="auto"/>
              </w:rPr>
            </w:pPr>
          </w:p>
        </w:tc>
        <w:tc>
          <w:tcPr>
            <w:tcW w:w="3200" w:type="dxa"/>
            <w:vAlign w:val="bottom"/>
            <w:gridSpan w:val="6"/>
          </w:tcPr>
          <w:p>
            <w:pPr>
              <w:jc w:val="center"/>
              <w:ind w:right="380"/>
              <w:spacing w:after="0"/>
              <w:rPr>
                <w:sz w:val="20"/>
                <w:szCs w:val="20"/>
                <w:color w:val="auto"/>
              </w:rPr>
            </w:pPr>
            <w:r>
              <w:rPr>
                <w:rFonts w:ascii="Arial" w:cs="Arial" w:eastAsia="Arial" w:hAnsi="Arial"/>
                <w:sz w:val="18"/>
                <w:szCs w:val="18"/>
                <w:color w:val="auto"/>
                <w:w w:val="90"/>
              </w:rPr>
              <w:t>Six Months Ended June 30</w:t>
            </w:r>
          </w:p>
        </w:tc>
      </w:tr>
      <w:tr>
        <w:trPr>
          <w:trHeight w:val="223"/>
        </w:trPr>
        <w:tc>
          <w:tcPr>
            <w:tcW w:w="1920" w:type="dxa"/>
            <w:vAlign w:val="bottom"/>
            <w:gridSpan w:val="2"/>
          </w:tcPr>
          <w:p>
            <w:pPr>
              <w:ind w:left="480"/>
              <w:spacing w:after="0"/>
              <w:rPr>
                <w:sz w:val="20"/>
                <w:szCs w:val="20"/>
                <w:color w:val="auto"/>
              </w:rPr>
            </w:pPr>
            <w:r>
              <w:rPr>
                <w:rFonts w:ascii="Arial" w:cs="Arial" w:eastAsia="Arial" w:hAnsi="Arial"/>
                <w:sz w:val="18"/>
                <w:szCs w:val="18"/>
                <w:color w:val="auto"/>
              </w:rPr>
              <w:t>Derivative</w:t>
            </w:r>
          </w:p>
        </w:tc>
        <w:tc>
          <w:tcPr>
            <w:tcW w:w="1920" w:type="dxa"/>
            <w:vAlign w:val="bottom"/>
            <w:gridSpan w:val="2"/>
          </w:tcPr>
          <w:p>
            <w:pPr>
              <w:ind w:left="360"/>
              <w:spacing w:after="0"/>
              <w:rPr>
                <w:sz w:val="20"/>
                <w:szCs w:val="20"/>
                <w:color w:val="auto"/>
              </w:rPr>
            </w:pPr>
            <w:r>
              <w:rPr>
                <w:rFonts w:ascii="Arial" w:cs="Arial" w:eastAsia="Arial" w:hAnsi="Arial"/>
                <w:sz w:val="18"/>
                <w:szCs w:val="18"/>
                <w:color w:val="auto"/>
              </w:rPr>
              <w:t>Classification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r>
      <w:tr>
        <w:trPr>
          <w:trHeight w:val="243"/>
        </w:trPr>
        <w:tc>
          <w:tcPr>
            <w:tcW w:w="17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Loan commitments</w:t>
            </w:r>
          </w:p>
        </w:tc>
        <w:tc>
          <w:tcPr>
            <w:tcW w:w="22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Mortgage fee income</w:t>
            </w:r>
          </w:p>
        </w:tc>
        <w:tc>
          <w:tcPr>
            <w:tcW w:w="2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(482,863)</w:t>
            </w:r>
          </w:p>
        </w:tc>
        <w:tc>
          <w:tcPr>
            <w:tcW w:w="2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5,278,100</w:t>
            </w:r>
          </w:p>
        </w:tc>
        <w:tc>
          <w:tcPr>
            <w:tcW w:w="2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(168,397)</w:t>
            </w:r>
          </w:p>
        </w:tc>
        <w:tc>
          <w:tcPr>
            <w:tcW w:w="2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8,553,132</w:t>
            </w:r>
          </w:p>
        </w:tc>
      </w:tr>
      <w:tr>
        <w:trPr>
          <w:trHeight w:val="216"/>
        </w:trPr>
        <w:tc>
          <w:tcPr>
            <w:tcW w:w="1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Gains on investments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Call and put options</w:t>
            </w:r>
          </w:p>
        </w:tc>
        <w:tc>
          <w:tcPr>
            <w:tcW w:w="1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and other assets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828,205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115,285</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90,346</w:t>
            </w:r>
          </w:p>
        </w:tc>
      </w:tr>
      <w:tr>
        <w:trPr>
          <w:trHeight w:val="27"/>
        </w:trPr>
        <w:tc>
          <w:tcPr>
            <w:tcW w:w="1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Settlements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Future loan losses can be extremely difficult to estimate. However, the Company believes that the Company’s reserve methodology and its current practice of property preservation allow it to estimate its potential losses on loans sold. The estimated liability for indemnification losses is included in other liabilities and accrued expenses and, as of June 30, 2021 and December 31, 2020, the balances were $2,412,652 and $20,583,618, respectively. The Company believes that the final loan loss reserve as of June 30, 2021, represents its best estimate for adequate loss reserves on loans sold.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Agreement and Mutual Release with Lehman Brothers Holdings Inc.</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2004 to early 2008, Security National Mortgage Company (“Security National Mortgage”), a wholly owned subsidiary of the Company, originated “limited documentation” or “reduced documentation” loans which were sold to certain affiliates of Lehman Brothers Holdings Inc. (“Lehman Holdings”). Certain of these loans became the subject of disputes between Security National Mortgage and Lehman Holdings and certain Lehman Holdings affiliates. Lehman Holdings filed a Petition for Relief under Chapter 11 of the United States Bankruptcy Code in 2008. In May of 2011, Security National Mortgage filed a complaint in U.S. District Court against certain Lehman Holdings affiliates. In June of 2011, Lehman Holdings filed a complaint in Federal District Court against Security National Mortgage, both of which were later resolved. In 2016, certain other pending loan disputes between Security National Mortgage and Lehman Holdings became the subject of an unsuccessful, non-binding alternate dispute resolution mediation proceeding.</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Thereafter, in 2016, Lehman Holdings filed an adversary proceeding complaint against approximately 150 mortgage loan originators, including Security National Mortgage, in the U.S. Bankruptcy Court of the Southern District of New York, which included seeking damages relating to the alleged obligations of the defendants under indemnification provisions of alleged agreements, in amounts to be determined at trial, including interest, attorneys’ fees and costs incurred by Lehman Holdings in enforcing the obligations of the defendants. The complaint was later amended with the latest amended complaint filed against Security National Mortgage on December 27, 2016, seeking damages to be determined at trial, including interest, attorneys’ fees and costs. This complaint involved approximately 135 mortgage loans, there being millions of dollars allegedly in dispute. These claims against Security National Mortgage were asserted as a result of Lehman Holdings’ earlier settlements with the Federal National Mortgage Association (“Fannie Mae”) and the Federal Home Loan Corporation (“Freddie Mac”).</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both"/>
        <w:spacing w:after="0" w:line="257" w:lineRule="auto"/>
        <w:rPr>
          <w:sz w:val="20"/>
          <w:szCs w:val="20"/>
          <w:color w:val="auto"/>
        </w:rPr>
      </w:pPr>
      <w:r>
        <w:rPr>
          <w:rFonts w:ascii="Arial" w:cs="Arial" w:eastAsia="Arial" w:hAnsi="Arial"/>
          <w:sz w:val="18"/>
          <w:szCs w:val="18"/>
          <w:color w:val="auto"/>
        </w:rPr>
        <w:t>In 2018, Lehman Holdings filed a separate adversary proceeding complaint against Security National Mortgage. This adversary proceeding allegedly involved approximately 577 mortgage loans relative to private securitization trusts (“RMBS Loans”) and millions of dollars in damages. Thereafter, Lehman Holdings made a filing that effectively reduced the number of RMBS Loans to 248. This proceeding was in addition to the above-referenced proceeding involving the Fannie Mae and Freddie Mac mortgage loans. As with the above-referenced proceeding, damages were sought including interest, costs, and attorneys’ fees.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Security National Mortgage, as well as other defendants, have been involved in written discovery, and production of documents relative to the cases, and the filing of motions. The deposition phase of the cases was yet to begin, as well as the later expert witness phase. Those phases would require substantial expenditures of legal fees and costs.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 2021, Security National Mortgage executed a settlement agreement with Lehman Holdings in relation to these two adversary proceedings wherein all mortgage loan related claims were resolved, thereby ending all liabilities asserted by Lehman Holdings and conclusively ending all proceedings between Security National Mortgage and Lehman Holdings. The full amount of Security National Mortgage’s settlement payment was accounted for in the Company’s loan loss reserve as of December 31, 2020 and was paid during the first quarter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 for Mortgage Warehouse Lines of Credit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through its subsidiary Security National Mortgage, has a $100,000,000 line of credit with Wells Fargo Bank N.A. The agreement charges interest at the 1-Month LIBOR rate plus 2.1% and matures on June 9, 2022. Security 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subsidiary Security National Mortgage, has a line of credit with Texas Capital Bank N.A. This agreement with the bank allows Security National Mortgage to borrow up to $100,000,000 for the sole purpose of funding mortgage loans. The agreement charges interest at the 1-Month LIBOR rate plus 2% and matures on November 15, 2021.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through its subsidiary Security National Mortgage, has a line of credit with Comerica Bank. This agreement with the bank allows Security National Mortgage to borrow up to $75,000,000 for the sole purpose of funding mortgage loans. The agreement charges interest at the 1-Month LIBOR rate plus 2.5% and matures on May 27, 2022.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57"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Company through its subsidiary Security National Mortgage, has a line of credit with U.S Bank. This agreement with the bank allows Security National Mortgage to borrow up to $100,000,000 for the sole purpose of funding mortgage loans. The agreement charges interest at the 1-Month LIBOR rate plus 2.0% and matures on June 4, 2022.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57" w:lineRule="auto"/>
        <w:rPr>
          <w:sz w:val="20"/>
          <w:szCs w:val="20"/>
          <w:color w:val="auto"/>
        </w:rPr>
      </w:pPr>
      <w:r>
        <w:rPr>
          <w:rFonts w:ascii="Arial" w:cs="Arial" w:eastAsia="Arial" w:hAnsi="Arial"/>
          <w:sz w:val="18"/>
          <w:szCs w:val="18"/>
          <w:color w:val="auto"/>
        </w:rPr>
        <w:t>The Company, through its subsidiary EverLEND Mortgage, has a line of credit with Texas Capital Bank N.A. This agreement with the bank allows EverLEND Mortgage to borrow up to $5,000,000 for the sole purpose of funding mortgage loans. The agreement charges interest at the 1-Month LIBOR rate plus 2.5% and matures on August 26, 2021.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agreements for warehouse lines include cross default provisions in that a covenant violation under one agreement constitutes a covenant violation under the other agreement. As of June 30, 2021, the Company believes that it was in compliance with all debt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 and Commitments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entered into commitments to fund construction and land development loans and has also provided financing for land acquisition and development. As of June 30, 2021, the Company’s commitments were approximately $249,815,000 for these loans, of which $139,207,610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5.25% to 8.00% per annum. Maturities range between six and eighteen months.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defendant in various other legal actions arising from the normal conduct of business. Management believes that none of the actions, if adversely determined,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initially records these MSRs at fair value as discussed in Note 8.</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MSR activity for the periods presented.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3"/>
          </w:tcPr>
          <w:p>
            <w:pPr>
              <w:jc w:val="center"/>
              <w:ind w:right="820"/>
              <w:spacing w:after="0"/>
              <w:rPr>
                <w:sz w:val="20"/>
                <w:szCs w:val="20"/>
                <w:color w:val="auto"/>
              </w:rPr>
            </w:pPr>
            <w:r>
              <w:rPr>
                <w:rFonts w:ascii="Arial" w:cs="Arial" w:eastAsia="Arial" w:hAnsi="Arial"/>
                <w:sz w:val="18"/>
                <w:szCs w:val="18"/>
                <w:color w:val="auto"/>
                <w:w w:val="88"/>
              </w:rPr>
              <w:t>As of June 30</w:t>
            </w:r>
          </w:p>
        </w:tc>
        <w:tc>
          <w:tcPr>
            <w:tcW w:w="180" w:type="dxa"/>
            <w:vAlign w:val="bottom"/>
          </w:tcPr>
          <w:p>
            <w:pPr>
              <w:spacing w:after="0"/>
              <w:rPr>
                <w:sz w:val="18"/>
                <w:szCs w:val="18"/>
                <w:color w:val="auto"/>
              </w:rPr>
            </w:pP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As of December 31</w:t>
            </w:r>
          </w:p>
        </w:tc>
      </w:tr>
      <w:tr>
        <w:trPr>
          <w:trHeight w:val="230"/>
        </w:trPr>
        <w:tc>
          <w:tcPr>
            <w:tcW w:w="6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09"/>
        </w:trPr>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Amortized cost: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00"/>
              <w:spacing w:after="0"/>
              <w:rPr>
                <w:sz w:val="20"/>
                <w:szCs w:val="20"/>
                <w:color w:val="auto"/>
              </w:rPr>
            </w:pPr>
            <w:r>
              <w:rPr>
                <w:rFonts w:ascii="Arial" w:cs="Arial" w:eastAsia="Arial" w:hAnsi="Arial"/>
                <w:sz w:val="18"/>
                <w:szCs w:val="18"/>
                <w:color w:val="auto"/>
              </w:rPr>
              <w:t>Balance before valuation allowance at beginning of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35,210,516</w:t>
            </w:r>
          </w:p>
        </w:tc>
        <w:tc>
          <w:tcPr>
            <w:tcW w:w="5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17,155,529</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MSR additions resulting from loan sales</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18,286,569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29,896,465</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00"/>
              <w:spacing w:after="0"/>
              <w:rPr>
                <w:sz w:val="20"/>
                <w:szCs w:val="20"/>
                <w:color w:val="auto"/>
              </w:rPr>
            </w:pPr>
            <w:r>
              <w:rPr>
                <w:rFonts w:ascii="Arial" w:cs="Arial" w:eastAsia="Arial" w:hAnsi="Arial"/>
                <w:sz w:val="18"/>
                <w:szCs w:val="18"/>
                <w:color w:val="auto"/>
              </w:rPr>
              <w:t>Amortization (1)</w:t>
            </w:r>
          </w:p>
        </w:tc>
        <w:tc>
          <w:tcPr>
            <w:tcW w:w="28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(6,772,539)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(11,841,478)</w:t>
            </w:r>
          </w:p>
        </w:tc>
      </w:tr>
      <w:tr>
        <w:trPr>
          <w:trHeight w:val="202"/>
        </w:trPr>
        <w:tc>
          <w:tcPr>
            <w:tcW w:w="68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Application of valuation allowance to write down MSRs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with other than temporary impairment</w:t>
            </w:r>
          </w:p>
        </w:tc>
        <w:tc>
          <w:tcPr>
            <w:tcW w:w="280" w:type="dxa"/>
            <w:vAlign w:val="bottom"/>
            <w:shd w:val="clear" w:color="auto" w:fill="CCEEFF"/>
          </w:tcPr>
          <w:p>
            <w:pPr>
              <w:spacing w:after="0"/>
              <w:rPr>
                <w:sz w:val="21"/>
                <w:szCs w:val="21"/>
                <w:color w:val="auto"/>
              </w:rPr>
            </w:pPr>
          </w:p>
        </w:tc>
        <w:tc>
          <w:tcPr>
            <w:tcW w:w="220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6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Balance before valuation allowance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46,724,546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35,210,516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00"/>
              <w:spacing w:after="0"/>
              <w:rPr>
                <w:sz w:val="20"/>
                <w:szCs w:val="20"/>
                <w:color w:val="auto"/>
              </w:rPr>
            </w:pPr>
            <w:r>
              <w:rPr>
                <w:rFonts w:ascii="Arial" w:cs="Arial" w:eastAsia="Arial" w:hAnsi="Arial"/>
                <w:sz w:val="18"/>
                <w:szCs w:val="18"/>
                <w:color w:val="auto"/>
              </w:rPr>
              <w:t>Valuation allowance for impairment of MSRs: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at beginning of year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20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ind w:left="10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2200" w:type="dxa"/>
            <w:vAlign w:val="bottom"/>
            <w:gridSpan w:val="3"/>
          </w:tcPr>
          <w:p>
            <w:pPr>
              <w:ind w:left="1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68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Application of valuation allowance to write down MSRs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with other than temporary impairment</w:t>
            </w:r>
          </w:p>
        </w:tc>
        <w:tc>
          <w:tcPr>
            <w:tcW w:w="280" w:type="dxa"/>
            <w:vAlign w:val="bottom"/>
            <w:shd w:val="clear" w:color="auto" w:fill="CCEEFF"/>
          </w:tcPr>
          <w:p>
            <w:pPr>
              <w:spacing w:after="0"/>
              <w:rPr>
                <w:sz w:val="21"/>
                <w:szCs w:val="21"/>
                <w:color w:val="auto"/>
              </w:rPr>
            </w:pPr>
          </w:p>
        </w:tc>
        <w:tc>
          <w:tcPr>
            <w:tcW w:w="220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6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6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0"/>
        </w:trPr>
        <w:tc>
          <w:tcPr>
            <w:tcW w:w="6860" w:type="dxa"/>
            <w:vAlign w:val="bottom"/>
          </w:tcPr>
          <w:p>
            <w:pPr>
              <w:ind w:left="100"/>
              <w:spacing w:after="0"/>
              <w:rPr>
                <w:sz w:val="20"/>
                <w:szCs w:val="20"/>
                <w:color w:val="auto"/>
              </w:rPr>
            </w:pPr>
            <w:r>
              <w:rPr>
                <w:rFonts w:ascii="Arial" w:cs="Arial" w:eastAsia="Arial" w:hAnsi="Arial"/>
                <w:sz w:val="18"/>
                <w:szCs w:val="18"/>
                <w:color w:val="auto"/>
              </w:rPr>
              <w:t>Mortgage servicing rights,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46,724,546</w:t>
            </w:r>
          </w:p>
        </w:tc>
        <w:tc>
          <w:tcPr>
            <w:tcW w:w="5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35,210,516</w:t>
            </w:r>
          </w:p>
        </w:tc>
        <w:tc>
          <w:tcPr>
            <w:tcW w:w="80" w:type="dxa"/>
            <w:vAlign w:val="bottom"/>
          </w:tcPr>
          <w:p>
            <w:pPr>
              <w:spacing w:after="0"/>
              <w:rPr>
                <w:sz w:val="21"/>
                <w:szCs w:val="21"/>
                <w:color w:val="auto"/>
              </w:rPr>
            </w:pPr>
          </w:p>
        </w:tc>
      </w:tr>
      <w:tr>
        <w:trPr>
          <w:trHeight w:val="216"/>
        </w:trPr>
        <w:tc>
          <w:tcPr>
            <w:tcW w:w="6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0"/>
        </w:trPr>
        <w:tc>
          <w:tcPr>
            <w:tcW w:w="6860" w:type="dxa"/>
            <w:vAlign w:val="bottom"/>
          </w:tcPr>
          <w:p>
            <w:pPr>
              <w:ind w:left="100"/>
              <w:spacing w:after="0"/>
              <w:rPr>
                <w:sz w:val="20"/>
                <w:szCs w:val="20"/>
                <w:color w:val="auto"/>
              </w:rPr>
            </w:pPr>
            <w:r>
              <w:rPr>
                <w:rFonts w:ascii="Arial" w:cs="Arial" w:eastAsia="Arial" w:hAnsi="Arial"/>
                <w:sz w:val="18"/>
                <w:szCs w:val="18"/>
                <w:color w:val="auto"/>
              </w:rPr>
              <w:t>Estimated fair value of MSRs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58,838,077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38,702,358</w:t>
            </w:r>
          </w:p>
        </w:tc>
        <w:tc>
          <w:tcPr>
            <w:tcW w:w="80" w:type="dxa"/>
            <w:vAlign w:val="bottom"/>
          </w:tcPr>
          <w:p>
            <w:pPr>
              <w:spacing w:after="0"/>
              <w:rPr>
                <w:sz w:val="21"/>
                <w:szCs w:val="21"/>
                <w:color w:val="auto"/>
              </w:rPr>
            </w:pPr>
          </w:p>
        </w:tc>
      </w:tr>
    </w:tbl>
    <w:p>
      <w:pPr>
        <w:spacing w:after="0" w:line="202" w:lineRule="exact"/>
        <w:rPr>
          <w:sz w:val="20"/>
          <w:szCs w:val="20"/>
          <w:color w:val="auto"/>
        </w:rPr>
      </w:pPr>
    </w:p>
    <w:p>
      <w:pPr>
        <w:ind w:left="5540" w:right="5180" w:hanging="5532"/>
        <w:spacing w:after="0" w:line="686" w:lineRule="auto"/>
        <w:tabs>
          <w:tab w:leader="none" w:pos="237"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Included in other expenses on the condensed consolidated statements of earnings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following table summarizes the Company’s estimate of future amortization of its existing MSRs carried at amortized cost: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Estimated MSR Amortization</w:t>
            </w:r>
          </w:p>
        </w:tc>
      </w:tr>
      <w:tr>
        <w:trPr>
          <w:trHeight w:val="209"/>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5,996,013</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00" w:type="dxa"/>
            <w:vAlign w:val="bottom"/>
            <w:gridSpan w:val="2"/>
          </w:tcPr>
          <w:p>
            <w:pPr>
              <w:jc w:val="right"/>
              <w:ind w:right="140"/>
              <w:spacing w:after="0"/>
              <w:rPr>
                <w:sz w:val="20"/>
                <w:szCs w:val="20"/>
                <w:color w:val="auto"/>
              </w:rPr>
            </w:pPr>
            <w:r>
              <w:rPr>
                <w:rFonts w:ascii="Arial" w:cs="Arial" w:eastAsia="Arial" w:hAnsi="Arial"/>
                <w:sz w:val="18"/>
                <w:szCs w:val="18"/>
                <w:color w:val="auto"/>
              </w:rPr>
              <w:t>4,891,593</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4,248,886</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00" w:type="dxa"/>
            <w:vAlign w:val="bottom"/>
            <w:gridSpan w:val="2"/>
          </w:tcPr>
          <w:p>
            <w:pPr>
              <w:jc w:val="right"/>
              <w:ind w:right="140"/>
              <w:spacing w:after="0"/>
              <w:rPr>
                <w:sz w:val="20"/>
                <w:szCs w:val="20"/>
                <w:color w:val="auto"/>
              </w:rPr>
            </w:pPr>
            <w:r>
              <w:rPr>
                <w:rFonts w:ascii="Arial" w:cs="Arial" w:eastAsia="Arial" w:hAnsi="Arial"/>
                <w:sz w:val="18"/>
                <w:szCs w:val="18"/>
                <w:color w:val="auto"/>
              </w:rPr>
              <w:t>3,685,273</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3,217,703</w:t>
            </w:r>
          </w:p>
        </w:tc>
      </w:tr>
      <w:tr>
        <w:trPr>
          <w:trHeight w:val="229"/>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19"/>
                <w:szCs w:val="19"/>
                <w:color w:val="auto"/>
              </w:rPr>
            </w:pPr>
          </w:p>
        </w:tc>
        <w:tc>
          <w:tcPr>
            <w:tcW w:w="3300" w:type="dxa"/>
            <w:vAlign w:val="bottom"/>
            <w:gridSpan w:val="2"/>
          </w:tcPr>
          <w:p>
            <w:pPr>
              <w:jc w:val="right"/>
              <w:ind w:right="140"/>
              <w:spacing w:after="0"/>
              <w:rPr>
                <w:sz w:val="20"/>
                <w:szCs w:val="20"/>
                <w:color w:val="auto"/>
              </w:rPr>
            </w:pPr>
            <w:r>
              <w:rPr>
                <w:rFonts w:ascii="Arial" w:cs="Arial" w:eastAsia="Arial" w:hAnsi="Arial"/>
                <w:sz w:val="18"/>
                <w:szCs w:val="18"/>
                <w:color w:val="auto"/>
              </w:rPr>
              <w:t>24,685,078</w:t>
            </w:r>
          </w:p>
        </w:tc>
      </w:tr>
      <w:tr>
        <w:trPr>
          <w:trHeight w:val="263"/>
        </w:trPr>
        <w:tc>
          <w:tcPr>
            <w:tcW w:w="3640" w:type="dxa"/>
            <w:vAlign w:val="bottom"/>
            <w:tcBorders>
              <w:top w:val="single" w:sz="8" w:color="CDFFCC"/>
              <w:bottom w:val="single" w:sz="8" w:color="CDFFCC"/>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3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46,724,546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collected the following contractual servicing fee income and late fee income as reported in other revenues on the condensed consolidated statement of earnings: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7"/>
          </w:tcPr>
          <w:p>
            <w:pPr>
              <w:ind w:left="46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Six Months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8"/>
                <w:szCs w:val="18"/>
                <w:color w:val="auto"/>
                <w:w w:val="84"/>
              </w:rPr>
              <w:t>June 30</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2020</w:t>
            </w:r>
          </w:p>
        </w:tc>
        <w:tc>
          <w:tcPr>
            <w:tcW w:w="100" w:type="dxa"/>
            <w:vAlign w:val="bottom"/>
            <w:tcBorders>
              <w:bottom w:val="single" w:sz="8" w:color="auto"/>
            </w:tcBorders>
          </w:tcPr>
          <w:p>
            <w:pPr>
              <w:spacing w:after="0"/>
              <w:rPr>
                <w:sz w:val="19"/>
                <w:szCs w:val="19"/>
                <w:color w:val="auto"/>
              </w:rPr>
            </w:pPr>
          </w:p>
        </w:tc>
      </w:tr>
      <w:tr>
        <w:trPr>
          <w:trHeight w:val="209"/>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Contractual servicing fees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3,755,294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1,929,565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7,142,765</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3,714,509</w:t>
            </w:r>
          </w:p>
        </w:tc>
      </w:tr>
      <w:tr>
        <w:trPr>
          <w:trHeight w:val="229"/>
        </w:trPr>
        <w:tc>
          <w:tcPr>
            <w:tcW w:w="4840" w:type="dxa"/>
            <w:vAlign w:val="bottom"/>
          </w:tcPr>
          <w:p>
            <w:pPr>
              <w:ind w:left="100"/>
              <w:spacing w:after="0"/>
              <w:rPr>
                <w:sz w:val="20"/>
                <w:szCs w:val="20"/>
                <w:color w:val="auto"/>
              </w:rPr>
            </w:pPr>
            <w:r>
              <w:rPr>
                <w:rFonts w:ascii="Arial" w:cs="Arial" w:eastAsia="Arial" w:hAnsi="Arial"/>
                <w:sz w:val="18"/>
                <w:szCs w:val="18"/>
                <w:color w:val="auto"/>
              </w:rPr>
              <w:t>Late fees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71,704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155,487</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169,512</w:t>
            </w:r>
          </w:p>
        </w:tc>
      </w:tr>
      <w:tr>
        <w:trPr>
          <w:trHeight w:val="230"/>
        </w:trPr>
        <w:tc>
          <w:tcPr>
            <w:tcW w:w="48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3,829,731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2,001,269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7,298,252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3,884,021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unpaid principal balances (“UPB”) of the servicing portfolio for the periods presented: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As of June 30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w w:val="94"/>
              </w:rPr>
              <w:t>As of December 31</w:t>
            </w:r>
          </w:p>
        </w:tc>
      </w:tr>
      <w:tr>
        <w:trPr>
          <w:trHeight w:val="230"/>
        </w:trPr>
        <w:tc>
          <w:tcPr>
            <w:tcW w:w="308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10"/>
        </w:trPr>
        <w:tc>
          <w:tcPr>
            <w:tcW w:w="308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99"/>
              </w:rPr>
              <w:t>Servicing UPB</w:t>
            </w:r>
          </w:p>
        </w:tc>
        <w:tc>
          <w:tcPr>
            <w:tcW w:w="2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6,280,506,543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5,070,287,864</w:t>
            </w:r>
          </w:p>
        </w:tc>
      </w:tr>
      <w:tr>
        <w:trPr>
          <w:trHeight w:val="432"/>
        </w:trPr>
        <w:tc>
          <w:tcPr>
            <w:tcW w:w="5440" w:type="dxa"/>
            <w:vAlign w:val="bottom"/>
            <w:gridSpan w:val="2"/>
          </w:tcPr>
          <w:p>
            <w:pPr>
              <w:jc w:val="right"/>
              <w:ind w:right="290"/>
              <w:spacing w:after="0"/>
              <w:rPr>
                <w:sz w:val="20"/>
                <w:szCs w:val="20"/>
                <w:color w:val="auto"/>
              </w:rPr>
            </w:pPr>
            <w:r>
              <w:rPr>
                <w:rFonts w:ascii="Arial" w:cs="Arial" w:eastAsia="Arial" w:hAnsi="Arial"/>
                <w:sz w:val="18"/>
                <w:szCs w:val="18"/>
                <w:color w:val="auto"/>
                <w:w w:val="91"/>
              </w:rPr>
              <w:t>The following key assumptions were used in determining MSR value:</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47"/>
        </w:trPr>
        <w:tc>
          <w:tcPr>
            <w:tcW w:w="3080" w:type="dxa"/>
            <w:vAlign w:val="bottom"/>
          </w:tcPr>
          <w:p>
            <w:pPr>
              <w:spacing w:after="0"/>
              <w:rPr>
                <w:sz w:val="24"/>
                <w:szCs w:val="24"/>
                <w:color w:val="auto"/>
              </w:rPr>
            </w:pPr>
          </w:p>
        </w:tc>
        <w:tc>
          <w:tcPr>
            <w:tcW w:w="2360" w:type="dxa"/>
            <w:vAlign w:val="bottom"/>
          </w:tcPr>
          <w:p>
            <w:pPr>
              <w:jc w:val="right"/>
              <w:ind w:right="670"/>
              <w:spacing w:after="0"/>
              <w:rPr>
                <w:sz w:val="20"/>
                <w:szCs w:val="20"/>
                <w:color w:val="auto"/>
              </w:rPr>
            </w:pPr>
            <w:r>
              <w:rPr>
                <w:rFonts w:ascii="Arial" w:cs="Arial" w:eastAsia="Arial" w:hAnsi="Arial"/>
                <w:sz w:val="18"/>
                <w:szCs w:val="18"/>
                <w:color w:val="auto"/>
              </w:rPr>
              <w:t>Prepayment</w:t>
            </w:r>
          </w:p>
        </w:tc>
        <w:tc>
          <w:tcPr>
            <w:tcW w:w="540" w:type="dxa"/>
            <w:vAlign w:val="bottom"/>
          </w:tcPr>
          <w:p>
            <w:pPr>
              <w:spacing w:after="0"/>
              <w:rPr>
                <w:sz w:val="24"/>
                <w:szCs w:val="24"/>
                <w:color w:val="auto"/>
              </w:rPr>
            </w:pPr>
          </w:p>
        </w:tc>
        <w:tc>
          <w:tcPr>
            <w:tcW w:w="1500" w:type="dxa"/>
            <w:vAlign w:val="bottom"/>
            <w:gridSpan w:val="2"/>
          </w:tcPr>
          <w:p>
            <w:pPr>
              <w:jc w:val="center"/>
              <w:ind w:left="770"/>
              <w:spacing w:after="0"/>
              <w:rPr>
                <w:sz w:val="20"/>
                <w:szCs w:val="20"/>
                <w:color w:val="auto"/>
              </w:rPr>
            </w:pPr>
            <w:r>
              <w:rPr>
                <w:rFonts w:ascii="Arial" w:cs="Arial" w:eastAsia="Arial" w:hAnsi="Arial"/>
                <w:sz w:val="18"/>
                <w:szCs w:val="18"/>
                <w:color w:val="auto"/>
                <w:w w:val="89"/>
              </w:rPr>
              <w:t>Average</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gridSpan w:val="2"/>
          </w:tcPr>
          <w:p>
            <w:pPr>
              <w:jc w:val="right"/>
              <w:ind w:right="750"/>
              <w:spacing w:after="0"/>
              <w:rPr>
                <w:sz w:val="20"/>
                <w:szCs w:val="20"/>
                <w:color w:val="auto"/>
              </w:rPr>
            </w:pPr>
            <w:r>
              <w:rPr>
                <w:rFonts w:ascii="Arial" w:cs="Arial" w:eastAsia="Arial" w:hAnsi="Arial"/>
                <w:sz w:val="18"/>
                <w:szCs w:val="18"/>
                <w:color w:val="auto"/>
                <w:w w:val="99"/>
              </w:rPr>
              <w:t>Discount</w:t>
            </w:r>
          </w:p>
        </w:tc>
      </w:tr>
      <w:tr>
        <w:trPr>
          <w:trHeight w:val="230"/>
        </w:trPr>
        <w:tc>
          <w:tcPr>
            <w:tcW w:w="3080" w:type="dxa"/>
            <w:vAlign w:val="bottom"/>
          </w:tcPr>
          <w:p>
            <w:pPr>
              <w:spacing w:after="0"/>
              <w:rPr>
                <w:sz w:val="20"/>
                <w:szCs w:val="20"/>
                <w:color w:val="auto"/>
              </w:rPr>
            </w:pPr>
          </w:p>
        </w:tc>
        <w:tc>
          <w:tcPr>
            <w:tcW w:w="2360" w:type="dxa"/>
            <w:vAlign w:val="bottom"/>
          </w:tcPr>
          <w:p>
            <w:pPr>
              <w:jc w:val="right"/>
              <w:ind w:right="850"/>
              <w:spacing w:after="0"/>
              <w:rPr>
                <w:sz w:val="20"/>
                <w:szCs w:val="20"/>
                <w:color w:val="auto"/>
              </w:rPr>
            </w:pPr>
            <w:r>
              <w:rPr>
                <w:rFonts w:ascii="Arial" w:cs="Arial" w:eastAsia="Arial" w:hAnsi="Arial"/>
                <w:sz w:val="18"/>
                <w:szCs w:val="18"/>
                <w:color w:val="auto"/>
              </w:rPr>
              <w:t>Speeds</w:t>
            </w:r>
          </w:p>
        </w:tc>
        <w:tc>
          <w:tcPr>
            <w:tcW w:w="540" w:type="dxa"/>
            <w:vAlign w:val="bottom"/>
          </w:tcPr>
          <w:p>
            <w:pPr>
              <w:spacing w:after="0"/>
              <w:rPr>
                <w:sz w:val="20"/>
                <w:szCs w:val="20"/>
                <w:color w:val="auto"/>
              </w:rPr>
            </w:pPr>
          </w:p>
        </w:tc>
        <w:tc>
          <w:tcPr>
            <w:tcW w:w="2820" w:type="dxa"/>
            <w:vAlign w:val="bottom"/>
            <w:gridSpan w:val="4"/>
          </w:tcPr>
          <w:p>
            <w:pPr>
              <w:jc w:val="center"/>
              <w:ind w:right="440"/>
              <w:spacing w:after="0"/>
              <w:rPr>
                <w:sz w:val="20"/>
                <w:szCs w:val="20"/>
                <w:color w:val="auto"/>
              </w:rPr>
            </w:pPr>
            <w:r>
              <w:rPr>
                <w:rFonts w:ascii="Arial" w:cs="Arial" w:eastAsia="Arial" w:hAnsi="Arial"/>
                <w:sz w:val="18"/>
                <w:szCs w:val="18"/>
                <w:color w:val="auto"/>
                <w:w w:val="92"/>
              </w:rPr>
              <w:t>Life (Years)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910"/>
              <w:spacing w:after="0"/>
              <w:rPr>
                <w:sz w:val="20"/>
                <w:szCs w:val="20"/>
                <w:color w:val="auto"/>
              </w:rPr>
            </w:pPr>
            <w:r>
              <w:rPr>
                <w:rFonts w:ascii="Arial" w:cs="Arial" w:eastAsia="Arial" w:hAnsi="Arial"/>
                <w:sz w:val="18"/>
                <w:szCs w:val="18"/>
                <w:color w:val="auto"/>
                <w:w w:val="99"/>
              </w:rPr>
              <w:t>Rate</w:t>
            </w:r>
          </w:p>
        </w:tc>
      </w:tr>
      <w:tr>
        <w:trPr>
          <w:trHeight w:val="209"/>
        </w:trPr>
        <w:tc>
          <w:tcPr>
            <w:tcW w:w="3080" w:type="dxa"/>
            <w:vAlign w:val="bottom"/>
            <w:tcBorders>
              <w:top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June 30, 2021</w:t>
            </w:r>
          </w:p>
        </w:tc>
        <w:tc>
          <w:tcPr>
            <w:tcW w:w="2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12.20</w:t>
            </w:r>
          </w:p>
        </w:tc>
        <w:tc>
          <w:tcPr>
            <w:tcW w:w="5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r>
      <w:tr>
        <w:trPr>
          <w:trHeight w:val="230"/>
        </w:trPr>
        <w:tc>
          <w:tcPr>
            <w:tcW w:w="3080" w:type="dxa"/>
            <w:vAlign w:val="bottom"/>
          </w:tcPr>
          <w:p>
            <w:pPr>
              <w:jc w:val="right"/>
              <w:ind w:right="610"/>
              <w:spacing w:after="0"/>
              <w:rPr>
                <w:sz w:val="20"/>
                <w:szCs w:val="20"/>
                <w:color w:val="auto"/>
              </w:rPr>
            </w:pPr>
            <w:r>
              <w:rPr>
                <w:rFonts w:ascii="Arial" w:cs="Arial" w:eastAsia="Arial" w:hAnsi="Arial"/>
                <w:sz w:val="18"/>
                <w:szCs w:val="18"/>
                <w:color w:val="auto"/>
              </w:rPr>
              <w:t>December 31, 2020</w:t>
            </w:r>
          </w:p>
        </w:tc>
        <w:tc>
          <w:tcPr>
            <w:tcW w:w="2360" w:type="dxa"/>
            <w:vAlign w:val="bottom"/>
          </w:tcPr>
          <w:p>
            <w:pPr>
              <w:jc w:val="right"/>
              <w:ind w:right="30"/>
              <w:spacing w:after="0"/>
              <w:rPr>
                <w:sz w:val="20"/>
                <w:szCs w:val="20"/>
                <w:color w:val="auto"/>
              </w:rPr>
            </w:pPr>
            <w:r>
              <w:rPr>
                <w:rFonts w:ascii="Arial" w:cs="Arial" w:eastAsia="Arial" w:hAnsi="Arial"/>
                <w:sz w:val="18"/>
                <w:szCs w:val="18"/>
                <w:color w:val="auto"/>
              </w:rPr>
              <w:t>15.60</w:t>
            </w: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9.50</w:t>
            </w:r>
          </w:p>
        </w:tc>
      </w:tr>
      <w:tr>
        <w:trPr>
          <w:trHeight w:val="742"/>
        </w:trPr>
        <w:tc>
          <w:tcPr>
            <w:tcW w:w="30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49</w:t>
            </w: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49" w:name="page50"/>
    <w:bookmarkEnd w:id="49"/>
    <w:p>
      <w:pPr>
        <w:ind w:left="300" w:hanging="29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overall effective tax rate for the three months ended June 30, 2021 and 2020 was 23.3% and 24.4%, respectively, which resulted in a provision for income taxes of $3,419,873 and $6,636,709, respectively. The Company’s overall effective tax rate for the six months ended June 30, 2021 and 2020 was 24.6% and 23.3%, respectively, which resulted in a provision for income taxes of $7,646,213 and $6,686,494, respectively. The Company's effective tax rates differ from the U.S. federal statutory rate of 21% partially due to its provision for state income taxes. The effective tax rate in the current period decreased when compared to the prior year period partly due to the Company's provision for state income taxes.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65" w:lineRule="exact"/>
        <w:rPr>
          <w:sz w:val="20"/>
          <w:szCs w:val="20"/>
          <w:color w:val="auto"/>
        </w:rPr>
      </w:pPr>
    </w:p>
    <w:p>
      <w:pPr>
        <w:ind w:left="300" w:hanging="29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reports revenues from contracts with customers pursuant to ASC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types of future obligations are as follows: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u w:val="single" w:color="auto"/>
          <w:color w:val="auto"/>
        </w:rPr>
        <w:t>Pre-need Merchandise and Service Revenue</w:t>
      </w:r>
      <w:r>
        <w:rPr>
          <w:rFonts w:ascii="Arial" w:cs="Arial" w:eastAsia="Arial" w:hAnsi="Arial"/>
          <w:sz w:val="17"/>
          <w:szCs w:val="17"/>
          <w:color w:val="auto"/>
        </w:rPr>
        <w:t>: All pre-need merchandise and service revenue is deferred and the funds are placed in trust until the need</w:t>
      </w:r>
      <w:r>
        <w:rPr>
          <w:rFonts w:ascii="Arial" w:cs="Arial" w:eastAsia="Arial" w:hAnsi="Arial"/>
          <w:sz w:val="17"/>
          <w:szCs w:val="17"/>
          <w:i w:val="1"/>
          <w:iCs w:val="1"/>
          <w:color w:val="auto"/>
        </w:rPr>
        <w:t xml:space="preserve"> </w:t>
      </w:r>
      <w:r>
        <w:rPr>
          <w:rFonts w:ascii="Arial" w:cs="Arial" w:eastAsia="Arial" w:hAnsi="Arial"/>
          <w:sz w:val="17"/>
          <w:szCs w:val="17"/>
          <w:color w:val="auto"/>
        </w:rPr>
        <w:t>arises, the merchandise is received or the service is performed. The trust is then relieved, and the revenue and commissions are recognized.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At-need Specialty Merchandise Revenue</w:t>
      </w:r>
      <w:r>
        <w:rPr>
          <w:rFonts w:ascii="Arial" w:cs="Arial" w:eastAsia="Arial" w:hAnsi="Arial"/>
          <w:sz w:val="18"/>
          <w:szCs w:val="18"/>
          <w:color w:val="auto"/>
        </w:rPr>
        <w:t>: At-need specialty merchandise revenue consists of customizable merchandise ordered from a manufacturer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markers and bases. When specialty merchandise is ordered, it can take time to manufacture and deliver the product. Revenue is deferred until the at-need merchandise is received.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Deferred Pre-need Land Revenue</w:t>
      </w:r>
      <w:r>
        <w:rPr>
          <w:rFonts w:ascii="Arial" w:cs="Arial" w:eastAsia="Arial" w:hAnsi="Arial"/>
          <w:sz w:val="18"/>
          <w:szCs w:val="18"/>
          <w:color w:val="auto"/>
        </w:rPr>
        <w:t>: Deferred pre-need revenue and corresponding commissions are deferred until 10% of the funds are received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through regular monthly payments. Deferred pre-need land revenue is not placed in trust.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opening and closing balances of the Company’s receivables, contract assets and contract liabilities are as follows: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Contract Balances</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37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color w:val="auto"/>
              </w:rPr>
              <w:t>Receivables (1)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rPr>
              <w:t>Contract Asset</w:t>
            </w:r>
          </w:p>
        </w:tc>
        <w:tc>
          <w:tcPr>
            <w:tcW w:w="280" w:type="dxa"/>
            <w:vAlign w:val="bottom"/>
          </w:tcPr>
          <w:p>
            <w:pPr>
              <w:spacing w:after="0"/>
              <w:rPr>
                <w:sz w:val="19"/>
                <w:szCs w:val="19"/>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color w:val="auto"/>
              </w:rPr>
              <w:t>Contract Liability</w:t>
            </w:r>
          </w:p>
        </w:tc>
      </w:tr>
      <w:tr>
        <w:trPr>
          <w:trHeight w:val="210"/>
        </w:trPr>
        <w:tc>
          <w:tcPr>
            <w:tcW w:w="37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Opening (1/1/2021)</w:t>
            </w:r>
          </w:p>
        </w:tc>
        <w:tc>
          <w:tcPr>
            <w:tcW w:w="2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4,119,988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13,080,179</w:t>
            </w:r>
          </w:p>
        </w:tc>
      </w:tr>
      <w:tr>
        <w:trPr>
          <w:trHeight w:val="229"/>
        </w:trPr>
        <w:tc>
          <w:tcPr>
            <w:tcW w:w="3700" w:type="dxa"/>
            <w:vAlign w:val="bottom"/>
          </w:tcPr>
          <w:p>
            <w:pPr>
              <w:ind w:left="100"/>
              <w:spacing w:after="0"/>
              <w:rPr>
                <w:sz w:val="20"/>
                <w:szCs w:val="20"/>
                <w:color w:val="auto"/>
              </w:rPr>
            </w:pPr>
            <w:r>
              <w:rPr>
                <w:rFonts w:ascii="Arial" w:cs="Arial" w:eastAsia="Arial" w:hAnsi="Arial"/>
                <w:sz w:val="18"/>
                <w:szCs w:val="18"/>
                <w:color w:val="auto"/>
              </w:rPr>
              <w:t>Closing (6/30/2021)</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4,500,996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13,707,231</w:t>
            </w:r>
          </w:p>
        </w:tc>
      </w:tr>
      <w:tr>
        <w:trPr>
          <w:trHeight w:val="230"/>
        </w:trPr>
        <w:tc>
          <w:tcPr>
            <w:tcW w:w="37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Increase/(decrease)</w:t>
            </w:r>
          </w:p>
        </w:tc>
        <w:tc>
          <w:tcPr>
            <w:tcW w:w="20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6"/>
              </w:rPr>
              <w:t>381,008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662"/>
        </w:trPr>
        <w:tc>
          <w:tcPr>
            <w:tcW w:w="3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Contract Balances</w:t>
            </w: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3"/>
        </w:trPr>
        <w:tc>
          <w:tcPr>
            <w:tcW w:w="37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3"/>
          </w:tcPr>
          <w:p>
            <w:pPr>
              <w:ind w:left="220"/>
              <w:spacing w:after="0"/>
              <w:rPr>
                <w:sz w:val="20"/>
                <w:szCs w:val="20"/>
                <w:color w:val="auto"/>
              </w:rPr>
            </w:pPr>
            <w:r>
              <w:rPr>
                <w:rFonts w:ascii="Arial" w:cs="Arial" w:eastAsia="Arial" w:hAnsi="Arial"/>
                <w:sz w:val="18"/>
                <w:szCs w:val="18"/>
                <w:color w:val="auto"/>
              </w:rPr>
              <w:t>Receivables (1)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ind w:left="240"/>
              <w:spacing w:after="0"/>
              <w:rPr>
                <w:sz w:val="20"/>
                <w:szCs w:val="20"/>
                <w:color w:val="auto"/>
              </w:rPr>
            </w:pPr>
            <w:r>
              <w:rPr>
                <w:rFonts w:ascii="Arial" w:cs="Arial" w:eastAsia="Arial" w:hAnsi="Arial"/>
                <w:sz w:val="18"/>
                <w:szCs w:val="18"/>
                <w:color w:val="auto"/>
              </w:rPr>
              <w:t>Contract Asset</w:t>
            </w:r>
          </w:p>
        </w:tc>
        <w:tc>
          <w:tcPr>
            <w:tcW w:w="280" w:type="dxa"/>
            <w:vAlign w:val="bottom"/>
          </w:tcPr>
          <w:p>
            <w:pPr>
              <w:spacing w:after="0"/>
              <w:rPr>
                <w:sz w:val="19"/>
                <w:szCs w:val="19"/>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color w:val="auto"/>
              </w:rPr>
              <w:t>Contract Liability</w:t>
            </w:r>
          </w:p>
        </w:tc>
      </w:tr>
      <w:tr>
        <w:trPr>
          <w:trHeight w:val="210"/>
        </w:trPr>
        <w:tc>
          <w:tcPr>
            <w:tcW w:w="37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Opening (1/1/2020)</w:t>
            </w:r>
          </w:p>
        </w:tc>
        <w:tc>
          <w:tcPr>
            <w:tcW w:w="2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2,778,879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12,607,978</w:t>
            </w:r>
          </w:p>
        </w:tc>
      </w:tr>
      <w:tr>
        <w:trPr>
          <w:trHeight w:val="229"/>
        </w:trPr>
        <w:tc>
          <w:tcPr>
            <w:tcW w:w="3700" w:type="dxa"/>
            <w:vAlign w:val="bottom"/>
          </w:tcPr>
          <w:p>
            <w:pPr>
              <w:ind w:left="100"/>
              <w:spacing w:after="0"/>
              <w:rPr>
                <w:sz w:val="20"/>
                <w:szCs w:val="20"/>
                <w:color w:val="auto"/>
              </w:rPr>
            </w:pPr>
            <w:r>
              <w:rPr>
                <w:rFonts w:ascii="Arial" w:cs="Arial" w:eastAsia="Arial" w:hAnsi="Arial"/>
                <w:sz w:val="18"/>
                <w:szCs w:val="18"/>
                <w:color w:val="auto"/>
              </w:rPr>
              <w:t>Closing (12/31/2020)</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520"/>
              <w:spacing w:after="0"/>
              <w:rPr>
                <w:sz w:val="20"/>
                <w:szCs w:val="20"/>
                <w:color w:val="auto"/>
              </w:rPr>
            </w:pPr>
            <w:r>
              <w:rPr>
                <w:rFonts w:ascii="Arial" w:cs="Arial" w:eastAsia="Arial" w:hAnsi="Arial"/>
                <w:sz w:val="18"/>
                <w:szCs w:val="18"/>
                <w:color w:val="auto"/>
              </w:rPr>
              <w:t>4,119,988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13,080,179</w:t>
            </w:r>
          </w:p>
        </w:tc>
      </w:tr>
      <w:tr>
        <w:trPr>
          <w:trHeight w:val="230"/>
        </w:trPr>
        <w:tc>
          <w:tcPr>
            <w:tcW w:w="37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Increase/(decrease)</w:t>
            </w:r>
          </w:p>
        </w:tc>
        <w:tc>
          <w:tcPr>
            <w:tcW w:w="20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7"/>
              </w:rPr>
              <w:t>1,341,109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Included in Receivables, net on the condensed consolidated balance sheets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amount of revenue recognized and included in the opening contract liability balance for the three months ended June 30, 2021 and 2020 was $1,309,936 and $880,663, respectively, and for the six months ended June 30, 2021 and 2020 was $2,444,937 and $1,831,406, respectively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for the Company’s cemetery and mortuary contracts for the periods presented: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7"/>
          </w:tcPr>
          <w:p>
            <w:pPr>
              <w:ind w:left="46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8"/>
                <w:szCs w:val="18"/>
                <w:color w:val="auto"/>
              </w:rPr>
            </w:pPr>
          </w:p>
        </w:tc>
        <w:tc>
          <w:tcPr>
            <w:tcW w:w="1840" w:type="dxa"/>
            <w:vAlign w:val="bottom"/>
            <w:gridSpan w:val="4"/>
          </w:tcPr>
          <w:p>
            <w:pPr>
              <w:jc w:val="right"/>
              <w:ind w:right="110"/>
              <w:spacing w:after="0"/>
              <w:rPr>
                <w:sz w:val="20"/>
                <w:szCs w:val="20"/>
                <w:color w:val="auto"/>
              </w:rPr>
            </w:pPr>
            <w:r>
              <w:rPr>
                <w:rFonts w:ascii="Arial" w:cs="Arial" w:eastAsia="Arial" w:hAnsi="Arial"/>
                <w:sz w:val="18"/>
                <w:szCs w:val="18"/>
                <w:color w:val="auto"/>
              </w:rPr>
              <w:t>Six Months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8"/>
                <w:szCs w:val="18"/>
                <w:color w:val="auto"/>
                <w:w w:val="84"/>
              </w:rPr>
              <w:t>June 30</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Ended June 30</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19"/>
                <w:szCs w:val="19"/>
                <w:color w:val="auto"/>
              </w:rPr>
            </w:pPr>
          </w:p>
        </w:tc>
      </w:tr>
      <w:tr>
        <w:trPr>
          <w:trHeight w:val="189"/>
        </w:trPr>
        <w:tc>
          <w:tcPr>
            <w:tcW w:w="100" w:type="dxa"/>
            <w:vAlign w:val="bottom"/>
            <w:shd w:val="clear" w:color="auto" w:fill="CCEEFF"/>
          </w:tcPr>
          <w:p>
            <w:pPr>
              <w:spacing w:after="0"/>
              <w:rPr>
                <w:sz w:val="16"/>
                <w:szCs w:val="16"/>
                <w:color w:val="auto"/>
              </w:rPr>
            </w:pPr>
          </w:p>
        </w:tc>
        <w:tc>
          <w:tcPr>
            <w:tcW w:w="47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Major goods/service lines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At-need</w:t>
            </w:r>
          </w:p>
        </w:tc>
        <w:tc>
          <w:tcPr>
            <w:tcW w:w="288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4,001,408</w:t>
            </w:r>
          </w:p>
        </w:tc>
        <w:tc>
          <w:tcPr>
            <w:tcW w:w="760" w:type="dxa"/>
            <w:vAlign w:val="bottom"/>
            <w:tcBorders>
              <w:top w:val="single" w:sz="8" w:color="CCEEFF"/>
            </w:tcBorders>
            <w:gridSpan w:val="3"/>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3,257,705</w:t>
            </w: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8,043,428</w:t>
            </w:r>
          </w:p>
        </w:tc>
        <w:tc>
          <w:tcPr>
            <w:tcW w:w="760" w:type="dxa"/>
            <w:vAlign w:val="bottom"/>
            <w:tcBorders>
              <w:top w:val="single" w:sz="8" w:color="CCEEFF"/>
            </w:tcBorders>
            <w:gridSpan w:val="2"/>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w w:val="99"/>
              </w:rPr>
              <w:t>6,642,896</w:t>
            </w:r>
          </w:p>
        </w:tc>
      </w:tr>
      <w:tr>
        <w:trPr>
          <w:trHeight w:val="230"/>
        </w:trPr>
        <w:tc>
          <w:tcPr>
            <w:tcW w:w="484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Pre-need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2,316,990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1,443,073</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4,217,096</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2,515,973</w:t>
            </w:r>
          </w:p>
        </w:tc>
      </w:tr>
      <w:tr>
        <w:trPr>
          <w:trHeight w:val="230"/>
        </w:trPr>
        <w:tc>
          <w:tcPr>
            <w:tcW w:w="10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300" w:type="dxa"/>
            <w:vAlign w:val="bottom"/>
            <w:tcBorders>
              <w:top w:val="single" w:sz="8" w:color="CDFFCC"/>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DFFCC"/>
              <w:bottom w:val="single" w:sz="8" w:color="auto"/>
            </w:tcBorders>
          </w:tcPr>
          <w:p>
            <w:pPr>
              <w:jc w:val="right"/>
              <w:spacing w:after="0"/>
              <w:rPr>
                <w:sz w:val="20"/>
                <w:szCs w:val="20"/>
                <w:color w:val="auto"/>
              </w:rPr>
            </w:pPr>
            <w:r>
              <w:rPr>
                <w:rFonts w:ascii="Arial" w:cs="Arial" w:eastAsia="Arial" w:hAnsi="Arial"/>
                <w:sz w:val="18"/>
                <w:szCs w:val="18"/>
                <w:color w:val="auto"/>
              </w:rPr>
              <w:t>6,318,398</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00" w:type="dxa"/>
            <w:vAlign w:val="bottom"/>
            <w:tcBorders>
              <w:top w:val="single" w:sz="8" w:color="CDFFCC"/>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DFFCC"/>
              <w:bottom w:val="single" w:sz="8" w:color="auto"/>
            </w:tcBorders>
          </w:tcPr>
          <w:p>
            <w:pPr>
              <w:jc w:val="right"/>
              <w:spacing w:after="0"/>
              <w:rPr>
                <w:sz w:val="20"/>
                <w:szCs w:val="20"/>
                <w:color w:val="auto"/>
              </w:rPr>
            </w:pPr>
            <w:r>
              <w:rPr>
                <w:rFonts w:ascii="Arial" w:cs="Arial" w:eastAsia="Arial" w:hAnsi="Arial"/>
                <w:sz w:val="18"/>
                <w:szCs w:val="18"/>
                <w:color w:val="auto"/>
              </w:rPr>
              <w:t>4,700,778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60" w:type="dxa"/>
            <w:vAlign w:val="bottom"/>
            <w:tcBorders>
              <w:top w:val="single" w:sz="8" w:color="CDFFCC"/>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DFFCC"/>
              <w:bottom w:val="single" w:sz="8" w:color="auto"/>
            </w:tcBorders>
          </w:tcPr>
          <w:p>
            <w:pPr>
              <w:jc w:val="right"/>
              <w:spacing w:after="0"/>
              <w:rPr>
                <w:sz w:val="20"/>
                <w:szCs w:val="20"/>
                <w:color w:val="auto"/>
              </w:rPr>
            </w:pPr>
            <w:r>
              <w:rPr>
                <w:rFonts w:ascii="Arial" w:cs="Arial" w:eastAsia="Arial" w:hAnsi="Arial"/>
                <w:sz w:val="18"/>
                <w:szCs w:val="18"/>
                <w:color w:val="auto"/>
              </w:rPr>
              <w:t>12,260,524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40" w:type="dxa"/>
            <w:vAlign w:val="bottom"/>
            <w:tcBorders>
              <w:top w:val="single" w:sz="8" w:color="CDFFCC"/>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DFFCC"/>
              <w:bottom w:val="single" w:sz="8" w:color="auto"/>
            </w:tcBorders>
          </w:tcPr>
          <w:p>
            <w:pPr>
              <w:ind w:left="80"/>
              <w:spacing w:after="0"/>
              <w:rPr>
                <w:sz w:val="20"/>
                <w:szCs w:val="20"/>
                <w:color w:val="auto"/>
              </w:rPr>
            </w:pPr>
            <w:r>
              <w:rPr>
                <w:rFonts w:ascii="Arial" w:cs="Arial" w:eastAsia="Arial" w:hAnsi="Arial"/>
                <w:sz w:val="18"/>
                <w:szCs w:val="18"/>
                <w:color w:val="auto"/>
                <w:w w:val="87"/>
              </w:rPr>
              <w:t>9,158,869</w:t>
            </w:r>
          </w:p>
        </w:tc>
        <w:tc>
          <w:tcPr>
            <w:tcW w:w="100" w:type="dxa"/>
            <w:vAlign w:val="bottom"/>
            <w:tcBorders>
              <w:bottom w:val="single" w:sz="8" w:color="CCEEFF"/>
            </w:tcBorders>
          </w:tcPr>
          <w:p>
            <w:pPr>
              <w:spacing w:after="0"/>
              <w:rPr>
                <w:sz w:val="20"/>
                <w:szCs w:val="20"/>
                <w:color w:val="auto"/>
              </w:rPr>
            </w:pPr>
          </w:p>
        </w:tc>
      </w:tr>
      <w:tr>
        <w:trPr>
          <w:trHeight w:val="216"/>
        </w:trPr>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484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Timing of Revenue Recognition</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4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Goods transferred at a point in time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4,552,154</w:t>
            </w:r>
          </w:p>
        </w:tc>
        <w:tc>
          <w:tcPr>
            <w:tcW w:w="760" w:type="dxa"/>
            <w:vAlign w:val="bottom"/>
            <w:gridSpan w:val="3"/>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3,088,616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8,750,827</w:t>
            </w:r>
          </w:p>
        </w:tc>
        <w:tc>
          <w:tcPr>
            <w:tcW w:w="7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6,082,320</w:t>
            </w:r>
          </w:p>
        </w:tc>
      </w:tr>
      <w:tr>
        <w:trPr>
          <w:trHeight w:val="229"/>
        </w:trPr>
        <w:tc>
          <w:tcPr>
            <w:tcW w:w="4840" w:type="dxa"/>
            <w:vAlign w:val="bottom"/>
            <w:gridSpan w:val="4"/>
          </w:tcPr>
          <w:p>
            <w:pPr>
              <w:ind w:left="100"/>
              <w:spacing w:after="0"/>
              <w:rPr>
                <w:sz w:val="20"/>
                <w:szCs w:val="20"/>
                <w:color w:val="auto"/>
              </w:rPr>
            </w:pPr>
            <w:r>
              <w:rPr>
                <w:rFonts w:ascii="Arial" w:cs="Arial" w:eastAsia="Arial" w:hAnsi="Arial"/>
                <w:sz w:val="18"/>
                <w:szCs w:val="18"/>
                <w:color w:val="auto"/>
              </w:rPr>
              <w:t>Services transferred at a point in time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1,766,244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1,612,162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3,509,697</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3,076,549</w:t>
            </w:r>
          </w:p>
        </w:tc>
      </w:tr>
      <w:tr>
        <w:trPr>
          <w:trHeight w:val="230"/>
        </w:trPr>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24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6,318,398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4,700,778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12,260,524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9,158,869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756"/>
        </w:trPr>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51" w:name="page52"/>
    <w:bookmarkEnd w:id="51"/>
    <w:p>
      <w:pPr>
        <w:ind w:right="20"/>
        <w:spacing w:after="0" w:line="277" w:lineRule="auto"/>
        <w:rPr>
          <w:sz w:val="20"/>
          <w:szCs w:val="20"/>
          <w:color w:val="auto"/>
        </w:rPr>
      </w:pPr>
      <w:r>
        <w:rPr>
          <w:rFonts w:ascii="Arial" w:cs="Arial" w:eastAsia="Arial" w:hAnsi="Arial"/>
          <w:sz w:val="18"/>
          <w:szCs w:val="18"/>
          <w:color w:val="auto"/>
        </w:rPr>
        <w:t>The following table reconciles revenues from cemetery and mortuary contracts to Note 7 – Business Segment Information for the Cemetery/Mortuary Segment for the periods presented: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7"/>
          </w:tcPr>
          <w:p>
            <w:pPr>
              <w:ind w:left="64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8"/>
                <w:szCs w:val="18"/>
                <w:color w:val="auto"/>
              </w:rPr>
            </w:pPr>
          </w:p>
        </w:tc>
        <w:tc>
          <w:tcPr>
            <w:tcW w:w="2040" w:type="dxa"/>
            <w:vAlign w:val="bottom"/>
            <w:gridSpan w:val="5"/>
          </w:tcPr>
          <w:p>
            <w:pPr>
              <w:ind w:left="680"/>
              <w:spacing w:after="0"/>
              <w:rPr>
                <w:sz w:val="20"/>
                <w:szCs w:val="20"/>
                <w:color w:val="auto"/>
              </w:rPr>
            </w:pPr>
            <w:r>
              <w:rPr>
                <w:rFonts w:ascii="Arial" w:cs="Arial" w:eastAsia="Arial" w:hAnsi="Arial"/>
                <w:sz w:val="18"/>
                <w:szCs w:val="18"/>
                <w:color w:val="auto"/>
                <w:w w:val="91"/>
              </w:rPr>
              <w:t>Six Months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June 30</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ind w:left="1100"/>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2020</w:t>
            </w:r>
          </w:p>
        </w:tc>
        <w:tc>
          <w:tcPr>
            <w:tcW w:w="100" w:type="dxa"/>
            <w:vAlign w:val="bottom"/>
            <w:tcBorders>
              <w:bottom w:val="single" w:sz="8" w:color="auto"/>
            </w:tcBorders>
          </w:tcPr>
          <w:p>
            <w:pPr>
              <w:spacing w:after="0"/>
              <w:rPr>
                <w:sz w:val="19"/>
                <w:szCs w:val="19"/>
                <w:color w:val="auto"/>
              </w:rPr>
            </w:pPr>
          </w:p>
        </w:tc>
      </w:tr>
      <w:tr>
        <w:trPr>
          <w:trHeight w:val="209"/>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mortuary and cemetery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6,318,398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4,700,778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12,260,524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9,158,869</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Gains (losses) on investments and other assets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227,546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482,383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1,025,886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(177,740)</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71,647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470,891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276,493</w:t>
            </w:r>
          </w:p>
        </w:tc>
      </w:tr>
      <w:tr>
        <w:trPr>
          <w:trHeight w:val="230"/>
        </w:trPr>
        <w:tc>
          <w:tcPr>
            <w:tcW w:w="4840" w:type="dxa"/>
            <w:vAlign w:val="bottom"/>
          </w:tcPr>
          <w:p>
            <w:pPr>
              <w:ind w:left="10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51,497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49,886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62,379</w:t>
            </w:r>
          </w:p>
        </w:tc>
      </w:tr>
      <w:tr>
        <w:trPr>
          <w:trHeight w:val="230"/>
        </w:trPr>
        <w:tc>
          <w:tcPr>
            <w:tcW w:w="48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Borders>
              <w:top w:val="single" w:sz="8" w:color="CDFFCC"/>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6,807,922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DFFCC"/>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DFFCC"/>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13,807,187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DFFCC"/>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9,320,001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operations over the last several years generally reflect three trends or events which the Company expects to continue to focus on: (i) increased attention to “niche” insurance products, such as the Company’s funeral plan policies and traditional whole life products; (ii) emphasis on cemetery and mortuary business; and (iii) capitalizing on an improving housing market by originating mortgage loans. The Company has adjusted its strategy to respond to the changing economic circumstances resulting from the COVID-19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funeral plan is a small face value life insurance policy that generally has face coverage of up to $25,000.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the COVID-19 pandemic, the life insurance sales force has transitioned to virtual and tele sales processes and transitioned approximately 95% of office staff to work remotely.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insurance operations for three and six months ended June 30, 2021 and 2020.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9"/>
          </w:tcPr>
          <w:p>
            <w:pPr>
              <w:jc w:val="right"/>
              <w:ind w:right="47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9"/>
          </w:tcPr>
          <w:p>
            <w:pPr>
              <w:jc w:val="right"/>
              <w:ind w:right="550"/>
              <w:spacing w:after="0"/>
              <w:rPr>
                <w:sz w:val="20"/>
                <w:szCs w:val="20"/>
                <w:color w:val="auto"/>
              </w:rPr>
            </w:pPr>
            <w:r>
              <w:rPr>
                <w:rFonts w:ascii="Arial" w:cs="Arial" w:eastAsia="Arial" w:hAnsi="Arial"/>
                <w:sz w:val="18"/>
                <w:szCs w:val="18"/>
                <w:color w:val="auto"/>
              </w:rPr>
              <w:t>Six months ended June 30</w:t>
            </w:r>
          </w:p>
        </w:tc>
      </w:tr>
      <w:tr>
        <w:trPr>
          <w:trHeight w:val="230"/>
        </w:trPr>
        <w:tc>
          <w:tcPr>
            <w:tcW w:w="4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9"/>
          </w:tcPr>
          <w:p>
            <w:pPr>
              <w:jc w:val="right"/>
              <w:ind w:right="630"/>
              <w:spacing w:after="0"/>
              <w:rPr>
                <w:sz w:val="20"/>
                <w:szCs w:val="20"/>
                <w:color w:val="auto"/>
              </w:rPr>
            </w:pPr>
            <w:r>
              <w:rPr>
                <w:rFonts w:ascii="Arial" w:cs="Arial" w:eastAsia="Arial" w:hAnsi="Arial"/>
                <w:sz w:val="18"/>
                <w:szCs w:val="18"/>
                <w:color w:val="auto"/>
              </w:rPr>
              <w:t>(in thousands of dollars)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9"/>
          </w:tcPr>
          <w:p>
            <w:pPr>
              <w:jc w:val="right"/>
              <w:ind w:right="610"/>
              <w:spacing w:after="0"/>
              <w:rPr>
                <w:sz w:val="20"/>
                <w:szCs w:val="20"/>
                <w:color w:val="auto"/>
              </w:rPr>
            </w:pPr>
            <w:r>
              <w:rPr>
                <w:rFonts w:ascii="Arial" w:cs="Arial" w:eastAsia="Arial" w:hAnsi="Arial"/>
                <w:sz w:val="18"/>
                <w:szCs w:val="18"/>
                <w:color w:val="auto"/>
              </w:rPr>
              <w:t>(in thousands of dollars)</w:t>
            </w:r>
          </w:p>
        </w:tc>
      </w:tr>
      <w:tr>
        <w:trPr>
          <w:trHeight w:val="195"/>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w w:val="97"/>
              </w:rPr>
              <w:t>% Increase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w w:val="95"/>
              </w:rPr>
              <w:t>% Increase</w:t>
            </w:r>
          </w:p>
        </w:tc>
      </w:tr>
      <w:tr>
        <w:trPr>
          <w:trHeight w:val="230"/>
        </w:trPr>
        <w:tc>
          <w:tcPr>
            <w:tcW w:w="4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6"/>
              </w:rPr>
              <w:t>(Decrease)</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6"/>
              </w:rPr>
              <w:t>(Decrease)</w:t>
            </w:r>
          </w:p>
        </w:tc>
      </w:tr>
      <w:tr>
        <w:trPr>
          <w:trHeight w:val="209"/>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Revenues from external customers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Insurance premiums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24,959</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22,925</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48,309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45,216</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investment income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Gains (losses) on investments and other assets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1,756</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(401%)</w:t>
            </w: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40,658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37,788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79,600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70,995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50"/>
        </w:trPr>
        <w:tc>
          <w:tcPr>
            <w:tcW w:w="4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Intersegment revenue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7"/>
        </w:trPr>
        <w:tc>
          <w:tcPr>
            <w:tcW w:w="4680" w:type="dxa"/>
            <w:vAlign w:val="bottom"/>
          </w:tcPr>
          <w:p>
            <w:pPr>
              <w:ind w:left="100"/>
              <w:spacing w:after="0"/>
              <w:rPr>
                <w:sz w:val="20"/>
                <w:szCs w:val="20"/>
                <w:color w:val="auto"/>
              </w:rPr>
            </w:pPr>
            <w:r>
              <w:rPr>
                <w:rFonts w:ascii="Arial" w:cs="Arial" w:eastAsia="Arial" w:hAnsi="Arial"/>
                <w:sz w:val="18"/>
                <w:szCs w:val="18"/>
                <w:color w:val="auto"/>
              </w:rPr>
              <w:t>Earnings before income taxes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1129</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7"/>
        </w:trPr>
        <w:tc>
          <w:tcPr>
            <w:tcW w:w="4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Intersegment revenues are primarily interest income from the warehouse line for loans held for sale provided to Security National Mortgage Company (“Security National Mortgage”). Profitability for the six months ended June 30, 2021 has increased due to a $3,160,000 increase in gains on investments and other assets primarily due to an increase in the fair value of equity securities, a $3,093,000 increase in insurance premiums and other considerations, a $1,987,000 decrease in future policy benefits, a $1,909,000 increase in net investment income, a $1,725,000 decrease in selling, general and administrative expenses, a $929,000 increase in intersegment revenue, a $444,000 increase in other revenues, a $177,000 decrease in interest expense, and a $99,000 decrease in intersegment interest expense and other expenses. This increase was partially offset by a $6,002,000 increase in death, surrenders and other policy benefits and a$733,000 increase in amortization of deferred policy acquisition costs primarily due to an increase in the average outstanding balance of deferred policy and pre-need acquisition costs.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Cemetery and Mortuary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sells mortuary services and products through its eight mortuaries in Utah. The Company also sells cemetery products and services through its five cemeteries in Utah and one cemetery in San Diego County, California.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COVID-19 pandemic, the Company has seen a decrease in its average case size as funeral services have been limited. The Company has transitioned its pre-need sales force to virtual selling and has done in home sales as local regulations permit.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cemetery and mortuary operations for the three and sixmonths ended June 30, 2021 and 2020.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9"/>
          </w:tcPr>
          <w:p>
            <w:pPr>
              <w:jc w:val="right"/>
              <w:ind w:right="47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9"/>
          </w:tcPr>
          <w:p>
            <w:pPr>
              <w:jc w:val="right"/>
              <w:ind w:right="550"/>
              <w:spacing w:after="0"/>
              <w:rPr>
                <w:sz w:val="20"/>
                <w:szCs w:val="20"/>
                <w:color w:val="auto"/>
              </w:rPr>
            </w:pPr>
            <w:r>
              <w:rPr>
                <w:rFonts w:ascii="Arial" w:cs="Arial" w:eastAsia="Arial" w:hAnsi="Arial"/>
                <w:sz w:val="18"/>
                <w:szCs w:val="18"/>
                <w:color w:val="auto"/>
              </w:rPr>
              <w:t>Six months ended June 30</w:t>
            </w:r>
          </w:p>
        </w:tc>
      </w:tr>
      <w:tr>
        <w:trPr>
          <w:trHeight w:val="230"/>
        </w:trPr>
        <w:tc>
          <w:tcPr>
            <w:tcW w:w="4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9"/>
          </w:tcPr>
          <w:p>
            <w:pPr>
              <w:jc w:val="right"/>
              <w:ind w:right="630"/>
              <w:spacing w:after="0"/>
              <w:rPr>
                <w:sz w:val="20"/>
                <w:szCs w:val="20"/>
                <w:color w:val="auto"/>
              </w:rPr>
            </w:pPr>
            <w:r>
              <w:rPr>
                <w:rFonts w:ascii="Arial" w:cs="Arial" w:eastAsia="Arial" w:hAnsi="Arial"/>
                <w:sz w:val="18"/>
                <w:szCs w:val="18"/>
                <w:color w:val="auto"/>
              </w:rPr>
              <w:t>(in thousands of dollars)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9"/>
          </w:tcPr>
          <w:p>
            <w:pPr>
              <w:jc w:val="right"/>
              <w:ind w:right="610"/>
              <w:spacing w:after="0"/>
              <w:rPr>
                <w:sz w:val="20"/>
                <w:szCs w:val="20"/>
                <w:color w:val="auto"/>
              </w:rPr>
            </w:pPr>
            <w:r>
              <w:rPr>
                <w:rFonts w:ascii="Arial" w:cs="Arial" w:eastAsia="Arial" w:hAnsi="Arial"/>
                <w:sz w:val="18"/>
                <w:szCs w:val="18"/>
                <w:color w:val="auto"/>
              </w:rPr>
              <w:t>(in thousands of dollars)</w:t>
            </w:r>
          </w:p>
        </w:tc>
      </w:tr>
      <w:tr>
        <w:trPr>
          <w:trHeight w:val="195"/>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w w:val="97"/>
              </w:rPr>
              <w:t>% Increase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w w:val="95"/>
              </w:rPr>
              <w:t>% Increase</w:t>
            </w:r>
          </w:p>
        </w:tc>
      </w:tr>
      <w:tr>
        <w:trPr>
          <w:trHeight w:val="230"/>
        </w:trPr>
        <w:tc>
          <w:tcPr>
            <w:tcW w:w="4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6"/>
              </w:rPr>
              <w:t>(Decrease)</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6"/>
              </w:rPr>
              <w:t>(Decrease)</w:t>
            </w:r>
          </w:p>
        </w:tc>
      </w:tr>
      <w:tr>
        <w:trPr>
          <w:trHeight w:val="209"/>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Revenues from external customers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Mortuary revenues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1,912</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3,933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3,449</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Cemetery revenues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on investments and other assets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6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7"/>
        </w:trPr>
        <w:tc>
          <w:tcPr>
            <w:tcW w:w="4680" w:type="dxa"/>
            <w:vAlign w:val="bottom"/>
          </w:tcPr>
          <w:p>
            <w:pPr>
              <w:ind w:left="100"/>
              <w:spacing w:after="0"/>
              <w:rPr>
                <w:sz w:val="20"/>
                <w:szCs w:val="20"/>
                <w:color w:val="auto"/>
              </w:rPr>
            </w:pPr>
            <w:r>
              <w:rPr>
                <w:rFonts w:ascii="Arial" w:cs="Arial" w:eastAsia="Arial" w:hAnsi="Arial"/>
                <w:sz w:val="18"/>
                <w:szCs w:val="18"/>
                <w:color w:val="auto"/>
              </w:rPr>
              <w:t>Earnings before income taxes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7"/>
        </w:trPr>
        <w:tc>
          <w:tcPr>
            <w:tcW w:w="4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Profitability in the six months ended June 30, 2021 has increased due to a $1,701,000 increase in cemetery pre-need sales,a $1,204,000 increase in gains on investments and other assets primarily attributable to a $660,000 increase in gains on real estate sales and an $544,000 increase in the fair value of equity securities classified as restricted assets and cemetery perpetual care trust investments, a $916,000 increase in cemetery at-need sales, a $484,000 increase in mortuary at-need sales, a $194,000 increase in net investment income, an $87,000 decrease in interest expense, a $45,000 decrease in intersegment interest expense and other expenses, and a $44,000 decrease in amortization of deferred policy acquisition costs. This increase was partially offset by a $839,000 increase in selling, general and administrative expenses, a $470,000 increase in costs of goods sold, a $37,000 decrease in intersegment revenues, and a $12,000 decrease in other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wholly owned subsidiaries, Security National Mortgage and EverLEND Mortgage Company,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 National Mortgage and EverLEND Mortgage originate and refinance mortgage loans on a retail basis. Mortgage loans originated or refinanced by the Company’s mortgage subsidiaries are funded through loan purchase agreements with Security National Life, Kilpatrick Life and unaffiliated financial institutions.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 National Mortgage. Security National Mortgage currently retains the mortgage servicing rights on approximately 59% of its loan origination volume. These mortgage loans are serviced by either Security National Mortgage or an approved third-party sub-servicer.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2021 and 2020, Security National Mortgage originated 10,149 loans ($2,748,316,000 total volume) and 8,105 loans ($2,037,850,000 total volume), respectively. For the six months ended June 30, 2021 and 2020, Ever LEND Mortgage originated 191 loans ($61,914,000 total volume) and 240 loans ($67,198,000 total volume), respectively.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ind w:right="20"/>
        <w:spacing w:after="0" w:line="308" w:lineRule="auto"/>
        <w:rPr>
          <w:sz w:val="20"/>
          <w:szCs w:val="20"/>
          <w:color w:val="auto"/>
        </w:rPr>
      </w:pPr>
      <w:r>
        <w:rPr>
          <w:rFonts w:ascii="Arial" w:cs="Arial" w:eastAsia="Arial" w:hAnsi="Arial"/>
          <w:sz w:val="17"/>
          <w:szCs w:val="17"/>
          <w:color w:val="auto"/>
        </w:rPr>
        <w:t>During the COVID-19 pandemic, the demand for mortgage loans has increased. The Company has seen most markets increase their demand for new homes and refinances on existing homes. The Company has transitioned 90% of its processes to a work from home environment.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mortgage operations for the three and six months ended June 30, 2021 and 2020.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9"/>
          </w:tcPr>
          <w:p>
            <w:pPr>
              <w:jc w:val="right"/>
              <w:ind w:right="47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9"/>
          </w:tcPr>
          <w:p>
            <w:pPr>
              <w:jc w:val="right"/>
              <w:ind w:right="550"/>
              <w:spacing w:after="0"/>
              <w:rPr>
                <w:sz w:val="20"/>
                <w:szCs w:val="20"/>
                <w:color w:val="auto"/>
              </w:rPr>
            </w:pPr>
            <w:r>
              <w:rPr>
                <w:rFonts w:ascii="Arial" w:cs="Arial" w:eastAsia="Arial" w:hAnsi="Arial"/>
                <w:sz w:val="18"/>
                <w:szCs w:val="18"/>
                <w:color w:val="auto"/>
              </w:rPr>
              <w:t>Six months ended June 30</w:t>
            </w:r>
          </w:p>
        </w:tc>
      </w:tr>
      <w:tr>
        <w:trPr>
          <w:trHeight w:val="230"/>
        </w:trPr>
        <w:tc>
          <w:tcPr>
            <w:tcW w:w="4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9"/>
          </w:tcPr>
          <w:p>
            <w:pPr>
              <w:jc w:val="right"/>
              <w:ind w:right="630"/>
              <w:spacing w:after="0"/>
              <w:rPr>
                <w:sz w:val="20"/>
                <w:szCs w:val="20"/>
                <w:color w:val="auto"/>
              </w:rPr>
            </w:pPr>
            <w:r>
              <w:rPr>
                <w:rFonts w:ascii="Arial" w:cs="Arial" w:eastAsia="Arial" w:hAnsi="Arial"/>
                <w:sz w:val="18"/>
                <w:szCs w:val="18"/>
                <w:color w:val="auto"/>
              </w:rPr>
              <w:t>(in thousands of dollars)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9"/>
          </w:tcPr>
          <w:p>
            <w:pPr>
              <w:jc w:val="right"/>
              <w:ind w:right="610"/>
              <w:spacing w:after="0"/>
              <w:rPr>
                <w:sz w:val="20"/>
                <w:szCs w:val="20"/>
                <w:color w:val="auto"/>
              </w:rPr>
            </w:pPr>
            <w:r>
              <w:rPr>
                <w:rFonts w:ascii="Arial" w:cs="Arial" w:eastAsia="Arial" w:hAnsi="Arial"/>
                <w:sz w:val="18"/>
                <w:szCs w:val="18"/>
                <w:color w:val="auto"/>
              </w:rPr>
              <w:t>(in thousands of dollars)</w:t>
            </w:r>
          </w:p>
        </w:tc>
      </w:tr>
      <w:tr>
        <w:trPr>
          <w:trHeight w:val="195"/>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w w:val="97"/>
              </w:rPr>
              <w:t>% Increase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w w:val="95"/>
              </w:rPr>
              <w:t>% Increase</w:t>
            </w:r>
          </w:p>
        </w:tc>
      </w:tr>
      <w:tr>
        <w:trPr>
          <w:trHeight w:val="230"/>
        </w:trPr>
        <w:tc>
          <w:tcPr>
            <w:tcW w:w="4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6"/>
              </w:rPr>
              <w:t>(Decrease)</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6"/>
              </w:rPr>
              <w:t>(Decrease)</w:t>
            </w:r>
          </w:p>
        </w:tc>
      </w:tr>
      <w:tr>
        <w:trPr>
          <w:trHeight w:val="209"/>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Revenues from external customers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Secondary gains from investors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56,021</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49,423</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124,460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77,270</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loan originations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Change in fair value of loans held for sale</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(8,061)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2,742</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(394%)</w:t>
            </w:r>
          </w:p>
        </w:tc>
      </w:tr>
      <w:tr>
        <w:trPr>
          <w:trHeight w:val="216"/>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loan commitments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Gains on investments and other assets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4680" w:type="dxa"/>
            <w:vAlign w:val="bottom"/>
          </w:tcPr>
          <w:p>
            <w:pPr>
              <w:ind w:left="1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2,090</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4,060</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46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7"/>
        </w:trPr>
        <w:tc>
          <w:tcPr>
            <w:tcW w:w="4680" w:type="dxa"/>
            <w:vAlign w:val="bottom"/>
          </w:tcPr>
          <w:p>
            <w:pPr>
              <w:ind w:left="100"/>
              <w:spacing w:after="0"/>
              <w:rPr>
                <w:sz w:val="20"/>
                <w:szCs w:val="20"/>
                <w:color w:val="auto"/>
              </w:rPr>
            </w:pPr>
            <w:r>
              <w:rPr>
                <w:rFonts w:ascii="Arial" w:cs="Arial" w:eastAsia="Arial" w:hAnsi="Arial"/>
                <w:sz w:val="18"/>
                <w:szCs w:val="18"/>
                <w:color w:val="auto"/>
              </w:rPr>
              <w:t>Earnings before income taxes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18,673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26,414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r>
              <w:rPr>
                <w:rFonts w:ascii="Arial" w:cs="Arial" w:eastAsia="Arial" w:hAnsi="Arial"/>
                <w:sz w:val="18"/>
                <w:szCs w:val="18"/>
                <w:color w:val="auto"/>
                <w:w w:val="81"/>
              </w:rPr>
              <w:t>%)</w:t>
            </w:r>
          </w:p>
        </w:tc>
      </w:tr>
      <w:tr>
        <w:trPr>
          <w:trHeight w:val="27"/>
        </w:trPr>
        <w:tc>
          <w:tcPr>
            <w:tcW w:w="4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Included in other revenues is service fee income. Profitability for the six months ended June 30, 2021 has decreased due to $18,912,000 increase in commissions, a $10,803,000 decrease in the fair value of loans held for sale,a $9,762,000 increase in personnel expenses,a $8,721,000 decrease in the fair value of loan commitments,a $4,028,000 decrease in income from loan originations, a $3,196,000 increase in other expenses, a $1,342,000 increase in costs related to funding mortgage loans,a $984,000 increase in advertising expenses,a $962,000 increase in intersegment interest expense, a $472,000 increase in rent and rent related expenses,an $83,000 increase in interest expense, and a $74,000 decrease in intersegment revenues. This increase was partially offset by a $47,190,000 increase in secondary gains from investors, a $3,489,000 increase in other revenues, a $868,000 decrease in the provision for loan loss reserve, a $47,000 increase in gains on investments and other assets, a $4,000 increase in net investment income, and a $3,000 decrease in depreciation on property and equipment.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 Loss Settlements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Future mortgage loan losses can be extremely difficult to estimate. However, management believes that the Company’s reserve methodology and its current practice of property preservation allow it to estimate its potential losses on mortgage loans sold. The estimated liability for indemnification losses was included in other liabilities and accrued expenses and, as of June 30, 2021 and December 31, 2020, the balances were $2,412,652 and $20,583,618,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Three Months Ended June 30, 2020</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revenues decreased by $1,911,000, or 1.6%, to $116,750,000 for the three months ended June 30, 2021, from $118,662,000 for the comparable period in 2020. Contributing to this decrease in total revenues was a $8,210,000 decrease in mortgage fee income and a $761,000 decrease in gains on investments and other assets. This decrease was partially offset by a $1,618,000 increase in net mortuary and cemetery sales, a $2,194,000 increase in other revenues, a $2,034,000 increase in insurance premiums and other considerations, and an $1,214,000 increase in net investment income.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color w:val="auto"/>
        </w:rPr>
        <w:t>Mortgage fee income decreased by $8,210,000, or 11.2%, to $65,158,000, for the three months ended June 30, 2021, from $73,368,000 for the comparable period in 2020. This decrease was primarily due to a $5,761,000 decrease in the fair value of loan commitments, a $5,569,000 decrease in loan fees and interest income net of a decrease in the provision for loan loss reserve, and a $3,478,000 decrease in the fair value of loans held for sale. This decrease in mortgage fee income was partially offset by a $6,598,000 increase in secondary gains from mortgage loans sold to third-party investors into the secondary market.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Insurance premiums and other considerations increased by $2,034,000, or 8.9%, to $24,959,000 for the three months ended June 30, 2021, from $22,925,000 for the comparable period in 2020. This increase was due to an increase in renewal premiums due to the growth of the Company in recent years, particularly in whole life products, which resulted in more premium paying business in force.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investment income increased by $1,214,000, or 9.4%, to $14,177,000 for the three months ended June 30, 2021, from $12,963,000 for the comparable period in 2020. This increase was primarily attributable to a $1,320,000 increase in mortgage loan interest, a $316,000 decrease in investment expenses, a $214,000 increase in rental income from real estate held for investment, a $39,000 increase in income on other investments, and a $12,000 increase in interest on cash and cash equivalents. This increase was partially offset by a $445,000 decrease in fixed maturity securities income, a $212,000 decrease in insurance assignment income, a $25,000 decrease in policy loan income, and a $5,000 decrease in equity securities income.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mortuary and cemetery sales increased by $1,618,000, or 34.4%, to $6,319,000 for the three months ended June 30, 2021, from $4,701,000 for the comparable period in 2020. This increase was primarily due to an $874,000 increase in cemetery pre-need sales, a $518,000 increase in cemetery at-need sales, and a $226,000 increase in mortuary at-need sales.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Gains on investments and other assets decreased by $761,000, or 34.0%, to $1,477,000 for the three months ended June 30, 2021, from $2,238,000 for the comparable period in 2020. This decrease in gains on investments and other assets was primarily due to a $1,051,000 decrease in gains on equity securities mostly attributable to decreases in the fair value of these equity securities. This decrease in gains on investments and other assets was partially offset by a $147,000 increase in gains on other assets and a $143,000 increase in gains on fixed maturity securities.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revenues increased by $2,194,000, or 88.9%, to $4,661,000 for the three months ended June 30, 2021, from $2,467,000 for the comparable period in 2020. This increase was primarily attributable to an increase in servicing fee revenue.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benefits and expenses were $102,073,000, or 87.4% of total revenues, for the three months ended June 30, 2021, as compared to $91,468,000, or 77.1% of total revenues, for the comparable period in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Death benefits, surrenders and other policy benefits, and future policy benefits increased by an aggregate of $1,887,000 or 9.0%, to $22,916,000 for the three months ended June 30, 2021, from $21,029,000 for the comparable period in 2020. This increase was primarily the result of a $1,257,000 increase in death benefits (including, approximately, a $140,000 decrease in COVID-19 related deaths) and a $797,000 increase in future policy benefits. This increase was partially offset by a $167,000 decrease in surrender and other policy benefits.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Amortization of deferred policy and pre-need acquisition costs and value of business acquired increased by $627,000, or 20.7%, to $3,654,000 for the three months ended June 30, 2021, from $3,027,000 for the comparable period in 2020. This increase was primarily due to an increase in the average outstanding balance of deferred policy and pre-need acquisition costs.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$8,065,000, or 12.4%, to $72,936,000 for the three months ended June 30,2021, from $64,871,000 for the comparable period in 2020. This increase was primarily the result of a $3,790,000 increase in personnel expenses, a $2,654,000 increase in commissions, a $726,000 increase in other expenses, a $367,000 increase in advertising expenses,a $361,000 increase in costs related to funding mortgage loans, and a $211,000 increase in rent and rent related expenses.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by $187,000, or 10.0%, to $1,694,000 for the three months ended June 30, 2021, from $1,881,000 for the comparable period in 2020. This decrease was primarily due to a decrease of $224,000 in interest expense on mortgage warehouse lines for loans held for sale. This decrease was partially offset by a $37,000 increase in interest expense on bank loans.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8"/>
          <w:szCs w:val="18"/>
          <w:color w:val="auto"/>
        </w:rPr>
        <w:t>Cost of goods and services sold-mortuaries and cemeteries increased by $212,000, or 32.2%, to $873,000 for the three months ended June 30, 2021, from $661,000 for the comparable period in 2020. This increase was primarily due to a $92,000 increase in cemetery at-need sales, a $78,000 increase in cemetery pre-need sales,and a $42,000 increase in mortuary at-need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to Six Months Ended June 30, 2020</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revenues increased by $41,138,000, or 20.7%, to $239,409,000 for the six months ended June 30, 2021, from $198,271,000 for the comparable period in 2020. Contributing to this increase in total revenues was a $24,506,000 increase in mortgage fee income, a $4,411,000 increase in gains on investments and other assets, a $3,918,000 increase in other revenues, a $3,102,000 increase in net mortuary and cemetery sales, a $3,093,000 increase in insurance premiums and other considerations, and an $2,108,000 increase in net investment income.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Mortgage fee income increased by $24,506,000, or 21.6%, to $138,156,000, for the six months ended June 30, 2021, from $113,650,000 for the comparable period in 2020. This increase was primarily due to a $47,190,000 increase in secondary gains from mortgage loans sold to third-party investors into the secondary market. This decrease in mortgage fee income was partially offset by a $10,803,000 decrease in the fair value of loans held for sale, a $8,721,000 decrease in the fair value of loan commitments, and a $3,160,000 decrease in loan fees and interest income net of a decrease in the provision for loan loss reserve.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Insurance premiums and other considerations increased by $3,093,000, or 6.8%, to $48,309,000 for the six months ended June 30, 2021, from $45,216,000 for the comparable period in 2020. This increase was due to an increase in renewal premiums due to the growth of the Company in recent years, particularly in whole life products, which resulted in more premium paying business in force.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investment income increased by $2,108,000, or 8.0%, to $28,471,000 for the six months ended June 30, 2021, from $26,363,000 for the comparable period in 2020. This increase was primarily attributable to a $1,751,000 increase in mortgage loan interest, an $835,000 increase in insurance assignment income, a $179,000 decrease in investment expenses, a $104,000 increase in rental income from real estate held for investment, a $31,000 increase in equity securities income, and a $28,000 increase in income on other investments. This increase was partially offset by a $546,000 decrease in fixed maturity securities income, a $247,000 decrease in interest on cash and cash equivalents, and a $27,000 decrease in policy loan income.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mortuary and cemetery sales increased by $3,102,000, or 33.9%, to $12,261,000 for the six months ended June 30, 2021, from $9,159,000 for the comparable period in 2020. This increase was primarily due to an $1,701,000 increase in cemetery pre-need sales, a $916,000 increase in cemetery at-need sales, and a $485,000 increase in mortuary at-need sales.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Gains on investments and other assets increased by $4,411,000, or 452.9%, to gains of $3,437,000 for the six months ended June 30, 2021, from losses of $974,000 for the comparable period in 2020. This increase in gains on investments and other assets was primarily due a $2,826,000 increase in gains on equity securities mostly attributable to increases in the fair value of these equity securities. This increase in gains on investments and other assets was also due to a $1,465,000 increase in gains on other assets mostly attributable gains on real estate and mortgage loans. This increase in gains on investments and other assets was also due to a $120,000 increase in gains on fixed maturity securities.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revenues increased by $3,918,000, or 80.7%, to $8,774,000 for the six months ended June 30, 2021, from $4,856,000 for the comparable period in 2020. This increase was primarily attributable to an increase in servicing fee revenue.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benefits and expenses were $208,377,000, or 87.0% of total revenues, for the six months ended June 30, 2021, as compared to $169,603,000, or 85.5% of total revenues, for the comparable period in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Death benefits, surrenders and other policy benefits, and future policy benefits increased by an aggregate of $4,015,000 or 9.9%, to $46,560,000 for the six months ended June 30, 2021, from $42,545,000 for the comparable period in 2020. This increase was primarily the result of a $6,162,000 increase in death benefits (approximately $3,443,000 for COVID-19 related deaths). This increase was partially offset by a $1,987,000 decrease in future policy benefits and a $160,000 increase in surrender and other policy benefits.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both"/>
        <w:spacing w:after="0" w:line="263" w:lineRule="auto"/>
        <w:rPr>
          <w:sz w:val="20"/>
          <w:szCs w:val="20"/>
          <w:color w:val="auto"/>
        </w:rPr>
      </w:pPr>
      <w:r>
        <w:rPr>
          <w:rFonts w:ascii="Arial" w:cs="Arial" w:eastAsia="Arial" w:hAnsi="Arial"/>
          <w:sz w:val="18"/>
          <w:szCs w:val="18"/>
          <w:color w:val="auto"/>
        </w:rPr>
        <w:t>Amortization of deferred policy and pre-need acquisition costs and value of business acquired increased by $689,000, or 10.5%, to $7,231,000 for the six months ended June 30, 2021, from $6,542,000 for the comparable period in 2020. This increase was primarily due to an increase in the average outstanding balance of deferred policy and pre-need acquisition costs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$33,780,000, or 29.3%, to $149,093,000 for the six months ended June 30, 2021, from $115,313,000 for the comparable period in 2020. This increase was primarily the result of a $18,829,000 increase in commissions, a $9,442,000 increase in personnel expenses, a $2,601,000 increase in other expenses, a $1,342,000 increase in costs related to funding mortgage loans, a $1,163,000 increase in advertising expenses, and a $463,000 increase in rent and rent related expenses.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by $180,000, or 4.9%, to $3,520,000 for the six months ended June 30, 2021, from $3,700,000 for the comparable period in 2020. This decrease was primarily due to a $264,000 decrease in interest expense on bank loans. This decrease was partially offset by an increase of $84,000 in interest expense on mortgage warehouse lines for loans held for sale.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goods and services sold-mortuaries and cemeteries increased by $470,000, or 31.3%, to $1,973,000 for the six months ended June 30, 2021, from $1,502,000 for the comparable period in 2020. This increase was primarily due to a $240,000 increase in cemetery pre-need sales, a $150,000 increase in cemetery at-need sales, and a $80,000 increase in mortuary at-need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or sale of investments. The mortgage subsidiaries realize cash flow from fees generated by originating and refinancing mortgage loans, and fees earned from mortgage loans held for sale that are sold to investors into the secondary market.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and debt service, and to meet current operating expenses. It should be noted that current conditions in the financial markets and economy caused by the COVID-19 pandemic may affect the cash flows of the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and 2020, the Company's operations provided cash of $124,476,000 and used cash of $109,562,000, respectively. This increase was due primarily to sales of mortgage loans held for sale.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having to liquidate these long-term investments as a result of any sudden changes in their fair values.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that will persist during the expected duration of policyholder and cemetery and mortuary liabilities regardless of future interest rate movements.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jc w:val="both"/>
        <w:spacing w:after="0" w:line="271" w:lineRule="auto"/>
        <w:rPr>
          <w:sz w:val="20"/>
          <w:szCs w:val="20"/>
          <w:color w:val="auto"/>
        </w:rPr>
      </w:pPr>
      <w:r>
        <w:rPr>
          <w:rFonts w:ascii="Arial" w:cs="Arial" w:eastAsia="Arial" w:hAnsi="Arial"/>
          <w:sz w:val="17"/>
          <w:szCs w:val="17"/>
          <w:color w:val="auto"/>
        </w:rPr>
        <w:t>The Company’s investment policy is to invest predominantly in fixed maturity securities, real estate, mortgage loans, and warehousing of mortgage loans on a short-term basis before selling the loans to investors in accordance with the requirements and laws governing the life insurance subsidiaries. Bonds owned by the insurance subsidiaries and classified as fixed maturity securities available for sale carried at estimated fair value amounted to $260,675,000 (at estimated fair value) and $294,384,000 (at estimated fair value) as of June 30, 2021 and December 31, 2020, respectively. This represents 33.2% and 38.0% of the total investments as of June 30, 2021 and December 31, 2020, respectively. Generally, all bonds owned by the life insurance subsidiaries are rated by the National Association of Insurance Commissioners. Under this rating system, there are six categories used for rating bonds. At June 30, 2021, 4.2% (or $10,914,000) and at December 31, 2020,4.2% (or $12,418,000) of the Company’s total bond investments were invested in bonds in rating categories three through six, which were considered non-investment grade.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risk-based capital guidelines established by statutory regulators requiring minimum capital levels based on the perceived risk of assets, liabilities, disintermediation, and business risk. At June 30, 2021 and December 31, 2020, the life insurance subsidiaries were in compliance with the regulatory criteria.</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total capitalization of stockholders’ equity, bank and other loans payable was $517,821,000 as of June 30, 2021, as compared to $561,811,000 as of December 31, 2020. Stockholders’ equity as a percent of total capitalization was 55.2% and 47.0% as of June 30, 2021 and December 31, 2020,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Lapse rates measure the amount of insurance terminated during a particular period. The Company’s lapse rate for life insurance in 2020 was 5.9% as compared to a rate of 9.8% for 2019. The 2021 lapse rate to date has been approximately the same as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2021,the combined statutory capital and surplus of the Company’s life insurance subsidiaries was $76,532,000. The life insurance subsidiaries cannot pay a dividend to its parent company without approval of state insurance regulatory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2020, the outbreak of COVID-19 had spread worldwide and was declared a global pandemic by the World Health Organization on March 11, 2020. COVID-19 poses a threat to the health and economic well-being of the Company’s employees, customers, and vendors. The Company is closely monitoring developments relating to the COVID-19 pandemic and assessing its impact on the Company’s business. The continued uncertainty surrounding the COVID-19 pandemic has had and continues to have a major impact on the global economy and financial markets. Governments and businesses have taken numerous measures to try to contain the virus, which include the implementation of travel bans, self-imposed quarantine periods, and social distancing. These measures have disrupted and will continue to disrupt businesses globally. Governments and central banks have reacted with significant monetary and fiscal interventions designed to stabilize the economic conditions.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Like most businesses, COVID-19 has impacted the Company. However, the Company cannot, with any certainty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Company risks. These uncertainties have the potential to negatively affect the risk of credit default for the issuers of the Company’s fixed maturity debt securities and individual borrowers with mortgage loans held by the Company.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implemented risk management, business continuity plans and has taken preventive measures and other precautions, such as business travel restrictions and remote work arrangements. Such measures and precautions have enabled the Company to continue to conduct business.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2021,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June 30, 2021,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September 2018, the Board of Directors of the Company approved a Stock Repurchase Plan that authorized the repurchase of 300,000 shares of the Company's Class A Common Stock in the open market. The Stock Repurchase Plan was amended on December 4, 2020. The amendment authorized the repurchase of a total of 1,000,000 shares of the Company’s Class A Common Stock in the open market. The repurchased shares of Class A common stock will be held as treasury shares to be used as the Company's employer matching contribution to the Employee 401(k) Retirement Savings Plan.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Company's repurchase activity during the three months ended June 30, 2021 under the Stock Repurchase Plan.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4"/>
              </w:rPr>
              <w:t>(d) Maximum Number</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(c) Total Number of Class</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4"/>
              </w:rPr>
              <w:t>(or Approximate Dollar</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A Shares Purchased as</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89"/>
              </w:rPr>
              <w:t>Value) of Class A Shares</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Part of Publicly</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2"/>
              </w:rPr>
              <w:t>that May Yet Be</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(a) Total Number of Class A</w:t>
            </w:r>
          </w:p>
        </w:tc>
        <w:tc>
          <w:tcPr>
            <w:tcW w:w="236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(b) Average Price Paid per</w:t>
            </w:r>
          </w:p>
        </w:tc>
        <w:tc>
          <w:tcPr>
            <w:tcW w:w="220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Announced Plan or</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88"/>
              </w:rPr>
              <w:t>Purchased Under the Plan</w:t>
            </w:r>
          </w:p>
        </w:tc>
      </w:tr>
      <w:tr>
        <w:trPr>
          <w:trHeight w:val="230"/>
        </w:trPr>
        <w:tc>
          <w:tcPr>
            <w:tcW w:w="2400" w:type="dxa"/>
            <w:vAlign w:val="bottom"/>
            <w:gridSpan w:val="3"/>
          </w:tcPr>
          <w:p>
            <w:pPr>
              <w:ind w:left="800"/>
              <w:spacing w:after="0"/>
              <w:rPr>
                <w:sz w:val="20"/>
                <w:szCs w:val="20"/>
                <w:color w:val="auto"/>
              </w:rPr>
            </w:pPr>
            <w:r>
              <w:rPr>
                <w:rFonts w:ascii="Arial" w:cs="Arial" w:eastAsia="Arial" w:hAnsi="Arial"/>
                <w:sz w:val="18"/>
                <w:szCs w:val="18"/>
                <w:color w:val="auto"/>
              </w:rPr>
              <w:t>Period</w:t>
            </w:r>
          </w:p>
        </w:tc>
        <w:tc>
          <w:tcPr>
            <w:tcW w:w="2380" w:type="dxa"/>
            <w:vAlign w:val="bottom"/>
            <w:gridSpan w:val="3"/>
          </w:tcPr>
          <w:p>
            <w:pPr>
              <w:ind w:left="400"/>
              <w:spacing w:after="0"/>
              <w:rPr>
                <w:sz w:val="20"/>
                <w:szCs w:val="20"/>
                <w:color w:val="auto"/>
              </w:rPr>
            </w:pPr>
            <w:r>
              <w:rPr>
                <w:rFonts w:ascii="Arial" w:cs="Arial" w:eastAsia="Arial" w:hAnsi="Arial"/>
                <w:sz w:val="18"/>
                <w:szCs w:val="18"/>
                <w:color w:val="auto"/>
              </w:rPr>
              <w:t>Shares Purchased</w:t>
            </w:r>
          </w:p>
        </w:tc>
        <w:tc>
          <w:tcPr>
            <w:tcW w:w="300" w:type="dxa"/>
            <w:vAlign w:val="bottom"/>
          </w:tcPr>
          <w:p>
            <w:pPr>
              <w:spacing w:after="0"/>
              <w:rPr>
                <w:sz w:val="20"/>
                <w:szCs w:val="20"/>
                <w:color w:val="auto"/>
              </w:rPr>
            </w:pPr>
          </w:p>
        </w:tc>
        <w:tc>
          <w:tcPr>
            <w:tcW w:w="2060" w:type="dxa"/>
            <w:vAlign w:val="bottom"/>
            <w:gridSpan w:val="3"/>
          </w:tcPr>
          <w:p>
            <w:pPr>
              <w:jc w:val="center"/>
              <w:ind w:right="640"/>
              <w:spacing w:after="0"/>
              <w:rPr>
                <w:sz w:val="20"/>
                <w:szCs w:val="20"/>
                <w:color w:val="auto"/>
              </w:rPr>
            </w:pPr>
            <w:r>
              <w:rPr>
                <w:rFonts w:ascii="Arial" w:cs="Arial" w:eastAsia="Arial" w:hAnsi="Arial"/>
                <w:sz w:val="18"/>
                <w:szCs w:val="18"/>
                <w:color w:val="auto"/>
                <w:w w:val="88"/>
              </w:rPr>
              <w:t>Class A Share</w:t>
            </w:r>
          </w:p>
        </w:tc>
        <w:tc>
          <w:tcPr>
            <w:tcW w:w="220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Program</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1"/>
              </w:rPr>
              <w:t>or Program</w:t>
            </w:r>
          </w:p>
        </w:tc>
      </w:tr>
      <w:tr>
        <w:trPr>
          <w:trHeight w:val="209"/>
        </w:trPr>
        <w:tc>
          <w:tcPr>
            <w:tcW w:w="2060" w:type="dxa"/>
            <w:vAlign w:val="bottom"/>
            <w:tcBorders>
              <w:top w:val="single" w:sz="8" w:color="CDFFCC"/>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4/1/2021-4/30/2021</w:t>
            </w:r>
          </w:p>
        </w:tc>
        <w:tc>
          <w:tcPr>
            <w:tcW w:w="3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gridSpan w:val="2"/>
            <w:shd w:val="clear" w:color="auto" w:fill="CCEEFF"/>
          </w:tcPr>
          <w:p>
            <w:pPr>
              <w:jc w:val="center"/>
              <w:ind w:left="10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735,977</w:t>
            </w:r>
          </w:p>
        </w:tc>
      </w:tr>
      <w:tr>
        <w:trPr>
          <w:trHeight w:val="216"/>
        </w:trPr>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5/1/2021-5/31/2021</w:t>
            </w:r>
          </w:p>
        </w:tc>
        <w:tc>
          <w:tcPr>
            <w:tcW w:w="340" w:type="dxa"/>
            <w:vAlign w:val="bottom"/>
          </w:tcPr>
          <w:p>
            <w:pPr>
              <w:spacing w:after="0"/>
              <w:rPr>
                <w:sz w:val="18"/>
                <w:szCs w:val="18"/>
                <w:color w:val="auto"/>
              </w:rPr>
            </w:pPr>
          </w:p>
        </w:tc>
        <w:tc>
          <w:tcPr>
            <w:tcW w:w="2380" w:type="dxa"/>
            <w:vAlign w:val="bottom"/>
            <w:gridSpan w:val="3"/>
          </w:tcPr>
          <w:p>
            <w:pPr>
              <w:ind w:left="1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60" w:type="dxa"/>
            <w:vAlign w:val="bottom"/>
            <w:gridSpan w:val="3"/>
          </w:tcPr>
          <w:p>
            <w:pPr>
              <w:jc w:val="center"/>
              <w:ind w:left="750"/>
              <w:spacing w:after="0"/>
              <w:rPr>
                <w:sz w:val="20"/>
                <w:szCs w:val="20"/>
                <w:color w:val="auto"/>
              </w:rPr>
            </w:pPr>
            <w:r>
              <w:rPr>
                <w:rFonts w:ascii="Arial" w:cs="Arial" w:eastAsia="Arial" w:hAnsi="Arial"/>
                <w:sz w:val="18"/>
                <w:szCs w:val="18"/>
                <w:color w:val="auto"/>
                <w:w w:val="99"/>
              </w:rPr>
              <w:t>—</w:t>
            </w:r>
          </w:p>
        </w:tc>
        <w:tc>
          <w:tcPr>
            <w:tcW w:w="2200" w:type="dxa"/>
            <w:vAlign w:val="bottom"/>
            <w:gridSpan w:val="3"/>
          </w:tcPr>
          <w:p>
            <w:pPr>
              <w:ind w:left="15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735,977</w:t>
            </w:r>
          </w:p>
        </w:tc>
      </w:tr>
      <w:tr>
        <w:trPr>
          <w:trHeight w:val="216"/>
        </w:trPr>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6/1/2021-6/30/2021</w:t>
            </w:r>
          </w:p>
        </w:tc>
        <w:tc>
          <w:tcPr>
            <w:tcW w:w="3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15,000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91"/>
              </w:rPr>
              <w:t>8.07</w:t>
            </w:r>
          </w:p>
        </w:tc>
        <w:tc>
          <w:tcPr>
            <w:tcW w:w="3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720,977</w:t>
            </w:r>
          </w:p>
        </w:tc>
      </w:tr>
      <w:tr>
        <w:trPr>
          <w:trHeight w:val="210"/>
        </w:trPr>
        <w:tc>
          <w:tcPr>
            <w:tcW w:w="1940" w:type="dxa"/>
            <w:vAlign w:val="bottom"/>
            <w:tcBorders>
              <w:bottom w:val="single" w:sz="8" w:color="CDFFCC"/>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920" w:type="dxa"/>
            <w:vAlign w:val="bottom"/>
            <w:tcBorders>
              <w:top w:val="single" w:sz="8" w:color="auto"/>
              <w:bottom w:val="single" w:sz="8" w:color="CDFFCC"/>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DFFCC"/>
            </w:tcBorders>
          </w:tcPr>
          <w:p>
            <w:pPr>
              <w:spacing w:after="0"/>
              <w:rPr>
                <w:sz w:val="18"/>
                <w:szCs w:val="18"/>
                <w:color w:val="auto"/>
              </w:rPr>
            </w:pPr>
          </w:p>
        </w:tc>
        <w:tc>
          <w:tcPr>
            <w:tcW w:w="1620" w:type="dxa"/>
            <w:vAlign w:val="bottom"/>
            <w:tcBorders>
              <w:top w:val="single" w:sz="8" w:color="auto"/>
              <w:bottom w:val="single" w:sz="8" w:color="CDFFCC"/>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780" w:type="dxa"/>
            <w:vAlign w:val="bottom"/>
            <w:tcBorders>
              <w:top w:val="single" w:sz="8" w:color="auto"/>
              <w:bottom w:val="single" w:sz="8" w:color="CDFFCC"/>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00" w:type="dxa"/>
            <w:vAlign w:val="bottom"/>
            <w:tcBorders>
              <w:top w:val="single" w:sz="8" w:color="auto"/>
              <w:bottom w:val="single" w:sz="8" w:color="CDFFCC"/>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63"/>
        </w:trPr>
        <w:tc>
          <w:tcPr>
            <w:tcW w:w="1940" w:type="dxa"/>
            <w:vAlign w:val="bottom"/>
            <w:tcBorders>
              <w:bottom w:val="single" w:sz="8" w:color="CDFFCC"/>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83"/>
              </w:rPr>
              <w:t>15,000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center"/>
              <w:ind w:left="1210"/>
              <w:spacing w:after="0"/>
              <w:rPr>
                <w:sz w:val="20"/>
                <w:szCs w:val="20"/>
                <w:color w:val="auto"/>
              </w:rPr>
            </w:pPr>
            <w:r>
              <w:rPr>
                <w:rFonts w:ascii="Arial" w:cs="Arial" w:eastAsia="Arial" w:hAnsi="Arial"/>
                <w:sz w:val="18"/>
                <w:szCs w:val="18"/>
                <w:color w:val="auto"/>
                <w:w w:val="91"/>
              </w:rPr>
              <w:t>8.07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720,977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Financial Statements Schedules and Reports on Form 8-K.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of Contents – Part I – Financial Information” under page 2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 pursuant to Rule 601 of Regulation S-K or are incorporated by reference to previous filings.</w:t>
      </w:r>
    </w:p>
    <w:p>
      <w:pPr>
        <w:spacing w:after="0" w:line="225"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74">
        <w:r>
          <w:rPr>
            <w:rFonts w:ascii="Arial" w:cs="Arial" w:eastAsia="Arial" w:hAnsi="Arial"/>
            <w:sz w:val="16"/>
            <w:szCs w:val="16"/>
            <w:u w:val="single" w:color="auto"/>
            <w:color w:val="0000EE"/>
          </w:rPr>
          <w:t>Amended and Restated Articles of Incorporation (4)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76">
        <w:r>
          <w:rPr>
            <w:rFonts w:ascii="Arial" w:cs="Arial" w:eastAsia="Arial" w:hAnsi="Arial"/>
            <w:sz w:val="16"/>
            <w:szCs w:val="16"/>
            <w:u w:val="single" w:color="auto"/>
            <w:color w:val="0000EE"/>
          </w:rPr>
          <w:t>Amended and Restated Bylaws (7)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Class A Stock Certificate (1)</w:t>
      </w:r>
    </w:p>
    <w:p>
      <w:pPr>
        <w:spacing w:after="0" w:line="9"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Specimen Class C Stock Certificate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Specimen Preferred Stock Certificate and Certificate of Designation of Preferred Stock (1)</w:t>
      </w:r>
    </w:p>
    <w:p>
      <w:pPr>
        <w:spacing w:after="0" w:line="9"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Employee Stock Ownership Plan, as amended and restated (ESOP) and Trust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80">
        <w:r>
          <w:rPr>
            <w:rFonts w:ascii="Arial" w:cs="Arial" w:eastAsia="Arial" w:hAnsi="Arial"/>
            <w:sz w:val="16"/>
            <w:szCs w:val="16"/>
            <w:u w:val="single" w:color="auto"/>
            <w:color w:val="0000EE"/>
          </w:rPr>
          <w:t>Amended and Restated 2013 Stock Option and Other Equity Incentive Awards Plan (3)</w:t>
        </w:r>
      </w:hyperlink>
    </w:p>
    <w:p>
      <w:pPr>
        <w:spacing w:after="0" w:line="9"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81">
        <w:r>
          <w:rPr>
            <w:rFonts w:ascii="Arial" w:cs="Arial" w:eastAsia="Arial" w:hAnsi="Arial"/>
            <w:sz w:val="16"/>
            <w:szCs w:val="16"/>
            <w:u w:val="single" w:color="auto"/>
            <w:color w:val="0000EE"/>
          </w:rPr>
          <w:t>Amended and Restated 2014 Director Stock Option Plan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83">
        <w:r>
          <w:rPr>
            <w:rFonts w:ascii="Arial" w:cs="Arial" w:eastAsia="Arial" w:hAnsi="Arial"/>
            <w:sz w:val="16"/>
            <w:szCs w:val="16"/>
            <w:u w:val="single" w:color="auto"/>
            <w:color w:val="0000EE"/>
          </w:rPr>
          <w:t>Employment Agreement with Scott M. Quist (2)</w:t>
        </w:r>
      </w:hyperlink>
    </w:p>
    <w:p>
      <w:pPr>
        <w:spacing w:after="0" w:line="9" w:lineRule="exact"/>
        <w:rPr>
          <w:sz w:val="20"/>
          <w:szCs w:val="20"/>
          <w:color w:val="auto"/>
        </w:rPr>
      </w:pPr>
    </w:p>
    <w:p>
      <w:pPr>
        <w:ind w:left="120"/>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10.5</w:t>
      </w:r>
      <w:r>
        <w:rPr>
          <w:sz w:val="20"/>
          <w:szCs w:val="20"/>
          <w:color w:val="auto"/>
        </w:rPr>
        <w:tab/>
      </w:r>
      <w:hyperlink r:id="rId84">
        <w:r>
          <w:rPr>
            <w:rFonts w:ascii="Arial" w:cs="Arial" w:eastAsia="Arial" w:hAnsi="Arial"/>
            <w:sz w:val="15"/>
            <w:szCs w:val="15"/>
            <w:u w:val="single" w:color="auto"/>
            <w:color w:val="0000EE"/>
          </w:rPr>
          <w:t>Stock Repurchase Plan (5)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20"/>
        <w:spacing w:after="0"/>
        <w:rPr>
          <w:rFonts w:ascii="Arial" w:cs="Arial" w:eastAsia="Arial" w:hAnsi="Arial"/>
          <w:sz w:val="16"/>
          <w:szCs w:val="16"/>
          <w:u w:val="single" w:color="auto"/>
          <w:color w:val="0000EE"/>
        </w:rPr>
      </w:pPr>
      <w:hyperlink r:id="rId86">
        <w:r>
          <w:rPr>
            <w:rFonts w:ascii="Arial" w:cs="Arial" w:eastAsia="Arial" w:hAnsi="Arial"/>
            <w:sz w:val="16"/>
            <w:szCs w:val="16"/>
            <w:u w:val="single" w:color="auto"/>
            <w:color w:val="0000EE"/>
          </w:rPr>
          <w:t>Asset Purchase Agreement among SN Probst LLC, Probst Family Funerals and Cremations, L.L.C, Heber Valley Funeral Home, Inc., Joe T.</w:t>
        </w:r>
      </w:hyperlink>
    </w:p>
    <w:p>
      <w:pPr>
        <w:spacing w:after="0" w:line="32"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86">
        <w:r>
          <w:rPr>
            <w:rFonts w:ascii="Arial" w:cs="Arial" w:eastAsia="Arial" w:hAnsi="Arial"/>
            <w:sz w:val="16"/>
            <w:szCs w:val="16"/>
            <w:u w:val="single" w:color="auto"/>
            <w:color w:val="0000EE"/>
          </w:rPr>
          <w:t>Probst, Clinton Wayne Probst, Calle J. Probst, and Marsha J. Probst (6)</w:t>
        </w:r>
      </w:hyperlink>
    </w:p>
    <w:p>
      <w:pPr>
        <w:spacing w:after="0" w:line="9"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87">
        <w:r>
          <w:rPr>
            <w:rFonts w:ascii="Arial" w:cs="Arial" w:eastAsia="Arial" w:hAnsi="Arial"/>
            <w:sz w:val="16"/>
            <w:szCs w:val="16"/>
            <w:u w:val="single" w:color="auto"/>
            <w:color w:val="0000EE"/>
          </w:rPr>
          <w:t>Coinsurance Agreement between Kilpatrick Life Insurance Company and Security National Life Insurance Company (8)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20"/>
        <w:spacing w:after="0"/>
        <w:rPr>
          <w:rFonts w:ascii="Arial" w:cs="Arial" w:eastAsia="Arial" w:hAnsi="Arial"/>
          <w:sz w:val="17"/>
          <w:szCs w:val="17"/>
          <w:u w:val="single" w:color="auto"/>
          <w:color w:val="0000EE"/>
        </w:rPr>
      </w:pPr>
      <w:hyperlink r:id="rId89">
        <w:r>
          <w:rPr>
            <w:rFonts w:ascii="Arial" w:cs="Arial" w:eastAsia="Arial" w:hAnsi="Arial"/>
            <w:sz w:val="17"/>
            <w:szCs w:val="17"/>
            <w:u w:val="single" w:color="auto"/>
            <w:color w:val="0000EE"/>
          </w:rPr>
          <w:t>Stock Purchase Agreement among Security National Financial Corporation, Kilpatrick Life Insurance Company, and the Shareholders of</w:t>
        </w:r>
      </w:hyperlink>
    </w:p>
    <w:p>
      <w:pPr>
        <w:spacing w:after="0" w:line="21"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89">
        <w:r>
          <w:rPr>
            <w:rFonts w:ascii="Arial" w:cs="Arial" w:eastAsia="Arial" w:hAnsi="Arial"/>
            <w:sz w:val="16"/>
            <w:szCs w:val="16"/>
            <w:u w:val="single" w:color="auto"/>
            <w:color w:val="0000EE"/>
          </w:rPr>
          <w:t>Kilpatrick Life Insurance Company (8)</w:t>
        </w:r>
      </w:hyperlink>
    </w:p>
    <w:p>
      <w:pPr>
        <w:spacing w:after="0" w:line="9"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90">
        <w:r>
          <w:rPr>
            <w:rFonts w:ascii="Arial" w:cs="Arial" w:eastAsia="Arial" w:hAnsi="Arial"/>
            <w:sz w:val="16"/>
            <w:szCs w:val="16"/>
            <w:u w:val="single" w:color="auto"/>
            <w:color w:val="0000EE"/>
          </w:rPr>
          <w:t>Consolidated Statement of Assets Acquired and Liabilities Assumed at December 13, 2019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920" w:hanging="791"/>
        <w:spacing w:after="0"/>
        <w:tabs>
          <w:tab w:leader="none" w:pos="920" w:val="left"/>
        </w:tabs>
        <w:numPr>
          <w:ilvl w:val="0"/>
          <w:numId w:val="38"/>
        </w:numPr>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Code of Business Conduct and Ethics (7)</w:t>
        </w:r>
      </w:hyperlink>
    </w:p>
    <w:p>
      <w:pPr>
        <w:spacing w:after="0" w:line="9" w:lineRule="exact"/>
        <w:rPr>
          <w:sz w:val="20"/>
          <w:szCs w:val="20"/>
          <w:color w:val="auto"/>
        </w:rPr>
      </w:pPr>
    </w:p>
    <w:p>
      <w:pPr>
        <w:ind w:left="920" w:hanging="791"/>
        <w:spacing w:after="0"/>
        <w:tabs>
          <w:tab w:leader="none" w:pos="920" w:val="left"/>
        </w:tabs>
        <w:numPr>
          <w:ilvl w:val="0"/>
          <w:numId w:val="39"/>
        </w:numPr>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Subsidiaries of the Registrant</w:t>
        </w:r>
      </w:hyperlink>
    </w:p>
    <w:tbl>
      <w:tblPr>
        <w:tblLayout w:type="fixed"/>
        <w:tblInd w:w="0" w:type="dxa"/>
        <w:tblCellMar>
          <w:top w:w="0" w:type="dxa"/>
          <w:left w:w="0" w:type="dxa"/>
          <w:bottom w:w="0" w:type="dxa"/>
          <w:right w:w="0" w:type="dxa"/>
        </w:tblCellMar>
      </w:tblPr>
      <w:tr>
        <w:trPr>
          <w:trHeight w:val="185"/>
        </w:trPr>
        <w:tc>
          <w:tcPr>
            <w:tcW w:w="820" w:type="dxa"/>
            <w:vAlign w:val="bottom"/>
            <w:shd w:val="clear" w:color="auto" w:fill="CCEEFF"/>
          </w:tcPr>
          <w:p>
            <w:pPr>
              <w:ind w:left="120"/>
              <w:spacing w:after="0" w:line="184" w:lineRule="exact"/>
              <w:rPr>
                <w:sz w:val="20"/>
                <w:szCs w:val="20"/>
                <w:color w:val="auto"/>
              </w:rPr>
            </w:pPr>
            <w:r>
              <w:rPr>
                <w:rFonts w:ascii="Arial" w:cs="Arial" w:eastAsia="Arial" w:hAnsi="Arial"/>
                <w:sz w:val="18"/>
                <w:szCs w:val="18"/>
                <w:color w:val="auto"/>
              </w:rPr>
              <w:t>31.1</w:t>
            </w:r>
          </w:p>
        </w:tc>
        <w:tc>
          <w:tcPr>
            <w:tcW w:w="10420" w:type="dxa"/>
            <w:vAlign w:val="bottom"/>
            <w:gridSpan w:val="5"/>
            <w:shd w:val="clear" w:color="auto" w:fill="CCEEFF"/>
          </w:tcPr>
          <w:p>
            <w:pPr>
              <w:ind w:left="100"/>
              <w:spacing w:after="0" w:line="184" w:lineRule="exact"/>
              <w:rPr>
                <w:rFonts w:ascii="Arial" w:cs="Arial" w:eastAsia="Arial" w:hAnsi="Arial"/>
                <w:sz w:val="18"/>
                <w:szCs w:val="18"/>
                <w:color w:val="0000EE"/>
              </w:rPr>
            </w:pPr>
            <w:hyperlink r:id="rId94">
              <w:r>
                <w:rPr>
                  <w:rFonts w:ascii="Arial" w:cs="Arial" w:eastAsia="Arial" w:hAnsi="Arial"/>
                  <w:sz w:val="18"/>
                  <w:szCs w:val="18"/>
                  <w:color w:val="0000EE"/>
                </w:rPr>
                <w:t>Certification pursuant to 18 U.S.C. Section 1350, as enacted by Section 302 of the Sarbanes-Oxley Act of 2002</w:t>
              </w:r>
            </w:hyperlink>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60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tcPr>
          <w:p>
            <w:pPr>
              <w:ind w:left="120"/>
              <w:spacing w:after="0" w:line="176" w:lineRule="exact"/>
              <w:rPr>
                <w:sz w:val="20"/>
                <w:szCs w:val="20"/>
                <w:color w:val="auto"/>
              </w:rPr>
            </w:pPr>
            <w:r>
              <w:rPr>
                <w:rFonts w:ascii="Arial" w:cs="Arial" w:eastAsia="Arial" w:hAnsi="Arial"/>
                <w:sz w:val="18"/>
                <w:szCs w:val="18"/>
                <w:color w:val="auto"/>
              </w:rPr>
              <w:t>31.2</w:t>
            </w:r>
          </w:p>
        </w:tc>
        <w:tc>
          <w:tcPr>
            <w:tcW w:w="2100" w:type="dxa"/>
            <w:vAlign w:val="bottom"/>
            <w:gridSpan w:val="2"/>
          </w:tcPr>
          <w:p>
            <w:pPr>
              <w:ind w:left="100"/>
              <w:spacing w:after="0" w:line="17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Certification pursuant to 18</w:t>
              </w:r>
            </w:hyperlink>
          </w:p>
        </w:tc>
        <w:tc>
          <w:tcPr>
            <w:tcW w:w="8320" w:type="dxa"/>
            <w:vAlign w:val="bottom"/>
            <w:gridSpan w:val="3"/>
          </w:tcPr>
          <w:p>
            <w:pPr>
              <w:ind w:left="20"/>
              <w:spacing w:after="0" w:line="176" w:lineRule="exact"/>
              <w:rPr>
                <w:rFonts w:ascii="Arial" w:cs="Arial" w:eastAsia="Arial" w:hAnsi="Arial"/>
                <w:sz w:val="18"/>
                <w:szCs w:val="18"/>
                <w:color w:val="0000EE"/>
              </w:rPr>
            </w:pPr>
            <w:hyperlink r:id="rId95">
              <w:r>
                <w:rPr>
                  <w:rFonts w:ascii="Arial" w:cs="Arial" w:eastAsia="Arial" w:hAnsi="Arial"/>
                  <w:sz w:val="18"/>
                  <w:szCs w:val="18"/>
                  <w:color w:val="0000EE"/>
                </w:rPr>
                <w:t>U.S.C. Section 1350, as enacted by Section 302 of the Sarbanes-Oxley Act of 2002</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60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32.1</w:t>
            </w:r>
          </w:p>
        </w:tc>
        <w:tc>
          <w:tcPr>
            <w:tcW w:w="2100" w:type="dxa"/>
            <w:vAlign w:val="bottom"/>
            <w:gridSpan w:val="2"/>
            <w:shd w:val="clear" w:color="auto" w:fill="CCEEFF"/>
          </w:tcPr>
          <w:p>
            <w:pPr>
              <w:ind w:left="100"/>
              <w:spacing w:after="0" w:line="17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Certification pursuant to 18</w:t>
              </w:r>
            </w:hyperlink>
          </w:p>
        </w:tc>
        <w:tc>
          <w:tcPr>
            <w:tcW w:w="8320" w:type="dxa"/>
            <w:vAlign w:val="bottom"/>
            <w:gridSpan w:val="3"/>
            <w:shd w:val="clear" w:color="auto" w:fill="CCEEFF"/>
          </w:tcPr>
          <w:p>
            <w:pPr>
              <w:ind w:left="20"/>
              <w:spacing w:after="0" w:line="176" w:lineRule="exact"/>
              <w:rPr>
                <w:rFonts w:ascii="Arial" w:cs="Arial" w:eastAsia="Arial" w:hAnsi="Arial"/>
                <w:sz w:val="18"/>
                <w:szCs w:val="18"/>
                <w:color w:val="0000EE"/>
              </w:rPr>
            </w:pPr>
            <w:hyperlink r:id="rId96">
              <w:r>
                <w:rPr>
                  <w:rFonts w:ascii="Arial" w:cs="Arial" w:eastAsia="Arial" w:hAnsi="Arial"/>
                  <w:sz w:val="18"/>
                  <w:szCs w:val="18"/>
                  <w:color w:val="0000EE"/>
                </w:rPr>
                <w:t>U.S.C. Section 1350, as adopted pursuant to Section 906 of the Sarbanes-Oxley Act of 2002</w:t>
              </w:r>
            </w:hyperlink>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60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20" w:type="dxa"/>
            <w:vAlign w:val="bottom"/>
          </w:tcPr>
          <w:p>
            <w:pPr>
              <w:ind w:left="120"/>
              <w:spacing w:after="0" w:line="176" w:lineRule="exact"/>
              <w:rPr>
                <w:sz w:val="20"/>
                <w:szCs w:val="20"/>
                <w:color w:val="auto"/>
              </w:rPr>
            </w:pPr>
            <w:r>
              <w:rPr>
                <w:rFonts w:ascii="Arial" w:cs="Arial" w:eastAsia="Arial" w:hAnsi="Arial"/>
                <w:sz w:val="18"/>
                <w:szCs w:val="18"/>
                <w:color w:val="auto"/>
              </w:rPr>
              <w:t>32.2</w:t>
            </w:r>
          </w:p>
        </w:tc>
        <w:tc>
          <w:tcPr>
            <w:tcW w:w="2100" w:type="dxa"/>
            <w:vAlign w:val="bottom"/>
            <w:gridSpan w:val="2"/>
          </w:tcPr>
          <w:p>
            <w:pPr>
              <w:ind w:left="100"/>
              <w:spacing w:after="0" w:line="17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Certification pursuant to 18</w:t>
              </w:r>
            </w:hyperlink>
          </w:p>
        </w:tc>
        <w:tc>
          <w:tcPr>
            <w:tcW w:w="8320" w:type="dxa"/>
            <w:vAlign w:val="bottom"/>
            <w:gridSpan w:val="3"/>
          </w:tcPr>
          <w:p>
            <w:pPr>
              <w:ind w:left="20"/>
              <w:spacing w:after="0" w:line="176" w:lineRule="exact"/>
              <w:rPr>
                <w:rFonts w:ascii="Arial" w:cs="Arial" w:eastAsia="Arial" w:hAnsi="Arial"/>
                <w:sz w:val="18"/>
                <w:szCs w:val="18"/>
                <w:color w:val="0000EE"/>
              </w:rPr>
            </w:pPr>
            <w:hyperlink r:id="rId97">
              <w:r>
                <w:rPr>
                  <w:rFonts w:ascii="Arial" w:cs="Arial" w:eastAsia="Arial" w:hAnsi="Arial"/>
                  <w:sz w:val="18"/>
                  <w:szCs w:val="18"/>
                  <w:color w:val="0000EE"/>
                </w:rPr>
                <w:t>U.S.C. Section 1350, as adopted pursuant to Section 906 of the Sarbanes-Oxley Act of 2002</w:t>
              </w:r>
            </w:hyperlink>
          </w:p>
        </w:tc>
      </w:tr>
      <w:tr>
        <w:trPr>
          <w:trHeight w:val="21"/>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60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101.xml</w:t>
            </w:r>
          </w:p>
        </w:tc>
        <w:tc>
          <w:tcPr>
            <w:tcW w:w="2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Instance Document</w:t>
            </w:r>
          </w:p>
        </w:tc>
        <w:tc>
          <w:tcPr>
            <w:tcW w:w="6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820" w:type="dxa"/>
            <w:vAlign w:val="bottom"/>
          </w:tcPr>
          <w:p>
            <w:pPr>
              <w:ind w:left="120"/>
              <w:spacing w:after="0"/>
              <w:rPr>
                <w:sz w:val="20"/>
                <w:szCs w:val="20"/>
                <w:color w:val="auto"/>
              </w:rPr>
            </w:pPr>
            <w:r>
              <w:rPr>
                <w:rFonts w:ascii="Arial" w:cs="Arial" w:eastAsia="Arial" w:hAnsi="Arial"/>
                <w:sz w:val="18"/>
                <w:szCs w:val="18"/>
                <w:color w:val="auto"/>
              </w:rPr>
              <w:t>101.xsd</w:t>
            </w:r>
          </w:p>
        </w:tc>
        <w:tc>
          <w:tcPr>
            <w:tcW w:w="10420" w:type="dxa"/>
            <w:vAlign w:val="bottom"/>
            <w:gridSpan w:val="5"/>
          </w:tcPr>
          <w:p>
            <w:pPr>
              <w:ind w:left="100"/>
              <w:spacing w:after="0"/>
              <w:rPr>
                <w:sz w:val="20"/>
                <w:szCs w:val="20"/>
                <w:color w:val="auto"/>
              </w:rPr>
            </w:pPr>
            <w:r>
              <w:rPr>
                <w:rFonts w:ascii="Arial" w:cs="Arial" w:eastAsia="Arial" w:hAnsi="Arial"/>
                <w:sz w:val="18"/>
                <w:szCs w:val="18"/>
                <w:color w:val="auto"/>
              </w:rPr>
              <w:t>Taxonomy Extension Schema Document</w:t>
            </w:r>
          </w:p>
        </w:tc>
      </w:tr>
      <w:tr>
        <w:trPr>
          <w:trHeight w:val="216"/>
        </w:trPr>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101.cal</w:t>
            </w:r>
          </w:p>
        </w:tc>
        <w:tc>
          <w:tcPr>
            <w:tcW w:w="1042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Taxonomy Extension Calculation Linkbase Document</w:t>
            </w:r>
          </w:p>
        </w:tc>
      </w:tr>
      <w:tr>
        <w:trPr>
          <w:trHeight w:val="216"/>
        </w:trPr>
        <w:tc>
          <w:tcPr>
            <w:tcW w:w="820" w:type="dxa"/>
            <w:vAlign w:val="bottom"/>
          </w:tcPr>
          <w:p>
            <w:pPr>
              <w:ind w:left="120"/>
              <w:spacing w:after="0"/>
              <w:rPr>
                <w:sz w:val="20"/>
                <w:szCs w:val="20"/>
                <w:color w:val="auto"/>
              </w:rPr>
            </w:pPr>
            <w:r>
              <w:rPr>
                <w:rFonts w:ascii="Arial" w:cs="Arial" w:eastAsia="Arial" w:hAnsi="Arial"/>
                <w:sz w:val="18"/>
                <w:szCs w:val="18"/>
                <w:color w:val="auto"/>
              </w:rPr>
              <w:t>101.def</w:t>
            </w:r>
          </w:p>
        </w:tc>
        <w:tc>
          <w:tcPr>
            <w:tcW w:w="10420" w:type="dxa"/>
            <w:vAlign w:val="bottom"/>
            <w:gridSpan w:val="5"/>
          </w:tcPr>
          <w:p>
            <w:pPr>
              <w:ind w:left="100"/>
              <w:spacing w:after="0"/>
              <w:rPr>
                <w:sz w:val="20"/>
                <w:szCs w:val="20"/>
                <w:color w:val="auto"/>
              </w:rPr>
            </w:pPr>
            <w:r>
              <w:rPr>
                <w:rFonts w:ascii="Arial" w:cs="Arial" w:eastAsia="Arial" w:hAnsi="Arial"/>
                <w:sz w:val="18"/>
                <w:szCs w:val="18"/>
                <w:color w:val="auto"/>
              </w:rPr>
              <w:t>Taxonomy Extension Definition Linkbase Document</w:t>
            </w:r>
          </w:p>
        </w:tc>
      </w:tr>
      <w:tr>
        <w:trPr>
          <w:trHeight w:val="216"/>
        </w:trPr>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101.lab</w:t>
            </w:r>
          </w:p>
        </w:tc>
        <w:tc>
          <w:tcPr>
            <w:tcW w:w="1042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Taxonomy Extension Label Linkbase Document</w:t>
            </w:r>
          </w:p>
        </w:tc>
      </w:tr>
      <w:tr>
        <w:trPr>
          <w:trHeight w:val="230"/>
        </w:trPr>
        <w:tc>
          <w:tcPr>
            <w:tcW w:w="820" w:type="dxa"/>
            <w:vAlign w:val="bottom"/>
          </w:tcPr>
          <w:p>
            <w:pPr>
              <w:ind w:left="120"/>
              <w:spacing w:after="0"/>
              <w:rPr>
                <w:sz w:val="20"/>
                <w:szCs w:val="20"/>
                <w:color w:val="auto"/>
              </w:rPr>
            </w:pPr>
            <w:r>
              <w:rPr>
                <w:rFonts w:ascii="Arial" w:cs="Arial" w:eastAsia="Arial" w:hAnsi="Arial"/>
                <w:sz w:val="18"/>
                <w:szCs w:val="18"/>
                <w:color w:val="auto"/>
              </w:rPr>
              <w:t>101.pre</w:t>
            </w:r>
          </w:p>
        </w:tc>
        <w:tc>
          <w:tcPr>
            <w:tcW w:w="10420" w:type="dxa"/>
            <w:vAlign w:val="bottom"/>
            <w:gridSpan w:val="5"/>
          </w:tcPr>
          <w:p>
            <w:pPr>
              <w:ind w:left="100"/>
              <w:spacing w:after="0"/>
              <w:rPr>
                <w:sz w:val="20"/>
                <w:szCs w:val="20"/>
                <w:color w:val="auto"/>
              </w:rPr>
            </w:pPr>
            <w:r>
              <w:rPr>
                <w:rFonts w:ascii="Arial" w:cs="Arial" w:eastAsia="Arial" w:hAnsi="Arial"/>
                <w:sz w:val="18"/>
                <w:szCs w:val="18"/>
                <w:color w:val="auto"/>
              </w:rPr>
              <w:t>Taxonomy Extension Presentation Linkbase Document</w:t>
            </w:r>
          </w:p>
        </w:tc>
      </w:tr>
    </w:tbl>
    <w:p>
      <w:pPr>
        <w:spacing w:after="0" w:line="200" w:lineRule="exact"/>
        <w:rPr>
          <w:sz w:val="20"/>
          <w:szCs w:val="20"/>
          <w:color w:val="auto"/>
        </w:rPr>
      </w:pPr>
    </w:p>
    <w:p>
      <w:pPr>
        <w:spacing w:after="0" w:line="203"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S-1, as filed on June 29, 1987</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2015</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15,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from Report on Form 10-K, as filed on March 31, 2017</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2018</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February 27, 2019</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May 15, 2019</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November 12, 2019</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from Report on Form 8-K/A, as filed on February 26,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14, 2020</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0" w:type="dxa"/>
            <w:vAlign w:val="bottom"/>
            <w:gridSpan w:val="4"/>
          </w:tcPr>
          <w:p>
            <w:pPr>
              <w:jc w:val="center"/>
              <w:ind w:right="4840"/>
              <w:spacing w:after="0"/>
              <w:rPr>
                <w:sz w:val="20"/>
                <w:szCs w:val="20"/>
                <w:color w:val="auto"/>
              </w:rPr>
            </w:pPr>
            <w:r>
              <w:rPr>
                <w:rFonts w:ascii="Arial" w:cs="Arial" w:eastAsia="Arial" w:hAnsi="Arial"/>
                <w:sz w:val="18"/>
                <w:szCs w:val="18"/>
                <w:color w:val="auto"/>
                <w:w w:val="96"/>
              </w:rPr>
              <w:t>REGISTRANT</w:t>
            </w:r>
          </w:p>
        </w:tc>
      </w:tr>
      <w:tr>
        <w:trPr>
          <w:trHeight w:val="391"/>
        </w:trPr>
        <w:tc>
          <w:tcPr>
            <w:tcW w:w="3580" w:type="dxa"/>
            <w:vAlign w:val="bottom"/>
          </w:tcPr>
          <w:p>
            <w:pPr>
              <w:spacing w:after="0"/>
              <w:rPr>
                <w:sz w:val="24"/>
                <w:szCs w:val="24"/>
                <w:color w:val="auto"/>
              </w:rPr>
            </w:pPr>
          </w:p>
        </w:tc>
        <w:tc>
          <w:tcPr>
            <w:tcW w:w="7660" w:type="dxa"/>
            <w:vAlign w:val="bottom"/>
            <w:gridSpan w:val="5"/>
          </w:tcPr>
          <w:p>
            <w:pPr>
              <w:jc w:val="center"/>
              <w:ind w:right="3580"/>
              <w:spacing w:after="0"/>
              <w:rPr>
                <w:sz w:val="20"/>
                <w:szCs w:val="20"/>
                <w:color w:val="auto"/>
              </w:rPr>
            </w:pPr>
            <w:r>
              <w:rPr>
                <w:rFonts w:ascii="Arial" w:cs="Arial" w:eastAsia="Arial" w:hAnsi="Arial"/>
                <w:sz w:val="18"/>
                <w:szCs w:val="18"/>
                <w:color w:val="auto"/>
                <w:w w:val="96"/>
              </w:rPr>
              <w:t>SECURITY NATIONAL FINANCIAL CORPORATION</w:t>
            </w:r>
          </w:p>
        </w:tc>
      </w:tr>
      <w:tr>
        <w:trPr>
          <w:trHeight w:val="237"/>
        </w:trPr>
        <w:tc>
          <w:tcPr>
            <w:tcW w:w="358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820" w:type="dxa"/>
            <w:vAlign w:val="bottom"/>
            <w:tcBorders>
              <w:top w:val="single" w:sz="8" w:color="auto"/>
            </w:tcBorders>
            <w:gridSpan w:val="3"/>
          </w:tcPr>
          <w:p>
            <w:pPr>
              <w:jc w:val="center"/>
              <w:ind w:right="1260"/>
              <w:spacing w:after="0"/>
              <w:rPr>
                <w:sz w:val="20"/>
                <w:szCs w:val="20"/>
                <w:color w:val="auto"/>
              </w:rPr>
            </w:pPr>
            <w:r>
              <w:rPr>
                <w:rFonts w:ascii="Arial" w:cs="Arial" w:eastAsia="Arial" w:hAnsi="Arial"/>
                <w:sz w:val="18"/>
                <w:szCs w:val="18"/>
                <w:color w:val="auto"/>
                <w:w w:val="87"/>
              </w:rPr>
              <w:t>Registrant</w:t>
            </w:r>
          </w:p>
        </w:tc>
        <w:tc>
          <w:tcPr>
            <w:tcW w:w="3580" w:type="dxa"/>
            <w:vAlign w:val="bottom"/>
          </w:tcPr>
          <w:p>
            <w:pPr>
              <w:spacing w:after="0"/>
              <w:rPr>
                <w:sz w:val="20"/>
                <w:szCs w:val="20"/>
                <w:color w:val="auto"/>
              </w:rPr>
            </w:pPr>
          </w:p>
        </w:tc>
      </w:tr>
      <w:tr>
        <w:trPr>
          <w:trHeight w:val="608"/>
        </w:trPr>
        <w:tc>
          <w:tcPr>
            <w:tcW w:w="3580" w:type="dxa"/>
            <w:vAlign w:val="bottom"/>
          </w:tcPr>
          <w:p>
            <w:pPr>
              <w:ind w:left="100"/>
              <w:spacing w:after="0"/>
              <w:rPr>
                <w:sz w:val="20"/>
                <w:szCs w:val="20"/>
                <w:color w:val="auto"/>
              </w:rPr>
            </w:pPr>
            <w:r>
              <w:rPr>
                <w:rFonts w:ascii="Arial" w:cs="Arial" w:eastAsia="Arial" w:hAnsi="Arial"/>
                <w:sz w:val="18"/>
                <w:szCs w:val="18"/>
                <w:color w:val="auto"/>
              </w:rPr>
              <w:t>Dated: August 16, 2021</w:t>
            </w:r>
          </w:p>
        </w:tc>
        <w:tc>
          <w:tcPr>
            <w:tcW w:w="1260" w:type="dxa"/>
            <w:vAlign w:val="bottom"/>
          </w:tcPr>
          <w:p>
            <w:pPr>
              <w:spacing w:after="0"/>
              <w:rPr>
                <w:sz w:val="24"/>
                <w:szCs w:val="24"/>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/s/ Scott M. Quist</w:t>
            </w:r>
          </w:p>
        </w:tc>
      </w:tr>
      <w:tr>
        <w:trPr>
          <w:trHeight w:val="222"/>
        </w:trPr>
        <w:tc>
          <w:tcPr>
            <w:tcW w:w="3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Scott M. Quist</w:t>
            </w:r>
          </w:p>
        </w:tc>
        <w:tc>
          <w:tcPr>
            <w:tcW w:w="5180" w:type="dxa"/>
            <w:vAlign w:val="bottom"/>
            <w:gridSpan w:val="2"/>
          </w:tcPr>
          <w:p>
            <w:pPr>
              <w:spacing w:after="0"/>
              <w:rPr>
                <w:sz w:val="19"/>
                <w:szCs w:val="19"/>
                <w:color w:val="auto"/>
              </w:rPr>
            </w:pPr>
          </w:p>
        </w:tc>
      </w:tr>
      <w:tr>
        <w:trPr>
          <w:trHeight w:val="216"/>
        </w:trPr>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(Principal Executive Officer)</w:t>
            </w:r>
          </w:p>
        </w:tc>
      </w:tr>
      <w:tr>
        <w:trPr>
          <w:trHeight w:val="608"/>
        </w:trPr>
        <w:tc>
          <w:tcPr>
            <w:tcW w:w="3580" w:type="dxa"/>
            <w:vAlign w:val="bottom"/>
          </w:tcPr>
          <w:p>
            <w:pPr>
              <w:ind w:left="100"/>
              <w:spacing w:after="0"/>
              <w:rPr>
                <w:sz w:val="20"/>
                <w:szCs w:val="20"/>
                <w:color w:val="auto"/>
              </w:rPr>
            </w:pPr>
            <w:r>
              <w:rPr>
                <w:rFonts w:ascii="Arial" w:cs="Arial" w:eastAsia="Arial" w:hAnsi="Arial"/>
                <w:sz w:val="18"/>
                <w:szCs w:val="18"/>
                <w:color w:val="auto"/>
              </w:rPr>
              <w:t>Dated: August 16, 2021</w:t>
            </w:r>
          </w:p>
        </w:tc>
        <w:tc>
          <w:tcPr>
            <w:tcW w:w="1260" w:type="dxa"/>
            <w:vAlign w:val="bottom"/>
          </w:tcPr>
          <w:p>
            <w:pPr>
              <w:spacing w:after="0"/>
              <w:rPr>
                <w:sz w:val="24"/>
                <w:szCs w:val="24"/>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/s/ Garrett S. Sill</w:t>
            </w:r>
          </w:p>
        </w:tc>
      </w:tr>
      <w:tr>
        <w:trPr>
          <w:trHeight w:val="222"/>
        </w:trPr>
        <w:tc>
          <w:tcPr>
            <w:tcW w:w="3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Garrett S. Sill</w:t>
            </w:r>
          </w:p>
        </w:tc>
        <w:tc>
          <w:tcPr>
            <w:tcW w:w="5240" w:type="dxa"/>
            <w:vAlign w:val="bottom"/>
            <w:gridSpan w:val="3"/>
          </w:tcPr>
          <w:p>
            <w:pPr>
              <w:spacing w:after="0"/>
              <w:rPr>
                <w:sz w:val="19"/>
                <w:szCs w:val="19"/>
                <w:color w:val="auto"/>
              </w:rPr>
            </w:pPr>
          </w:p>
        </w:tc>
      </w:tr>
      <w:tr>
        <w:trPr>
          <w:trHeight w:val="216"/>
        </w:trPr>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756"/>
        </w:trPr>
        <w:tc>
          <w:tcPr>
            <w:tcW w:w="35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center"/>
              <w:ind w:left="1590"/>
              <w:spacing w:after="0"/>
              <w:rPr>
                <w:sz w:val="20"/>
                <w:szCs w:val="20"/>
                <w:color w:val="auto"/>
              </w:rPr>
            </w:pPr>
            <w:r>
              <w:rPr>
                <w:rFonts w:ascii="Arial" w:cs="Arial" w:eastAsia="Arial" w:hAnsi="Arial"/>
                <w:sz w:val="18"/>
                <w:szCs w:val="18"/>
                <w:color w:val="auto"/>
                <w:w w:val="89"/>
              </w:rPr>
              <w:t>63</w:t>
            </w: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jc w:val="center"/>
        <w:ind w:right="-1020"/>
        <w:spacing w:after="0"/>
        <w:rPr>
          <w:sz w:val="20"/>
          <w:szCs w:val="20"/>
          <w:color w:val="auto"/>
        </w:rPr>
      </w:pPr>
      <w:r>
        <w:rPr>
          <w:rFonts w:ascii="Arial" w:cs="Arial" w:eastAsia="Arial" w:hAnsi="Arial"/>
          <w:sz w:val="18"/>
          <w:szCs w:val="18"/>
          <w:color w:val="auto"/>
        </w:rPr>
        <w:t>EXHIBIT 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Subsidiaries of Security National Financial Corporation</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of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Life Insurance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Security National Life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Reppond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Bluebonnet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Kilpatrick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Insurance Company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Diamond LLC</w:t>
      </w:r>
    </w:p>
    <w:p>
      <w:pPr>
        <w:spacing w:after="0" w:line="9" w:lineRule="exact"/>
        <w:rPr>
          <w:sz w:val="20"/>
          <w:szCs w:val="20"/>
          <w:color w:val="auto"/>
        </w:rPr>
      </w:pPr>
    </w:p>
    <w:p>
      <w:pPr>
        <w:ind w:right="3439"/>
        <w:spacing w:after="0" w:line="250" w:lineRule="auto"/>
        <w:rPr>
          <w:sz w:val="20"/>
          <w:szCs w:val="20"/>
          <w:color w:val="auto"/>
        </w:rPr>
      </w:pPr>
      <w:r>
        <w:rPr>
          <w:rFonts w:ascii="Arial" w:cs="Arial" w:eastAsia="Arial" w:hAnsi="Arial"/>
          <w:sz w:val="18"/>
          <w:szCs w:val="18"/>
          <w:color w:val="auto"/>
        </w:rPr>
        <w:t>Security National Real Estate Services, Inc. also dba Security National Commercial Capital Marketing Source Center, Inc. dba Security National Travel Services SNFC Subsidiary,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SNA-Venture LLC</w:t>
      </w:r>
    </w:p>
    <w:p>
      <w:pPr>
        <w:spacing w:after="0" w:line="9" w:lineRule="exact"/>
        <w:rPr>
          <w:sz w:val="20"/>
          <w:szCs w:val="20"/>
          <w:color w:val="auto"/>
        </w:rPr>
      </w:pPr>
    </w:p>
    <w:p>
      <w:pPr>
        <w:ind w:right="1999"/>
        <w:spacing w:after="0" w:line="253" w:lineRule="auto"/>
        <w:rPr>
          <w:sz w:val="20"/>
          <w:szCs w:val="20"/>
          <w:color w:val="auto"/>
        </w:rPr>
      </w:pPr>
      <w:r>
        <w:rPr>
          <w:rFonts w:ascii="Arial" w:cs="Arial" w:eastAsia="Arial" w:hAnsi="Arial"/>
          <w:sz w:val="18"/>
          <w:szCs w:val="18"/>
          <w:color w:val="auto"/>
        </w:rPr>
        <w:t>SNA-AM LLC, SNA-AS LLC, SNA-DM LLC, SNA-GV LLC, SNA-MB LLC, SNA-MM LLC, SNA-MV LLC, SNA-MV2 LLC, SNA-RP LLC, SNA-SE LLC, SNA-SP LLC, SNA-SP2 LLC, SNA-SR LLC, SNA-ST LLC, SNA-SW LLC, SNA-TC LLC, SNA-TM LLC, SNA-TR LLC, SNA-VR LLC, SNA-WC LLC, SNA-WF LLC, SNA-WL LLC, SNCH Venture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Mortgage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SecurityNational Mortgage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Sunset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Cemetery/Mortuary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California Memorial Estates,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Holladay Cottonwood Memorial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Estates,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Silver Creek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Probst LLC</w:t>
      </w:r>
    </w:p>
    <w:p>
      <w:pPr>
        <w:sectPr>
          <w:pgSz w:w="11900" w:h="16838" w:orient="portrait"/>
          <w:cols w:equalWidth="0" w:num="1">
            <w:col w:w="10039"/>
          </w:cols>
          <w:pgMar w:left="420" w:top="125" w:right="1440"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10-Q of Security National Financial Corporation;</w:t>
      </w:r>
    </w:p>
    <w:p>
      <w:pPr>
        <w:spacing w:after="0" w:line="225" w:lineRule="exact"/>
        <w:rPr>
          <w:rFonts w:ascii="Arial" w:cs="Arial" w:eastAsia="Arial" w:hAnsi="Arial"/>
          <w:sz w:val="18"/>
          <w:szCs w:val="18"/>
          <w:color w:val="auto"/>
        </w:rPr>
      </w:pPr>
    </w:p>
    <w:p>
      <w:pPr>
        <w:ind w:firstLine="8"/>
        <w:spacing w:after="0" w:line="342" w:lineRule="auto"/>
        <w:tabs>
          <w:tab w:leader="none" w:pos="177"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40"/>
        <w:spacing w:after="0" w:line="263" w:lineRule="auto"/>
        <w:tabs>
          <w:tab w:leader="none" w:pos="1019" w:val="left"/>
        </w:tabs>
        <w:numPr>
          <w:ilvl w:val="2"/>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75" w:lineRule="exact"/>
        <w:rPr>
          <w:rFonts w:ascii="Arial" w:cs="Arial" w:eastAsia="Arial" w:hAnsi="Arial"/>
          <w:sz w:val="18"/>
          <w:szCs w:val="18"/>
          <w:color w:val="auto"/>
        </w:rPr>
      </w:pPr>
    </w:p>
    <w:p>
      <w:pPr>
        <w:jc w:val="both"/>
        <w:ind w:firstLine="440"/>
        <w:spacing w:after="0" w:line="263" w:lineRule="auto"/>
        <w:tabs>
          <w:tab w:leader="none" w:pos="1135" w:val="left"/>
        </w:tabs>
        <w:numPr>
          <w:ilvl w:val="2"/>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20" w:firstLine="440"/>
        <w:spacing w:after="0" w:line="308" w:lineRule="auto"/>
        <w:tabs>
          <w:tab w:leader="none" w:pos="1163" w:val="left"/>
        </w:tabs>
        <w:numPr>
          <w:ilvl w:val="2"/>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firstLine="440"/>
        <w:spacing w:after="0" w:line="263" w:lineRule="auto"/>
        <w:tabs>
          <w:tab w:leader="none" w:pos="1026" w:val="left"/>
        </w:tabs>
        <w:numPr>
          <w:ilvl w:val="2"/>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8"/>
        <w:spacing w:after="0" w:line="308" w:lineRule="auto"/>
        <w:tabs>
          <w:tab w:leader="none" w:pos="19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413"/>
        <w:spacing w:after="0" w:line="277" w:lineRule="auto"/>
        <w:tabs>
          <w:tab w:leader="none" w:pos="9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413"/>
        <w:spacing w:after="0" w:line="277" w:lineRule="auto"/>
        <w:tabs>
          <w:tab w:leader="none" w:pos="99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1600" w:type="dxa"/>
        <w:tblCellMar>
          <w:top w:w="0" w:type="dxa"/>
          <w:left w:w="0" w:type="dxa"/>
          <w:bottom w:w="0" w:type="dxa"/>
          <w:right w:w="0" w:type="dxa"/>
        </w:tblCellMar>
      </w:tblPr>
      <w:tr>
        <w:trPr>
          <w:trHeight w:val="207"/>
        </w:trPr>
        <w:tc>
          <w:tcPr>
            <w:tcW w:w="3240" w:type="dxa"/>
            <w:vAlign w:val="bottom"/>
          </w:tcPr>
          <w:p>
            <w:pPr>
              <w:spacing w:after="0"/>
              <w:rPr>
                <w:sz w:val="20"/>
                <w:szCs w:val="20"/>
                <w:color w:val="auto"/>
              </w:rPr>
            </w:pPr>
            <w:r>
              <w:rPr>
                <w:rFonts w:ascii="Arial" w:cs="Arial" w:eastAsia="Arial" w:hAnsi="Arial"/>
                <w:sz w:val="18"/>
                <w:szCs w:val="18"/>
                <w:color w:val="auto"/>
              </w:rPr>
              <w:t>Dated: August 16, 2021</w:t>
            </w:r>
          </w:p>
        </w:tc>
        <w:tc>
          <w:tcPr>
            <w:tcW w:w="3460" w:type="dxa"/>
            <w:vAlign w:val="bottom"/>
            <w:gridSpan w:val="2"/>
          </w:tcPr>
          <w:p>
            <w:pPr>
              <w:spacing w:after="0"/>
              <w:rPr>
                <w:sz w:val="20"/>
                <w:szCs w:val="20"/>
                <w:color w:val="auto"/>
              </w:rPr>
            </w:pPr>
            <w:r>
              <w:rPr>
                <w:rFonts w:ascii="Arial" w:cs="Arial" w:eastAsia="Arial" w:hAnsi="Arial"/>
                <w:sz w:val="18"/>
                <w:szCs w:val="18"/>
                <w:color w:val="auto"/>
              </w:rPr>
              <w:t>/s/ Scott M. Quist</w:t>
            </w:r>
          </w:p>
        </w:tc>
      </w:tr>
      <w:tr>
        <w:trPr>
          <w:trHeight w:val="222"/>
        </w:trPr>
        <w:tc>
          <w:tcPr>
            <w:tcW w:w="3240" w:type="dxa"/>
            <w:vAlign w:val="bottom"/>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M. Quist</w:t>
            </w:r>
          </w:p>
        </w:tc>
        <w:tc>
          <w:tcPr>
            <w:tcW w:w="2240" w:type="dxa"/>
            <w:vAlign w:val="bottom"/>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w w:val="88"/>
              </w:rPr>
              <w:t>Chairman, President and Chief Executive Officer</w:t>
            </w:r>
          </w:p>
        </w:tc>
      </w:tr>
      <w:tr>
        <w:trPr>
          <w:trHeight w:val="230"/>
        </w:trPr>
        <w:tc>
          <w:tcPr>
            <w:tcW w:w="324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5" w:right="33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report on Form 10-Q of Security National Financial Corporation;</w:t>
      </w:r>
    </w:p>
    <w:p>
      <w:pPr>
        <w:spacing w:after="0" w:line="225" w:lineRule="exact"/>
        <w:rPr>
          <w:rFonts w:ascii="Arial" w:cs="Arial" w:eastAsia="Arial" w:hAnsi="Arial"/>
          <w:sz w:val="18"/>
          <w:szCs w:val="18"/>
          <w:color w:val="auto"/>
        </w:rPr>
      </w:pPr>
    </w:p>
    <w:p>
      <w:pPr>
        <w:ind w:firstLine="8"/>
        <w:spacing w:after="0" w:line="342" w:lineRule="auto"/>
        <w:tabs>
          <w:tab w:leader="none" w:pos="177"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40"/>
        <w:spacing w:after="0" w:line="263" w:lineRule="auto"/>
        <w:tabs>
          <w:tab w:leader="none" w:pos="1019" w:val="left"/>
        </w:tabs>
        <w:numPr>
          <w:ilvl w:val="2"/>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83" w:lineRule="exact"/>
        <w:rPr>
          <w:rFonts w:ascii="Arial" w:cs="Arial" w:eastAsia="Arial" w:hAnsi="Arial"/>
          <w:sz w:val="18"/>
          <w:szCs w:val="18"/>
          <w:color w:val="auto"/>
        </w:rPr>
      </w:pPr>
    </w:p>
    <w:p>
      <w:pPr>
        <w:jc w:val="both"/>
        <w:ind w:firstLine="440"/>
        <w:spacing w:after="0" w:line="263" w:lineRule="auto"/>
        <w:tabs>
          <w:tab w:leader="none" w:pos="1135" w:val="left"/>
        </w:tabs>
        <w:numPr>
          <w:ilvl w:val="2"/>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440"/>
        <w:spacing w:after="0" w:line="308" w:lineRule="auto"/>
        <w:tabs>
          <w:tab w:leader="none" w:pos="1163" w:val="left"/>
        </w:tabs>
        <w:numPr>
          <w:ilvl w:val="2"/>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firstLine="440"/>
        <w:spacing w:after="0" w:line="263" w:lineRule="auto"/>
        <w:tabs>
          <w:tab w:leader="none" w:pos="1026" w:val="left"/>
        </w:tabs>
        <w:numPr>
          <w:ilvl w:val="2"/>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8"/>
        <w:spacing w:after="0" w:line="308" w:lineRule="auto"/>
        <w:tabs>
          <w:tab w:leader="none" w:pos="19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413"/>
        <w:spacing w:after="0" w:line="277"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413"/>
        <w:spacing w:after="0" w:line="277" w:lineRule="auto"/>
        <w:tabs>
          <w:tab w:leader="none" w:pos="99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1600" w:type="dxa"/>
        <w:tblCellMar>
          <w:top w:w="0" w:type="dxa"/>
          <w:left w:w="0" w:type="dxa"/>
          <w:bottom w:w="0" w:type="dxa"/>
          <w:right w:w="0" w:type="dxa"/>
        </w:tblCellMar>
      </w:tblPr>
      <w:tr>
        <w:trPr>
          <w:trHeight w:val="207"/>
        </w:trPr>
        <w:tc>
          <w:tcPr>
            <w:tcW w:w="3240" w:type="dxa"/>
            <w:vAlign w:val="bottom"/>
          </w:tcPr>
          <w:p>
            <w:pPr>
              <w:spacing w:after="0"/>
              <w:rPr>
                <w:sz w:val="20"/>
                <w:szCs w:val="20"/>
                <w:color w:val="auto"/>
              </w:rPr>
            </w:pPr>
            <w:r>
              <w:rPr>
                <w:rFonts w:ascii="Arial" w:cs="Arial" w:eastAsia="Arial" w:hAnsi="Arial"/>
                <w:sz w:val="18"/>
                <w:szCs w:val="18"/>
                <w:color w:val="auto"/>
              </w:rPr>
              <w:t>Dated: August 16, 2021</w:t>
            </w:r>
          </w:p>
        </w:tc>
        <w:tc>
          <w:tcPr>
            <w:tcW w:w="4380" w:type="dxa"/>
            <w:vAlign w:val="bottom"/>
            <w:gridSpan w:val="2"/>
          </w:tcPr>
          <w:p>
            <w:pPr>
              <w:spacing w:after="0"/>
              <w:rPr>
                <w:sz w:val="20"/>
                <w:szCs w:val="20"/>
                <w:color w:val="auto"/>
              </w:rPr>
            </w:pPr>
            <w:r>
              <w:rPr>
                <w:rFonts w:ascii="Arial" w:cs="Arial" w:eastAsia="Arial" w:hAnsi="Arial"/>
                <w:sz w:val="18"/>
                <w:szCs w:val="18"/>
                <w:color w:val="auto"/>
              </w:rPr>
              <w:t>/s/ Garrett S. Sill</w:t>
            </w:r>
          </w:p>
        </w:tc>
      </w:tr>
      <w:tr>
        <w:trPr>
          <w:trHeight w:val="222"/>
        </w:trPr>
        <w:tc>
          <w:tcPr>
            <w:tcW w:w="3240" w:type="dxa"/>
            <w:vAlign w:val="bottom"/>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Garrett S. Sill</w:t>
            </w:r>
          </w:p>
        </w:tc>
        <w:tc>
          <w:tcPr>
            <w:tcW w:w="3220" w:type="dxa"/>
            <w:vAlign w:val="bottom"/>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24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1"/>
              </w:rPr>
              <w:t>(Principal Financial Officer and Principal Accounting Officer)</w:t>
            </w:r>
          </w:p>
        </w:tc>
      </w:tr>
    </w:tbl>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Security National Financial Corporation (the “Company”) on Form 10-Q for the period ending June 30, 2021, as filed with the Securities and Exchange Commission on the date hereof (the “Report”), I, Scott M. Quist,Chairman of the Board, President and Chief Executive Officer of the Company, hereby certify, pursuant to 18 U.S.C. Section 1350, as adopted pursuant to Section 906 of the Sarbanes-Oxley Act of 2002, that, to the best of my knowledge:</w:t>
      </w:r>
    </w:p>
    <w:p>
      <w:pPr>
        <w:spacing w:after="0" w:line="187" w:lineRule="exact"/>
        <w:rPr>
          <w:sz w:val="20"/>
          <w:szCs w:val="20"/>
          <w:color w:val="auto"/>
        </w:rPr>
      </w:pPr>
    </w:p>
    <w:p>
      <w:pPr>
        <w:ind w:left="1340" w:hanging="684"/>
        <w:spacing w:after="0"/>
        <w:tabs>
          <w:tab w:leader="none" w:pos="1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40" w:hanging="684"/>
        <w:spacing w:after="0" w:line="277"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3980" w:type="dxa"/>
            <w:vAlign w:val="bottom"/>
          </w:tcPr>
          <w:p>
            <w:pPr>
              <w:spacing w:after="0"/>
              <w:rPr>
                <w:sz w:val="20"/>
                <w:szCs w:val="20"/>
                <w:color w:val="auto"/>
              </w:rPr>
            </w:pPr>
            <w:r>
              <w:rPr>
                <w:rFonts w:ascii="Arial" w:cs="Arial" w:eastAsia="Arial" w:hAnsi="Arial"/>
                <w:sz w:val="18"/>
                <w:szCs w:val="18"/>
                <w:color w:val="auto"/>
              </w:rPr>
              <w:t>Dated: August 16, 2021</w:t>
            </w:r>
          </w:p>
        </w:tc>
        <w:tc>
          <w:tcPr>
            <w:tcW w:w="3460" w:type="dxa"/>
            <w:vAlign w:val="bottom"/>
            <w:gridSpan w:val="2"/>
          </w:tcPr>
          <w:p>
            <w:pPr>
              <w:spacing w:after="0"/>
              <w:rPr>
                <w:sz w:val="20"/>
                <w:szCs w:val="20"/>
                <w:color w:val="auto"/>
              </w:rPr>
            </w:pPr>
            <w:r>
              <w:rPr>
                <w:rFonts w:ascii="Arial" w:cs="Arial" w:eastAsia="Arial" w:hAnsi="Arial"/>
                <w:sz w:val="18"/>
                <w:szCs w:val="18"/>
                <w:color w:val="auto"/>
              </w:rPr>
              <w:t>/s/ Scott M. Quist</w:t>
            </w:r>
          </w:p>
        </w:tc>
      </w:tr>
      <w:tr>
        <w:trPr>
          <w:trHeight w:val="222"/>
        </w:trPr>
        <w:tc>
          <w:tcPr>
            <w:tcW w:w="3980" w:type="dxa"/>
            <w:vAlign w:val="bottom"/>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M. Quist</w:t>
            </w:r>
          </w:p>
        </w:tc>
        <w:tc>
          <w:tcPr>
            <w:tcW w:w="2240" w:type="dxa"/>
            <w:vAlign w:val="bottom"/>
          </w:tcPr>
          <w:p>
            <w:pPr>
              <w:spacing w:after="0"/>
              <w:rPr>
                <w:sz w:val="19"/>
                <w:szCs w:val="19"/>
                <w:color w:val="auto"/>
              </w:rPr>
            </w:pPr>
          </w:p>
        </w:tc>
      </w:tr>
      <w:tr>
        <w:trPr>
          <w:trHeight w:val="216"/>
        </w:trPr>
        <w:tc>
          <w:tcPr>
            <w:tcW w:w="398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w w:val="88"/>
              </w:rPr>
              <w:t>Chairman, President and Chief Executive Officer</w:t>
            </w:r>
          </w:p>
        </w:tc>
      </w:tr>
      <w:tr>
        <w:trPr>
          <w:trHeight w:val="230"/>
        </w:trPr>
        <w:tc>
          <w:tcPr>
            <w:tcW w:w="398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Security National Financial Corporation (the “Company”) on Form 10-Q for the period ending June 30, 2021,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49" w:lineRule="exact"/>
        <w:rPr>
          <w:sz w:val="20"/>
          <w:szCs w:val="20"/>
          <w:color w:val="auto"/>
        </w:rPr>
      </w:pPr>
    </w:p>
    <w:p>
      <w:pPr>
        <w:ind w:left="1340" w:hanging="684"/>
        <w:spacing w:after="0"/>
        <w:tabs>
          <w:tab w:leader="none" w:pos="1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40" w:hanging="684"/>
        <w:spacing w:after="0" w:line="277" w:lineRule="auto"/>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3980" w:type="dxa"/>
            <w:vAlign w:val="bottom"/>
          </w:tcPr>
          <w:p>
            <w:pPr>
              <w:spacing w:after="0"/>
              <w:rPr>
                <w:sz w:val="20"/>
                <w:szCs w:val="20"/>
                <w:color w:val="auto"/>
              </w:rPr>
            </w:pPr>
            <w:r>
              <w:rPr>
                <w:rFonts w:ascii="Arial" w:cs="Arial" w:eastAsia="Arial" w:hAnsi="Arial"/>
                <w:sz w:val="18"/>
                <w:szCs w:val="18"/>
                <w:color w:val="auto"/>
              </w:rPr>
              <w:t>Dated: August 16, 2021</w:t>
            </w:r>
          </w:p>
        </w:tc>
        <w:tc>
          <w:tcPr>
            <w:tcW w:w="4380" w:type="dxa"/>
            <w:vAlign w:val="bottom"/>
            <w:gridSpan w:val="2"/>
          </w:tcPr>
          <w:p>
            <w:pPr>
              <w:spacing w:after="0"/>
              <w:rPr>
                <w:sz w:val="20"/>
                <w:szCs w:val="20"/>
                <w:color w:val="auto"/>
              </w:rPr>
            </w:pPr>
            <w:r>
              <w:rPr>
                <w:rFonts w:ascii="Arial" w:cs="Arial" w:eastAsia="Arial" w:hAnsi="Arial"/>
                <w:sz w:val="18"/>
                <w:szCs w:val="18"/>
                <w:color w:val="auto"/>
              </w:rPr>
              <w:t>/s/ Garrett S. Sill</w:t>
            </w:r>
          </w:p>
        </w:tc>
      </w:tr>
      <w:tr>
        <w:trPr>
          <w:trHeight w:val="222"/>
        </w:trPr>
        <w:tc>
          <w:tcPr>
            <w:tcW w:w="3980" w:type="dxa"/>
            <w:vAlign w:val="bottom"/>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Garrett S. Sill</w:t>
            </w:r>
          </w:p>
        </w:tc>
        <w:tc>
          <w:tcPr>
            <w:tcW w:w="3220" w:type="dxa"/>
            <w:vAlign w:val="bottom"/>
          </w:tcPr>
          <w:p>
            <w:pPr>
              <w:spacing w:after="0"/>
              <w:rPr>
                <w:sz w:val="19"/>
                <w:szCs w:val="19"/>
                <w:color w:val="auto"/>
              </w:rPr>
            </w:pPr>
          </w:p>
        </w:tc>
      </w:tr>
      <w:tr>
        <w:trPr>
          <w:trHeight w:val="216"/>
        </w:trPr>
        <w:tc>
          <w:tcPr>
            <w:tcW w:w="398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98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1"/>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2"/>
    </w:lvl>
  </w:abstractNum>
  <w:abstractNum w:abstractNumId="5">
    <w:nsid w:val="79838CB2"/>
    <w:multiLevelType w:val="hybridMultilevel"/>
    <w:lvl w:ilvl="0">
      <w:lvlJc w:val="left"/>
      <w:lvlText w:val="%1)"/>
      <w:numFmt w:val="decimal"/>
      <w:start w:val="3"/>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4"/>
    </w:lvl>
  </w:abstractNum>
  <w:abstractNum w:abstractNumId="11">
    <w:nsid w:val="2CA88611"/>
    <w:multiLevelType w:val="hybridMultilevel"/>
    <w:lvl w:ilvl="0">
      <w:lvlJc w:val="left"/>
      <w:lvlText w:val="%1)"/>
      <w:numFmt w:val="decimal"/>
      <w:start w:val="4"/>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5"/>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6"/>
    </w:lvl>
  </w:abstractNum>
  <w:abstractNum w:abstractNumId="19">
    <w:nsid w:val="6CEAF087"/>
    <w:multiLevelType w:val="hybridMultilevel"/>
    <w:lvl w:ilvl="0">
      <w:lvlJc w:val="left"/>
      <w:lvlText w:val="%1)"/>
      <w:numFmt w:val="decimal"/>
      <w:start w:val="7"/>
    </w:lvl>
  </w:abstractNum>
  <w:abstractNum w:abstractNumId="20">
    <w:nsid w:val="22221A70"/>
    <w:multiLevelType w:val="hybridMultilevel"/>
    <w:lvl w:ilvl="0">
      <w:lvlJc w:val="left"/>
      <w:lvlText w:val="%1)"/>
      <w:numFmt w:val="decimal"/>
      <w:start w:val="8"/>
    </w:lvl>
  </w:abstractNum>
  <w:abstractNum w:abstractNumId="21">
    <w:nsid w:val="4516DDE9"/>
    <w:multiLevelType w:val="hybridMultilevel"/>
    <w:lvl w:ilvl="0">
      <w:lvlJc w:val="left"/>
      <w:lvlText w:val="%1)"/>
      <w:numFmt w:val="decimal"/>
      <w:start w:val="8"/>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9"/>
    </w:lvl>
  </w:abstractNum>
  <w:abstractNum w:abstractNumId="31">
    <w:nsid w:val="5C482A97"/>
    <w:multiLevelType w:val="hybridMultilevel"/>
    <w:lvl w:ilvl="0">
      <w:lvlJc w:val="left"/>
      <w:lvlText w:val="%1)"/>
      <w:numFmt w:val="decimal"/>
      <w:start w:val="10"/>
    </w:lvl>
  </w:abstractNum>
  <w:abstractNum w:abstractNumId="32">
    <w:nsid w:val="2463B9EA"/>
    <w:multiLevelType w:val="hybridMultilevel"/>
    <w:lvl w:ilvl="0">
      <w:lvlJc w:val="left"/>
      <w:lvlText w:val="%1)"/>
      <w:numFmt w:val="decimal"/>
      <w:start w:val="11"/>
    </w:lvl>
  </w:abstractNum>
  <w:abstractNum w:abstractNumId="33">
    <w:nsid w:val="5E884ADC"/>
    <w:multiLevelType w:val="hybridMultilevel"/>
    <w:lvl w:ilvl="0">
      <w:lvlJc w:val="left"/>
      <w:lvlText w:val="%1)"/>
      <w:numFmt w:val="decimal"/>
      <w:start w:val="12"/>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3"/>
    </w:lvl>
  </w:abstractNum>
  <w:abstractNum w:abstractNumId="36">
    <w:nsid w:val="580BD78F"/>
    <w:multiLevelType w:val="hybridMultilevel"/>
    <w:lvl w:ilvl="0">
      <w:lvlJc w:val="left"/>
      <w:lvlText w:val="%1)"/>
      <w:numFmt w:val="decimal"/>
      <w:start w:val="14"/>
    </w:lvl>
  </w:abstractNum>
  <w:abstractNum w:abstractNumId="37">
    <w:nsid w:val="153EA438"/>
    <w:multiLevelType w:val="hybridMultilevel"/>
    <w:lvl w:ilvl="0">
      <w:lvlJc w:val="left"/>
      <w:lvlText w:val="%1"/>
      <w:numFmt w:val="decimal"/>
      <w:start w:val="14"/>
    </w:lvl>
  </w:abstractNum>
  <w:abstractNum w:abstractNumId="38">
    <w:nsid w:val="3855585C"/>
    <w:multiLevelType w:val="hybridMultilevel"/>
    <w:lvl w:ilvl="0">
      <w:lvlJc w:val="left"/>
      <w:lvlText w:val="%1"/>
      <w:numFmt w:val="decimal"/>
      <w:start w:val="2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5"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2" Type="http://schemas.openxmlformats.org/officeDocument/2006/relationships/image" Target="media/image71.png"/><Relationship Id="rId85" Type="http://schemas.openxmlformats.org/officeDocument/2006/relationships/image" Target="media/image72.png"/><Relationship Id="rId88" Type="http://schemas.openxmlformats.org/officeDocument/2006/relationships/image" Target="media/image73.png"/><Relationship Id="rId91" Type="http://schemas.openxmlformats.org/officeDocument/2006/relationships/image" Target="media/image74.png"/><Relationship Id="rId98" Type="http://schemas.openxmlformats.org/officeDocument/2006/relationships/image" Target="media/image75.png"/><Relationship Id="rId74" Type="http://schemas.openxmlformats.org/officeDocument/2006/relationships/hyperlink" Target="http://www.sec.gov/Archives/edgar/data/318673/000109690617000214/exh3_1.pdf#www.sec.gov/Archives/edgar/data/318673/000109690617000214/exh3_1.pdf" TargetMode="External"/><Relationship Id="rId76" Type="http://schemas.openxmlformats.org/officeDocument/2006/relationships/hyperlink" Target="http://www.sec.gov/Archives/edgar/data/318673/000109690619000199/exh3_2.pdf" TargetMode="External"/><Relationship Id="rId80" Type="http://schemas.openxmlformats.org/officeDocument/2006/relationships/hyperlink" Target="http://www.sec.gov/Archives/edgar/data/318673/000109690616001835/exh10_4.htm" TargetMode="External"/><Relationship Id="rId81" Type="http://schemas.openxmlformats.org/officeDocument/2006/relationships/hyperlink" Target="http://www.sec.gov/Archives/edgar/data/318673/000144586620001192/snfca_ex10z3.htm" TargetMode="External"/><Relationship Id="rId83" Type="http://schemas.openxmlformats.org/officeDocument/2006/relationships/hyperlink" Target="http://www.sec.gov/Archives/edgar/data/318673/000109690615001153/exh108.htm" TargetMode="External"/><Relationship Id="rId84" Type="http://schemas.openxmlformats.org/officeDocument/2006/relationships/hyperlink" Target="http://www.sec.gov/Archives/edgar/data/318673/000109690618000285/exh10_1.htm" TargetMode="External"/><Relationship Id="rId86" Type="http://schemas.openxmlformats.org/officeDocument/2006/relationships/hyperlink" Target="http://www.sec.gov/Archives/edgar/data/318673/000109690619000084/exh10_1.htm" TargetMode="External"/><Relationship Id="rId87" Type="http://schemas.openxmlformats.org/officeDocument/2006/relationships/hyperlink" Target="http://www.sec.gov/Archives/edgar/data/318673/000109690619000367/exh10_2.htm" TargetMode="External"/><Relationship Id="rId89" Type="http://schemas.openxmlformats.org/officeDocument/2006/relationships/hyperlink" Target="http://www.sec.gov/Archives/edgar/data/318673/000109690619000367/exh10_1.htm" TargetMode="External"/><Relationship Id="rId90" Type="http://schemas.openxmlformats.org/officeDocument/2006/relationships/hyperlink" Target="http://www.sec.gov/Archives/edgar/data/318673/000109690620000092/exh99_1.htm" TargetMode="External"/><Relationship Id="rId92" Type="http://schemas.openxmlformats.org/officeDocument/2006/relationships/hyperlink" Target="http://www.sec.gov/Archives/edgar/data/318673/000109690619000199/exh14.htm" TargetMode="External"/><Relationship Id="rId93" Type="http://schemas.openxmlformats.org/officeDocument/2006/relationships/hyperlink" Target="http://www.sec.gov/Archives/edgar/data/318673/000109690620000268/snfc_ex21.htm" TargetMode="External"/><Relationship Id="rId94" Type="http://schemas.openxmlformats.org/officeDocument/2006/relationships/hyperlink" Target="http://www.sec.gov/Archives/edgar/data/318673/000109690620000268/snfc_ex31z1.htm" TargetMode="External"/><Relationship Id="rId95" Type="http://schemas.openxmlformats.org/officeDocument/2006/relationships/hyperlink" Target="http://www.sec.gov/Archives/edgar/data/318673/000109690620000268/snfc_ex31z2.htm" TargetMode="External"/><Relationship Id="rId96" Type="http://schemas.openxmlformats.org/officeDocument/2006/relationships/hyperlink" Target="http://www.sec.gov/Archives/edgar/data/318673/000109690620000268/snfc_ex32z1.htm" TargetMode="External"/><Relationship Id="rId97" Type="http://schemas.openxmlformats.org/officeDocument/2006/relationships/hyperlink" Target="http://www.sec.gov/Archives/edgar/data/318673/000109690620000268/snfc_ex32z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2021-08-17T05:19:21Z</dcterms:created>
  <dcterms:modified xsi:type="dcterms:W3CDTF">2021-08-17T05:19:21Z</dcterms:modified>
</cp:coreProperties>
</file>