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right="2240" w:firstLine="8"/>
        <w:spacing w:after="0" w:line="500" w:lineRule="auto"/>
        <w:tabs>
          <w:tab w:leader="none" w:pos="20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right="1860" w:firstLine="8"/>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000-09341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SECURITY NATIONAL FINANCIAL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8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UTAH</w:t>
            </w: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b w:val="1"/>
                <w:bCs w:val="1"/>
                <w:color w:val="auto"/>
                <w:w w:val="89"/>
              </w:rPr>
              <w:t>87-0345941</w:t>
            </w:r>
          </w:p>
        </w:tc>
        <w:tc>
          <w:tcPr>
            <w:tcW w:w="2180" w:type="dxa"/>
            <w:vAlign w:val="bottom"/>
            <w:tcBorders>
              <w:bottom w:val="single" w:sz="8" w:color="auto"/>
            </w:tcBorders>
          </w:tcPr>
          <w:p>
            <w:pPr>
              <w:spacing w:after="0"/>
              <w:rPr>
                <w:sz w:val="22"/>
                <w:szCs w:val="22"/>
                <w:color w:val="auto"/>
              </w:rPr>
            </w:pPr>
          </w:p>
        </w:tc>
      </w:tr>
      <w:tr>
        <w:trPr>
          <w:trHeight w:val="202"/>
        </w:trPr>
        <w:tc>
          <w:tcPr>
            <w:tcW w:w="4840" w:type="dxa"/>
            <w:vAlign w:val="bottom"/>
            <w:gridSpan w:val="3"/>
          </w:tcPr>
          <w:p>
            <w:pPr>
              <w:jc w:val="center"/>
              <w:ind w:left="590"/>
              <w:spacing w:after="0" w:line="201" w:lineRule="exact"/>
              <w:rPr>
                <w:sz w:val="20"/>
                <w:szCs w:val="20"/>
                <w:color w:val="auto"/>
              </w:rPr>
            </w:pPr>
            <w:r>
              <w:rPr>
                <w:rFonts w:ascii="Arial" w:cs="Arial" w:eastAsia="Arial" w:hAnsi="Arial"/>
                <w:sz w:val="18"/>
                <w:szCs w:val="18"/>
                <w:color w:val="auto"/>
                <w:w w:val="92"/>
              </w:rPr>
              <w:t>(State or other jurisdiction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
          </w:tcPr>
          <w:p>
            <w:pPr>
              <w:jc w:val="center"/>
              <w:ind w:right="112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incorporation or organization)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Identification No.)</w:t>
            </w:r>
          </w:p>
        </w:tc>
      </w:tr>
      <w:tr>
        <w:trPr>
          <w:trHeight w:val="452"/>
        </w:trPr>
        <w:tc>
          <w:tcPr>
            <w:tcW w:w="48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0"/>
              </w:rPr>
              <w:t>433 West Ascension Way, Salt Lake City, Utah</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b w:val="1"/>
                <w:bCs w:val="1"/>
                <w:color w:val="auto"/>
                <w:w w:val="91"/>
              </w:rPr>
              <w:t>84123</w:t>
            </w:r>
          </w:p>
        </w:tc>
        <w:tc>
          <w:tcPr>
            <w:tcW w:w="2180" w:type="dxa"/>
            <w:vAlign w:val="bottom"/>
            <w:tcBorders>
              <w:bottom w:val="single" w:sz="8" w:color="auto"/>
            </w:tcBorders>
          </w:tcPr>
          <w:p>
            <w:pPr>
              <w:spacing w:after="0"/>
              <w:rPr>
                <w:sz w:val="24"/>
                <w:szCs w:val="24"/>
                <w:color w:val="auto"/>
              </w:rPr>
            </w:pPr>
          </w:p>
        </w:tc>
      </w:tr>
      <w:tr>
        <w:trPr>
          <w:trHeight w:val="230"/>
        </w:trPr>
        <w:tc>
          <w:tcPr>
            <w:tcW w:w="48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300" w:type="dxa"/>
            <w:vAlign w:val="bottom"/>
            <w:gridSpan w:val="2"/>
          </w:tcPr>
          <w:p>
            <w:pPr>
              <w:jc w:val="center"/>
              <w:ind w:right="2180"/>
              <w:spacing w:after="0"/>
              <w:rPr>
                <w:sz w:val="20"/>
                <w:szCs w:val="20"/>
                <w:color w:val="auto"/>
              </w:rPr>
            </w:pPr>
            <w:r>
              <w:rPr>
                <w:rFonts w:ascii="Arial" w:cs="Arial" w:eastAsia="Arial" w:hAnsi="Arial"/>
                <w:sz w:val="18"/>
                <w:szCs w:val="18"/>
                <w:color w:val="auto"/>
                <w:w w:val="94"/>
              </w:rPr>
              <w:t>(Zip Code)</w:t>
            </w:r>
          </w:p>
        </w:tc>
      </w:tr>
      <w:tr>
        <w:trPr>
          <w:trHeight w:val="377"/>
        </w:trPr>
        <w:tc>
          <w:tcPr>
            <w:tcW w:w="4840" w:type="dxa"/>
            <w:vAlign w:val="bottom"/>
            <w:gridSpan w:val="3"/>
          </w:tcPr>
          <w:p>
            <w:pPr>
              <w:jc w:val="center"/>
              <w:ind w:left="610"/>
              <w:spacing w:after="0"/>
              <w:rPr>
                <w:sz w:val="20"/>
                <w:szCs w:val="20"/>
                <w:color w:val="auto"/>
              </w:rPr>
            </w:pPr>
            <w:r>
              <w:rPr>
                <w:rFonts w:ascii="Arial" w:cs="Arial" w:eastAsia="Arial" w:hAnsi="Arial"/>
                <w:sz w:val="18"/>
                <w:szCs w:val="18"/>
                <w:color w:val="auto"/>
                <w:w w:val="89"/>
              </w:rPr>
              <w:t>Registrant’s telephone number, including area code: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0"/>
              </w:rPr>
              <w:t>(801) 264-1060</w:t>
            </w:r>
          </w:p>
        </w:tc>
      </w:tr>
      <w:tr>
        <w:trPr>
          <w:trHeight w:val="453"/>
        </w:trPr>
        <w:tc>
          <w:tcPr>
            <w:tcW w:w="7940" w:type="dxa"/>
            <w:vAlign w:val="bottom"/>
            <w:gridSpan w:val="8"/>
          </w:tcPr>
          <w:p>
            <w:pPr>
              <w:jc w:val="center"/>
              <w:ind w:left="323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1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453"/>
        </w:trPr>
        <w:tc>
          <w:tcPr>
            <w:tcW w:w="48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Trading symbol</w:t>
            </w:r>
          </w:p>
        </w:tc>
        <w:tc>
          <w:tcPr>
            <w:tcW w:w="4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4"/>
              </w:rPr>
              <w:t>SNFCA</w:t>
            </w:r>
          </w:p>
        </w:tc>
        <w:tc>
          <w:tcPr>
            <w:tcW w:w="220" w:type="dxa"/>
            <w:vAlign w:val="bottom"/>
          </w:tcPr>
          <w:p>
            <w:pPr>
              <w:spacing w:after="0"/>
              <w:rPr>
                <w:sz w:val="20"/>
                <w:szCs w:val="20"/>
                <w:color w:val="auto"/>
              </w:rPr>
            </w:pPr>
          </w:p>
        </w:tc>
        <w:tc>
          <w:tcPr>
            <w:tcW w:w="43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Securities Act.</w:t>
      </w:r>
    </w:p>
    <w:p>
      <w:pPr>
        <w:spacing w:after="0" w:line="18"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9"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9"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w:t>
      </w: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9"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69" w:gutter="0" w:footer="0" w:header="0"/>
        </w:sectPr>
      </w:pPr>
    </w:p>
    <w:p>
      <w:pPr>
        <w:spacing w:after="0" w:line="151"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00" w:space="720"/>
            <w:col w:w="4420"/>
          </w:cols>
          <w:pgMar w:left="320" w:top="746" w:right="339" w:bottom="69" w:gutter="0" w:footer="0" w:header="0"/>
          <w:type w:val="continuous"/>
        </w:sectPr>
      </w:pPr>
    </w:p>
    <w:p>
      <w:pPr>
        <w:spacing w:after="0" w:line="48"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00" w:space="720"/>
            <w:col w:w="4420"/>
          </w:cols>
          <w:pgMar w:left="320" w:top="746" w:right="339" w:bottom="69" w:gutter="0" w:footer="0" w:header="0"/>
          <w:type w:val="continuous"/>
        </w:sectPr>
      </w:pPr>
    </w:p>
    <w:p>
      <w:pPr>
        <w:spacing w:after="0" w:line="48" w:lineRule="exact"/>
        <w:rPr>
          <w:sz w:val="24"/>
          <w:szCs w:val="24"/>
          <w:color w:val="auto"/>
        </w:rPr>
      </w:pPr>
    </w:p>
    <w:p>
      <w:pPr>
        <w:ind w:left="68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46" w:right="339" w:bottom="69" w:gutter="0" w:footer="0" w:header="0"/>
          <w:type w:val="continuous"/>
        </w:sectPr>
      </w:pPr>
    </w:p>
    <w:p>
      <w:pPr>
        <w:spacing w:after="0" w:line="281"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746" w:right="339" w:bottom="69" w:gutter="0" w:footer="0" w:header="0"/>
          <w:type w:val="continuous"/>
        </w:sectPr>
      </w:pPr>
    </w:p>
    <w:bookmarkStart w:id="1" w:name="page2"/>
    <w:bookmarkEnd w:id="1"/>
    <w:p>
      <w:pPr>
        <w:ind w:firstLine="324"/>
        <w:spacing w:after="0" w:line="308" w:lineRule="auto"/>
        <w:rPr>
          <w:sz w:val="20"/>
          <w:szCs w:val="20"/>
          <w:color w:val="auto"/>
        </w:rPr>
      </w:pPr>
      <w:r>
        <w:rPr>
          <w:rFonts w:ascii="Arial" w:cs="Arial" w:eastAsia="Arial" w:hAnsi="Arial"/>
          <w:sz w:val="17"/>
          <w:szCs w:val="17"/>
          <w:color w:val="auto"/>
        </w:rPr>
        <w:t>As of June 30, 2021, the aggregate market value of the registrant’s Class A common stock held by non-affiliates of the registrant was approximately $67,000,000 based on the $8.33 closing sale price of the Class A common stock as reported on The Nasdaq Global Select Market.</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22, 2022, there were outstanding 17,692,445 shares of Class A common stock, $2.00 par value per share, and 2,866,565 shares of Class C common stock, $2.00 par value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16"/>
          </w:tcPr>
          <w:p>
            <w:pPr>
              <w:jc w:val="center"/>
              <w:ind w:right="2980"/>
              <w:spacing w:after="0"/>
              <w:rPr>
                <w:sz w:val="20"/>
                <w:szCs w:val="20"/>
                <w:color w:val="auto"/>
              </w:rPr>
            </w:pPr>
            <w:r>
              <w:rPr>
                <w:rFonts w:ascii="Arial" w:cs="Arial" w:eastAsia="Arial" w:hAnsi="Arial"/>
                <w:sz w:val="18"/>
                <w:szCs w:val="18"/>
                <w:b w:val="1"/>
                <w:bCs w:val="1"/>
                <w:color w:val="auto"/>
                <w:w w:val="92"/>
              </w:rPr>
              <w:t>Security National Financial Corporation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4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w w:val="96"/>
              </w:rPr>
              <w:t>Form 10-K</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16"/>
          </w:tcPr>
          <w:p>
            <w:pPr>
              <w:jc w:val="center"/>
              <w:ind w:right="296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gridSpan w:val="15"/>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20" w:type="dxa"/>
            <w:vAlign w:val="bottom"/>
            <w:tcBorders>
              <w:top w:val="single" w:sz="8" w:color="CCEEFF"/>
            </w:tcBorders>
            <w:gridSpan w:val="10"/>
            <w:shd w:val="clear" w:color="auto" w:fill="CCEEFF"/>
          </w:tcPr>
          <w:p>
            <w:pPr>
              <w:jc w:val="center"/>
              <w:ind w:right="4620"/>
              <w:spacing w:after="0" w:line="16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2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29"/>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Unresolved Staff Comments</w:t>
              </w:r>
            </w:hyperlink>
          </w:p>
        </w:tc>
        <w:tc>
          <w:tcPr>
            <w:tcW w:w="7580" w:type="dxa"/>
            <w:vAlign w:val="bottom"/>
            <w:tcBorders>
              <w:bottom w:val="single" w:sz="8" w:color="CCEEFF"/>
            </w:tcBorders>
            <w:gridSpan w:val="18"/>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29"/>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8300" w:type="dxa"/>
            <w:vAlign w:val="bottom"/>
            <w:tcBorders>
              <w:bottom w:val="single" w:sz="8" w:color="CCEEFF"/>
            </w:tcBorders>
            <w:gridSpan w:val="2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29"/>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40" w:type="dxa"/>
            <w:vAlign w:val="bottom"/>
            <w:gridSpan w:val="11"/>
          </w:tcPr>
          <w:p>
            <w:pPr>
              <w:jc w:val="center"/>
              <w:ind w:right="4600"/>
              <w:spacing w:after="0" w:line="17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Part II</w:t>
              </w:r>
            </w:hyperlink>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640" w:type="dxa"/>
            <w:vAlign w:val="bottom"/>
            <w:gridSpan w:val="29"/>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[Reserved]</w:t>
              </w:r>
            </w:hyperlink>
          </w:p>
        </w:tc>
        <w:tc>
          <w:tcPr>
            <w:tcW w:w="8840" w:type="dxa"/>
            <w:vAlign w:val="bottom"/>
            <w:tcBorders>
              <w:bottom w:val="single" w:sz="8" w:color="CCEEFF"/>
            </w:tcBorders>
            <w:gridSpan w:val="2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7.</w:t>
            </w:r>
          </w:p>
        </w:tc>
        <w:tc>
          <w:tcPr>
            <w:tcW w:w="9640" w:type="dxa"/>
            <w:vAlign w:val="bottom"/>
            <w:gridSpan w:val="2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640" w:type="dxa"/>
            <w:vAlign w:val="bottom"/>
            <w:gridSpan w:val="29"/>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5280" w:type="dxa"/>
            <w:vAlign w:val="bottom"/>
            <w:tcBorders>
              <w:top w:val="single" w:sz="8" w:color="CCEEFF"/>
            </w:tcBorders>
            <w:gridSpan w:val="13"/>
          </w:tcPr>
          <w:p>
            <w:pPr>
              <w:spacing w:after="0"/>
              <w:rPr>
                <w:sz w:val="15"/>
                <w:szCs w:val="15"/>
                <w:color w:val="auto"/>
              </w:rPr>
            </w:pPr>
          </w:p>
        </w:tc>
        <w:tc>
          <w:tcPr>
            <w:tcW w:w="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640" w:type="dxa"/>
            <w:vAlign w:val="bottom"/>
            <w:gridSpan w:val="29"/>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Changes in and Disagreements with Accountants on Accounting and Financial Disclosure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Controls and Procedures</w:t>
              </w:r>
            </w:hyperlink>
          </w:p>
        </w:tc>
        <w:tc>
          <w:tcPr>
            <w:tcW w:w="3160" w:type="dxa"/>
            <w:vAlign w:val="bottom"/>
            <w:tcBorders>
              <w:top w:val="single" w:sz="8" w:color="CCEEFF"/>
            </w:tcBorders>
            <w:gridSpan w:val="3"/>
          </w:tcPr>
          <w:p>
            <w:pPr>
              <w:spacing w:after="0"/>
              <w:rPr>
                <w:sz w:val="15"/>
                <w:szCs w:val="15"/>
                <w:color w:val="auto"/>
              </w:rPr>
            </w:pPr>
          </w:p>
        </w:tc>
        <w:tc>
          <w:tcPr>
            <w:tcW w:w="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Other Information</w:t>
              </w:r>
            </w:hyperlink>
          </w:p>
        </w:tc>
        <w:tc>
          <w:tcPr>
            <w:tcW w:w="8320" w:type="dxa"/>
            <w:vAlign w:val="bottom"/>
            <w:tcBorders>
              <w:bottom w:val="single" w:sz="8" w:color="CCEEFF"/>
            </w:tcBorders>
            <w:gridSpan w:val="24"/>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9C.</w:t>
            </w:r>
          </w:p>
        </w:tc>
        <w:tc>
          <w:tcPr>
            <w:tcW w:w="9640" w:type="dxa"/>
            <w:vAlign w:val="bottom"/>
            <w:gridSpan w:val="29"/>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Disclosure Regarding Foreign Jurisdictions that Prevent Inspections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80" w:type="dxa"/>
            <w:vAlign w:val="bottom"/>
            <w:gridSpan w:val="12"/>
          </w:tcPr>
          <w:p>
            <w:pPr>
              <w:jc w:val="center"/>
              <w:ind w:right="4560"/>
              <w:spacing w:after="0" w:line="176"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Part III</w:t>
              </w:r>
            </w:hyperlink>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10.</w:t>
            </w:r>
          </w:p>
        </w:tc>
        <w:tc>
          <w:tcPr>
            <w:tcW w:w="9640" w:type="dxa"/>
            <w:vAlign w:val="bottom"/>
            <w:gridSpan w:val="29"/>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640" w:type="dxa"/>
            <w:vAlign w:val="bottom"/>
            <w:gridSpan w:val="29"/>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12.</w:t>
            </w:r>
          </w:p>
        </w:tc>
        <w:tc>
          <w:tcPr>
            <w:tcW w:w="9640" w:type="dxa"/>
            <w:vAlign w:val="bottom"/>
            <w:gridSpan w:val="29"/>
          </w:tcPr>
          <w:p>
            <w:pPr>
              <w:spacing w:after="0" w:line="176" w:lineRule="exact"/>
              <w:rPr>
                <w:rFonts w:ascii="Arial" w:cs="Arial" w:eastAsia="Arial" w:hAnsi="Arial"/>
                <w:sz w:val="18"/>
                <w:szCs w:val="18"/>
                <w:color w:val="0000EE"/>
              </w:rPr>
            </w:pPr>
            <w:hyperlink w:anchor="page133">
              <w:r>
                <w:rPr>
                  <w:rFonts w:ascii="Arial" w:cs="Arial" w:eastAsia="Arial" w:hAnsi="Arial"/>
                  <w:sz w:val="18"/>
                  <w:szCs w:val="18"/>
                  <w:color w:val="0000EE"/>
                </w:rPr>
                <w:t>Security Ownership of Certain Beneficial Owners and Management and Related Stockholder Matters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Certain Relationships and Related Transactions, and Director Independence</w:t>
              </w:r>
            </w:hyperlink>
          </w:p>
        </w:tc>
        <w:tc>
          <w:tcPr>
            <w:tcW w:w="4180" w:type="dxa"/>
            <w:vAlign w:val="bottom"/>
            <w:tcBorders>
              <w:bottom w:val="single" w:sz="8" w:color="CCEEFF"/>
            </w:tcBorders>
            <w:gridSpan w:val="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14.</w:t>
            </w:r>
          </w:p>
        </w:tc>
        <w:tc>
          <w:tcPr>
            <w:tcW w:w="9640" w:type="dxa"/>
            <w:vAlign w:val="bottom"/>
            <w:gridSpan w:val="29"/>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Principal Accounting Fees and Services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80" w:type="dxa"/>
            <w:vAlign w:val="bottom"/>
            <w:gridSpan w:val="12"/>
          </w:tcPr>
          <w:p>
            <w:pPr>
              <w:jc w:val="center"/>
              <w:ind w:right="4560"/>
              <w:spacing w:after="0" w:line="17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Part IV</w:t>
              </w:r>
            </w:hyperlink>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15.</w:t>
            </w:r>
          </w:p>
        </w:tc>
        <w:tc>
          <w:tcPr>
            <w:tcW w:w="9640" w:type="dxa"/>
            <w:vAlign w:val="bottom"/>
            <w:gridSpan w:val="29"/>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Exhibits, Financial Statement Schedules</w:t>
              </w:r>
            </w:hyperlink>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640" w:type="dxa"/>
            <w:vAlign w:val="bottom"/>
            <w:gridSpan w:val="29"/>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Form 10-K Summary</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Signatures</w:t>
              </w:r>
            </w:hyperlink>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5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Financial Statement Schedules</w:t>
              </w:r>
            </w:hyperlink>
          </w:p>
        </w:tc>
        <w:tc>
          <w:tcPr>
            <w:tcW w:w="8260" w:type="dxa"/>
            <w:vAlign w:val="bottom"/>
            <w:tcBorders>
              <w:bottom w:val="single" w:sz="8" w:color="CCEEFF"/>
            </w:tcBorders>
            <w:gridSpan w:val="2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0"/>
          </w:tcPr>
          <w:p>
            <w:pPr>
              <w:jc w:val="center"/>
              <w:ind w:left="457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Security National Financial Corporation (the “Company”) operates in three reportable business segments: life insurance, cemetery and mortuary, and mortgages. The life insurance segment is engaged in the business of selling and servicing selected lines of life insurance, annuity products, and accident and health insurance. These products are marketed in 40 states through a commissioned sales force of independent licensed insurance agents who may also sell insurance products of other companies. The cemetery and mortuary segment consists of eight mortuaries and five cemeteries in the state of Utah, one cemetery in the state of California, and one cemetery and four mortuaries in the state of New Mexico. The Company also engages in pre-need selling of funeral, cemetery, mortuary, and cremation services through its Utah, California and New Mexico operations. Many of the insurance agents also sell pre-need funeral, cemetery, and cremation services. The mortgage segment originates and underwrites or otherwise purchases residential and commercial loans for new construction, existing homes, and other real estate projects. The mortgage segment operates through 113 retail offices in 23 states, and is an approved mortgage lender in several other states.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their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and Kilpatrick Life Insurance Company (2019). In August 2021, the Company sold Memorial Insurance Company of America.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Heber Valley Funeral Home, Inc. (2019), Rivera Funerals, Cremations and Memorial Gardens (2021), and Holbrook Mortuary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1993, the Company formed SecurityNational Mortgage Company (“SecurityNational Mortgage”) to originate and refinance residential mortgage loans. In 2012, the Company formed Green Street Mortgage Services, Inc. (now known as EverLEND Mortgage Company) (“EverLEND Mortgage”) also to originate and refinance residential mortgage loans. In December 2021, the Company ceased operations in EverLEND Mortgage and merged its operations into SecurityNational Mortgage.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15 of the Notes to Consolidated Financial Statements for additional information regarding business segments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Life Insurance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Security National Life, First Guaranty Insurance Company (“First Guaranty”), and Kilpatrick Life Insurance Company (“Kilpatrick”), issues and distributes selected lines of life insurance and annuities. The Company’s life insurance business includes funeral plans and interest-sensitive life insurance, as well as other traditional life, accident, and health insurance products. The Company places specific marketing emphasis on funeral plans through pre-need planning. The Company’s insurance subsidiaries, Southern Security Life Insurance Company, Inc. (“Southern Security”) and Trans-Western Life Insurance Company (“Trans-Western”), do not actively write policies, but service and maintain policies that were purchased prior to their acquisition by Security National Life.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$30,000. The Company believes that funeral plans represent a marketing niche that has lower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and Distribution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licensed to sell insurance in 40 states. The Company, in marketing its life insurance products, seeks to locate, develop and service specific niche markets. The Company’s funeral plan policies are sold primarily to persons who range in age from 45 to 85 and have low to moderate income. A majority of the Company’s funeral plan premiums come from the states of Arkansas, California, Florida, Georgia, Louisiana, Mississippi, Texas, and Utah.</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its life insurance products through direct agents, brokers, and independent licensed agents who may also sell insurance products of other companies. The commissions on life insurance products range from approximately 50% to 120% of first year premiums. In those cases, where the Company utilizes its direct agents in selling such policies, those agents customarily receive advances against future commissions.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Policy/Cert Count as of December 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653,450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659,237</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669,064(1)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531,831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533,065</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Insurance in force as of December 31 (omitted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000)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2,863,759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2,890,791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2,877,402(1)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1,838,488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1,759,148</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Premiums Collected (omitted 000)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99,006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92,058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78,253(1)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74,965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69,565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acquisition of Kilpatrick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factors considered in evaluating an application for ordinary life insurance coverage can include the applicant’s age, occupation, general health, and medical history. Upon receipt of a satisfactory (non-funeral plan insurance) application, which contains pertinent medical questions, the Company issues insurance based upon its medical limits and requirements subject to the following general non-medical limits:</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251"/>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Age Nearest Birthday</w:t>
            </w:r>
          </w:p>
        </w:tc>
        <w:tc>
          <w:tcPr>
            <w:tcW w:w="2740" w:type="dxa"/>
            <w:vAlign w:val="bottom"/>
          </w:tcPr>
          <w:p>
            <w:pPr>
              <w:jc w:val="center"/>
              <w:spacing w:after="0"/>
              <w:rPr>
                <w:sz w:val="20"/>
                <w:szCs w:val="20"/>
                <w:color w:val="auto"/>
              </w:rPr>
            </w:pPr>
            <w:r>
              <w:rPr>
                <w:rFonts w:ascii="Arial" w:cs="Arial" w:eastAsia="Arial" w:hAnsi="Arial"/>
                <w:sz w:val="18"/>
                <w:szCs w:val="18"/>
                <w:color w:val="auto"/>
                <w:w w:val="94"/>
              </w:rPr>
              <w:t>Non-Medical Limits</w:t>
            </w:r>
          </w:p>
        </w:tc>
      </w:tr>
      <w:tr>
        <w:trPr>
          <w:trHeight w:val="202"/>
        </w:trPr>
        <w:tc>
          <w:tcPr>
            <w:tcW w:w="2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0-50</w:t>
            </w:r>
          </w:p>
        </w:tc>
        <w:tc>
          <w:tcPr>
            <w:tcW w:w="120" w:type="dxa"/>
            <w:vAlign w:val="bottom"/>
          </w:tcPr>
          <w:p>
            <w:pPr>
              <w:spacing w:after="0"/>
              <w:rPr>
                <w:sz w:val="17"/>
                <w:szCs w:val="17"/>
                <w:color w:val="auto"/>
              </w:rPr>
            </w:pPr>
          </w:p>
        </w:tc>
        <w:tc>
          <w:tcPr>
            <w:tcW w:w="2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$100,000</w:t>
            </w:r>
          </w:p>
        </w:tc>
      </w:tr>
      <w:tr>
        <w:trPr>
          <w:trHeight w:val="230"/>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51-up</w:t>
            </w: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Medical information</w:t>
            </w:r>
          </w:p>
        </w:tc>
      </w:tr>
    </w:tbl>
    <w:p>
      <w:pPr>
        <w:ind w:left="4380"/>
        <w:spacing w:after="0"/>
        <w:rPr>
          <w:sz w:val="20"/>
          <w:szCs w:val="20"/>
          <w:color w:val="auto"/>
        </w:rPr>
      </w:pPr>
      <w:r>
        <w:rPr>
          <w:rFonts w:ascii="Arial" w:cs="Arial" w:eastAsia="Arial" w:hAnsi="Arial"/>
          <w:sz w:val="18"/>
          <w:szCs w:val="18"/>
          <w:color w:val="auto"/>
        </w:rPr>
        <w:t>required (APS or exam)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When underwriting life insurance, the Company will sometimes issue policies with higher premium rates for substandard risks.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funeral plan insurance is written on a simplified medical application with underwriting requirements being a completed application, a phone interview of the applicant, and an intelliscript prescription history inquiry. There are several underwriting classes in which an applicant can be placed.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of time, such as an individual’s life, or for such other period as may be designated.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Annuities have guaranteed interest rates that range from 1% to 6.5% per annum. Rates above the guaranteed interest rate credited are periodically modified by the Board of Directors at its discretion. In order for the Company to realize a profit on an annuity product, the Company must maintain an interest rate spread between its investment income and the interest rate credited to the annuities. Commissions, issuance expenses, and general and administrative expenses are deducted from this interest rate spread.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and Distribution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general market for the Company’s annuities is middle to older age individuals. A major source of annuity sales come from direct agents and are sold in conjunction with other insurance sales. If an individual does not qualify for a funeral plan, the agent will often sell that individual an annuity to fund final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annuity business for the five years ended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5"/>
              </w:rPr>
              <w:t>Annuities Policy/Cert Count as of December 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26,565(1)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8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Deposits Collected (omitted 000)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9,719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9,637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10,400(1)  $</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9,644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acquisition of Kilpatrick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Accident and Health</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its various acquisitions, the Company occasionally acquires small blocks of accident and health policies, which it continues to service. The Company offers a low-cost comprehensive diver’s accident policy that provides worldwide coverage for medical expense reimbursement in the event of a diving accident.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Markets and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markets its diver’s accident policies through the internet.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accident and health insurance business for the five years ended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r>
      <w:tr>
        <w:trPr>
          <w:trHeight w:val="182"/>
        </w:trPr>
        <w:tc>
          <w:tcPr>
            <w:tcW w:w="3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Accident and Health Policy/Cert Count as of</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15,133(1)</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4,069</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Premiums Collected (omitted 000)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110(1)  $</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acquisition of Kilpatrick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the Company’s policy to retain no more than $100,000 of ordinary insurance per insured life, with the excess risk being reinsured. The total amount of life insurance reinsured by other companies as of December 31, 2021, was $364,471,000, which represented approximately 12.7% of the Company’s life insurance in force on that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“Management’s Discussion and Analysis of Results of Operations and Financial Condition” and “Notes to Consolidated Financial Statements” for additional disclosure and discussion regarding reinsurance.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investments that support the Company’s life insurance and annuity obligations are determined by the investment committees of the Company’s subsidiaries and ratified by the full boards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“Management’s Discussion and Analysis of Results of Operations and Financial Condition” and “Notes to Consolidated Financial Statements” for additional disclosure and discussion regarding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Cemetery and Mortuary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six separate stand-alone mortuary facilities.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Markets and Distribution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pre-need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geographic area.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actively seeks to sell its cemetery and funeral products to customers on a pre-need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customers are located via telephone sales prospecting, responses to letters mailed by the pre-planning consultants, newspaper inserts, referrals, and door-to-door canvassing. The Company trains its sales representatives and helps generate leads for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SecurityNational Mortgage is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EverLEND Mortgage is also approved by the U.S. Department of Housing and Urban Development (HUD), and other secondary market investors, to originate a variety of residential mortgage loan products. The Company uses internal and external funding sources to fund mortgage loans. In December 2021, the Company ceased operations in EverLEND Mortgage and merged its operations into SecurityNational Mortgage.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Security National Life originates and funds commercial real estate loans, residential construction loans, and land development loans for internal investment.</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Markets and Distribution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residential mortgage lending services are marketed primarily to real estate brokers, builders and directly with consumers. The Company has a strong retail origination presence in the Utah, Florida, Texas, Nevada and Arizona markets and is experiencing rapid growth with sales representatives in these and many other states across the country. See “Management’s Discussion and Analysis of Results of Operations and Financial Condition” and “Notes to Consolidated Financial Statements” for additional disclosure and discussion regarding mortgage loans.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 Acquisitions and Other Business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Acquisition of Rivera Funerals, Cremations and Memorial Gardens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21, 2021, the Company, through Memorial Estates Inc., completed a business combination transaction with Rivera Funerals, Cremations and Memorial Gardens. The mortuaries and cemetery are located in New Mexico.</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transaction, as set forth in the Asset Purchase Agreement, dated December 21, 2021, Memorial Estates Inc. paid a net purchase price of $10,693,395 for the business and assets of Rivera Funerals, Cremations and Memorial Gardens, subject to holdback amounts held by Memorial Estates, Inc. in the total amount of $1,120,000. Pursuant to the Asset Purchase Agreement, Memorial Estates, Inc. is to use $70,000 of the holdback amount to pay, perform and discharge when due, trade accounts payable of Rivera Funerals, Cremations and Memorial Gardens to third parties that remained unpaid. Unapplied portions of the remaining $1,050,000 holdback amount are to be released and paid by Memorial Estates Inc. in annual payments of up to $105,000 each, beginning on the first anniversary date of the closing date and continuing thereafter on the anniversary dates of the closing date.</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Acquisition of Holbrook Mortuary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28, 2021, the Company, through its wholly-owned subsidiary, Memorial Mortuary Inc., completed a business combination transaction with Holbrook Mortuary located in Salt Lake City, Utah.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transaction, as set forth in the Asset Purchase Agreement, dated December 28, 2021, Memorial Mortuary Inc. paid a net purchase price of $3,051,747 for the business and assets of Holbrook Mortuary.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capitalizing on the opportunity to develop commercial and residential assets on its existing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primarily relating to the Center53 Development. The Company plans to continue its development endeavors as based upon its assessment of the market demand.</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Center53 Development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Center53 Development is an office development project comprising nearly 20 acres of land that is currently owned by the Company in the central valley of Salt Lake City. At final completion, the multi-year, phased development will create a campus atmosphere and include nearly one million square-feet of office space in five buildings, ranging from four to eleven stories, and will be serviced by three parking structures with about 4,000 stalls. In 2015, the Company broke ground and commenced development on the first phase which included a six-story building of nearly 200,000 square feet and a parking garage with 748 parking stalls. The first phase of the project was completed in July 2017 and is currently 100% leased. The second phase of the project began in March 2020 and includes a second six story building of nearly 221,000 square feet and a parking garage with approximately 870 stalls. The Company began its occupancy of a portion of the building in October 2021 and the remainder of the building has been leased, with occupancy planned for April 2022. The Company plans to initiate future phases of the Center53 Development for additional Class A office space in the central valley of Salt Lake City.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insurance subsidiaries are subject to comprehensive regulation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conduct relevant business. Such regulation may cause unforeseen costs and operational restrictions, and delay implementation of the Company’s business plans.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The Company’s life insurance subsidiaries are currently subject to regulation in Utah, Louisiana, Mississippi and Texas under insurance holding company legislation, and other states where applicable. Generally, intercompany transfers of assets and dividend payments from insurance subsidiaries are subject to prior notice of approval from the relevant state insurance department where, they are deemed “extraordinary” under relevant state law. The insurance subsidiaries are required, under state insurance laws, to file detailed annual reports with the supervisory agencies in each of the states in which they do business. Their business and accounts are also subject to examination by these agencies. The Company was notified in December 2020, that each of its life insurance subsidiaries had been selected for examination for the year ended December 31, 2020 and the periods since their last examinations. The Company was last examined in 2016 (First Guaranty Insurance), 2017 (Security National Life, Southern Security and Trans-Western) and 2019 (Kilpatrick Life). As of March 2022, the Utah, Mississippi and Texas insurance departments had completed their examination and provided final examination reports to the Company.</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Texas Department of Banking also audits pre-need insurance policies that are issued in the state of Texas. Pre-need policies include the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is also required to indicate the number of new policies issued for that year, all death claims paid that year, and all premiums received.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California and New Mexico. The subsidiaries are required to keep annual reports on file including financial information concerning the number of spaces sold and, where applicable, funds provided to the Endowment Care Trust Fund. Licenses are issued annually on the basis of such reports. The cemeteries maintain city or county licenses where they conduct business.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and; procedures for loan origination and underwriting, licensing of brokers and loan officers and, quality review audits and specify the fees that can be charged to borrowers. Each year, the Company is required to have an audit completed for each mortgage subsidiary by an independent registered public accounting firm to verify compliance with the relevant regulations. In addition to the government regulations, the Company must meet loan requirements, and underwriting guidelines of various investors who purchase the loans. EverLEND Mortgage is not required to have an audit for 2021 since it ceased operations in December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Under The Tax Cuts and Jobs Act, December 31, 2017 policyholder surplus account balances result in taxable income over a period of eight years.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The Company’s non-life insurance company subsidiaries are taxed in general under the regular corporate tax provisions. The Company’s subsidiaries Southern Security and Trans-Western are regulated as life insurance companies but do not meet the Internal Revenue Code definition of a life insurance company, so they are taxed as insurance companies other than life insurance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life insurance industry is highly competitive. There are approximately 800 legal reserve life insurance companies in business in the United States. These insurance companies differentiate themselves through marketing techniques, product features, price, and customer service. The Company’s insurance subsidiaries compete with a large number of insurance companies, many of which have greater financial resources, a longer business history, and more diversified line of insurance products than the Company. In addition, such companies generally have a larger sales force.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cemetery and mortuary industry is also highly competitive. In the Utah, California and New Mexico markets where the Company competes, there are a number of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pre-need sales program that is not incurred by those competitors which do not have a pre-need sales force. The Company believes that its products and prices are generally competitive with those in the industry.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mortgage industry is highly competitive with a large number of mortgage companies and banks in the same geographic area in which the Company is operating. The mortgage industry in general is sensitive to changes in interest rates and the refinancing market is particularly vulnerable to changes in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employed 1,619 full-time and 114 part-time employees. Of the full-time employees, 1,118 were employed by the mortgage segment, 384 by the life insurance segment, and 116 by the cemetery and mortuary segment. The Company requires monthly acknowledgement of its anti-discrimination and anti-harassment policies and communicates to its employees how to report concerns that relate to their employment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eligible employees may elect coverage under the Company’s group health (including health savings and flexible spending), retirement, supplemental life and voluntary benefit programs. As of December 31, 2021, 878 employees had elected to participate in the Company’s group health insurance plans.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an employee safe harbor retirement plan that qualifies under section 401(k) of the Internal Revenue Code and contributes a matching contribution based on the employee’s contribution and years of service.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provides other time off benefits such as paid sick and paid vacation time. The Company provides discounts on pre-need and death benefits to tenured employees. Additionally, the Company offers an employee assistance program that provides 24/7 counseling services for employees who may be facing challenges outside of the workplace.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location of the Company’s office facilities and certain other information relating to these properties.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Approximate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2"/>
              </w:rPr>
              <w:t>Owned /</w:t>
            </w:r>
          </w:p>
        </w:tc>
        <w:tc>
          <w:tcPr>
            <w:tcW w:w="2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Square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Lease</w:t>
            </w:r>
          </w:p>
        </w:tc>
        <w:tc>
          <w:tcPr>
            <w:tcW w:w="100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1740" w:type="dxa"/>
            <w:vAlign w:val="bottom"/>
          </w:tcPr>
          <w:p>
            <w:pPr>
              <w:ind w:left="460"/>
              <w:spacing w:after="0"/>
              <w:rPr>
                <w:sz w:val="20"/>
                <w:szCs w:val="20"/>
                <w:color w:val="auto"/>
              </w:rPr>
            </w:pPr>
            <w:r>
              <w:rPr>
                <w:rFonts w:ascii="Arial" w:cs="Arial" w:eastAsia="Arial" w:hAnsi="Arial"/>
                <w:sz w:val="18"/>
                <w:szCs w:val="18"/>
                <w:color w:val="auto"/>
              </w:rPr>
              <w:t>Street</w:t>
            </w:r>
          </w:p>
        </w:tc>
        <w:tc>
          <w:tcPr>
            <w:tcW w:w="220" w:type="dxa"/>
            <w:vAlign w:val="bottom"/>
          </w:tcPr>
          <w:p>
            <w:pPr>
              <w:spacing w:after="0"/>
              <w:rPr>
                <w:sz w:val="20"/>
                <w:szCs w:val="20"/>
                <w:color w:val="auto"/>
              </w:rPr>
            </w:pPr>
          </w:p>
        </w:tc>
        <w:tc>
          <w:tcPr>
            <w:tcW w:w="1740" w:type="dxa"/>
            <w:vAlign w:val="bottom"/>
          </w:tcPr>
          <w:p>
            <w:pPr>
              <w:ind w:left="720"/>
              <w:spacing w:after="0"/>
              <w:rPr>
                <w:sz w:val="20"/>
                <w:szCs w:val="20"/>
                <w:color w:val="auto"/>
              </w:rPr>
            </w:pPr>
            <w:r>
              <w:rPr>
                <w:rFonts w:ascii="Arial" w:cs="Arial" w:eastAsia="Arial" w:hAnsi="Arial"/>
                <w:sz w:val="18"/>
                <w:szCs w:val="18"/>
                <w:color w:val="auto"/>
              </w:rPr>
              <w:t>City</w:t>
            </w:r>
          </w:p>
        </w:tc>
        <w:tc>
          <w:tcPr>
            <w:tcW w:w="22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0"/>
                <w:szCs w:val="20"/>
                <w:color w:val="auto"/>
              </w:rPr>
            </w:pPr>
          </w:p>
        </w:tc>
        <w:tc>
          <w:tcPr>
            <w:tcW w:w="1780" w:type="dxa"/>
            <w:vAlign w:val="bottom"/>
            <w:gridSpan w:val="2"/>
          </w:tcPr>
          <w:p>
            <w:pPr>
              <w:ind w:left="460"/>
              <w:spacing w:after="0"/>
              <w:rPr>
                <w:sz w:val="20"/>
                <w:szCs w:val="20"/>
                <w:color w:val="auto"/>
              </w:rPr>
            </w:pPr>
            <w:r>
              <w:rPr>
                <w:rFonts w:ascii="Arial" w:cs="Arial" w:eastAsia="Arial" w:hAnsi="Arial"/>
                <w:sz w:val="18"/>
                <w:szCs w:val="18"/>
                <w:color w:val="auto"/>
              </w:rPr>
              <w:t>Function</w:t>
            </w:r>
          </w:p>
        </w:tc>
        <w:tc>
          <w:tcPr>
            <w:tcW w:w="660" w:type="dxa"/>
            <w:vAlign w:val="bottom"/>
          </w:tcPr>
          <w:p>
            <w:pPr>
              <w:ind w:left="80"/>
              <w:spacing w:after="0"/>
              <w:rPr>
                <w:sz w:val="20"/>
                <w:szCs w:val="20"/>
                <w:color w:val="auto"/>
              </w:rPr>
            </w:pPr>
            <w:r>
              <w:rPr>
                <w:rFonts w:ascii="Arial" w:cs="Arial" w:eastAsia="Arial" w:hAnsi="Arial"/>
                <w:sz w:val="18"/>
                <w:szCs w:val="18"/>
                <w:color w:val="auto"/>
                <w:w w:val="94"/>
              </w:rPr>
              <w:t>Leased</w:t>
            </w:r>
          </w:p>
        </w:tc>
        <w:tc>
          <w:tcPr>
            <w:tcW w:w="2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Footage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Amount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Expiration</w:t>
            </w:r>
          </w:p>
        </w:tc>
      </w:tr>
      <w:tr>
        <w:trPr>
          <w:trHeight w:val="195"/>
        </w:trPr>
        <w:tc>
          <w:tcPr>
            <w:tcW w:w="4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Corporate</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Headquarters,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Insurance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Cemetery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Mortuary</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433 W. Ascension Way</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Salt Lake City</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UT</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1044</w:t>
            </w:r>
          </w:p>
        </w:tc>
        <w:tc>
          <w:tcPr>
            <w:tcW w:w="1740" w:type="dxa"/>
            <w:vAlign w:val="bottom"/>
          </w:tcPr>
          <w:p>
            <w:pPr>
              <w:spacing w:after="0"/>
              <w:rPr>
                <w:sz w:val="20"/>
                <w:szCs w:val="20"/>
                <w:color w:val="auto"/>
              </w:rPr>
            </w:pPr>
            <w:r>
              <w:rPr>
                <w:rFonts w:ascii="Arial" w:cs="Arial" w:eastAsia="Arial" w:hAnsi="Arial"/>
                <w:sz w:val="18"/>
                <w:szCs w:val="18"/>
                <w:color w:val="auto"/>
              </w:rPr>
              <w:t>River Oaks Dr.</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Flowood</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MS</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Insurance Operations</w:t>
            </w:r>
          </w:p>
        </w:tc>
        <w:tc>
          <w:tcPr>
            <w:tcW w:w="660" w:type="dxa"/>
            <w:vAlign w:val="bottom"/>
          </w:tcPr>
          <w:p>
            <w:pPr>
              <w:spacing w:after="0"/>
              <w:rPr>
                <w:sz w:val="20"/>
                <w:szCs w:val="20"/>
                <w:color w:val="auto"/>
              </w:rPr>
            </w:pPr>
            <w:r>
              <w:rPr>
                <w:rFonts w:ascii="Arial" w:cs="Arial" w:eastAsia="Arial" w:hAnsi="Arial"/>
                <w:sz w:val="18"/>
                <w:szCs w:val="18"/>
                <w:color w:val="auto"/>
              </w:rPr>
              <w:t>Owned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1818</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Marshall St.</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Shreveport</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Insurance Operations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812 Sheppard St.</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Minden</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LA</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Insurance Sales</w:t>
            </w:r>
          </w:p>
        </w:tc>
        <w:tc>
          <w:tcPr>
            <w:tcW w:w="660" w:type="dxa"/>
            <w:vAlign w:val="bottom"/>
          </w:tcPr>
          <w:p>
            <w:pPr>
              <w:spacing w:after="0"/>
              <w:rPr>
                <w:sz w:val="20"/>
                <w:szCs w:val="20"/>
                <w:color w:val="auto"/>
              </w:rPr>
            </w:pPr>
            <w:r>
              <w:rPr>
                <w:rFonts w:ascii="Arial" w:cs="Arial" w:eastAsia="Arial" w:hAnsi="Arial"/>
                <w:sz w:val="18"/>
                <w:szCs w:val="18"/>
                <w:color w:val="auto"/>
              </w:rPr>
              <w:t>Owned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909 Foisy Ave.</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Alexandria</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Insurance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1550</w:t>
            </w:r>
          </w:p>
        </w:tc>
        <w:tc>
          <w:tcPr>
            <w:tcW w:w="1740" w:type="dxa"/>
            <w:vAlign w:val="bottom"/>
          </w:tcPr>
          <w:p>
            <w:pPr>
              <w:spacing w:after="0"/>
              <w:rPr>
                <w:sz w:val="20"/>
                <w:szCs w:val="20"/>
                <w:color w:val="auto"/>
              </w:rPr>
            </w:pPr>
            <w:r>
              <w:rPr>
                <w:rFonts w:ascii="Arial" w:cs="Arial" w:eastAsia="Arial" w:hAnsi="Arial"/>
                <w:sz w:val="18"/>
                <w:szCs w:val="18"/>
                <w:color w:val="auto"/>
              </w:rPr>
              <w:t>N. Third St.</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Jena</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LA</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Insurance Sales</w:t>
            </w:r>
          </w:p>
        </w:tc>
        <w:tc>
          <w:tcPr>
            <w:tcW w:w="660" w:type="dxa"/>
            <w:vAlign w:val="bottom"/>
          </w:tcPr>
          <w:p>
            <w:pPr>
              <w:spacing w:after="0"/>
              <w:rPr>
                <w:sz w:val="20"/>
                <w:szCs w:val="20"/>
                <w:color w:val="auto"/>
              </w:rPr>
            </w:pPr>
            <w:r>
              <w:rPr>
                <w:rFonts w:ascii="Arial" w:cs="Arial" w:eastAsia="Arial" w:hAnsi="Arial"/>
                <w:sz w:val="18"/>
                <w:szCs w:val="18"/>
                <w:color w:val="auto"/>
              </w:rPr>
              <w:t>Owned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 Sanctuary Blvd.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5"/>
              </w:rPr>
              <w:t>302A</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Mandeville</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Insurance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2,262/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6/30/2023</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Funeral Service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79 E. Main Street</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Midway</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UT</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4,476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5,410/ mo</w:t>
            </w:r>
          </w:p>
        </w:tc>
        <w:tc>
          <w:tcPr>
            <w:tcW w:w="1000" w:type="dxa"/>
            <w:vAlign w:val="bottom"/>
          </w:tcPr>
          <w:p>
            <w:pPr>
              <w:jc w:val="right"/>
              <w:spacing w:after="0"/>
              <w:rPr>
                <w:sz w:val="20"/>
                <w:szCs w:val="20"/>
                <w:color w:val="auto"/>
              </w:rPr>
            </w:pPr>
            <w:r>
              <w:rPr>
                <w:rFonts w:ascii="Arial" w:cs="Arial" w:eastAsia="Arial" w:hAnsi="Arial"/>
                <w:sz w:val="18"/>
                <w:szCs w:val="18"/>
                <w:color w:val="auto"/>
              </w:rPr>
              <w:t>10/31/2022</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Funeral Service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4387</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 500 W.</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Salt Lake City</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UT</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7/31/2025</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Funeral Service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1627A Central Ave.</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Los Alamos</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1,400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1,600/ mo</w:t>
            </w:r>
          </w:p>
        </w:tc>
        <w:tc>
          <w:tcPr>
            <w:tcW w:w="1000" w:type="dxa"/>
            <w:vAlign w:val="bottom"/>
          </w:tcPr>
          <w:p>
            <w:pPr>
              <w:jc w:val="right"/>
              <w:spacing w:after="0"/>
              <w:rPr>
                <w:sz w:val="20"/>
                <w:szCs w:val="20"/>
                <w:color w:val="auto"/>
              </w:rPr>
            </w:pPr>
            <w:r>
              <w:rPr>
                <w:rFonts w:ascii="Arial" w:cs="Arial" w:eastAsia="Arial" w:hAnsi="Arial"/>
                <w:sz w:val="18"/>
                <w:szCs w:val="18"/>
                <w:color w:val="auto"/>
              </w:rPr>
              <w:t>12/30/2024</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Fast Funding</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Market Way</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Rainbow City</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1/31/2025</w:t>
            </w:r>
          </w:p>
        </w:tc>
      </w:tr>
      <w:tr>
        <w:trPr>
          <w:trHeight w:val="202"/>
        </w:trPr>
        <w:tc>
          <w:tcPr>
            <w:tcW w:w="420" w:type="dxa"/>
            <w:vAlign w:val="bottom"/>
          </w:tcPr>
          <w:p>
            <w:pPr>
              <w:spacing w:after="0" w:line="201" w:lineRule="exact"/>
              <w:rPr>
                <w:sz w:val="20"/>
                <w:szCs w:val="20"/>
                <w:color w:val="auto"/>
              </w:rPr>
            </w:pPr>
            <w:r>
              <w:rPr>
                <w:rFonts w:ascii="Arial" w:cs="Arial" w:eastAsia="Arial" w:hAnsi="Arial"/>
                <w:sz w:val="18"/>
                <w:szCs w:val="18"/>
                <w:color w:val="auto"/>
                <w:w w:val="99"/>
              </w:rPr>
              <w:t>1819</w:t>
            </w: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 Dobson Rd., Suite</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202</w:t>
            </w:r>
          </w:p>
        </w:tc>
        <w:tc>
          <w:tcPr>
            <w:tcW w:w="17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Mesa</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890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1,038/ mo</w:t>
            </w:r>
          </w:p>
        </w:tc>
        <w:tc>
          <w:tcPr>
            <w:tcW w:w="1000" w:type="dxa"/>
            <w:vAlign w:val="bottom"/>
          </w:tcPr>
          <w:p>
            <w:pPr>
              <w:jc w:val="right"/>
              <w:spacing w:after="0"/>
              <w:rPr>
                <w:sz w:val="20"/>
                <w:szCs w:val="20"/>
                <w:color w:val="auto"/>
              </w:rPr>
            </w:pPr>
            <w:r>
              <w:rPr>
                <w:rFonts w:ascii="Arial" w:cs="Arial" w:eastAsia="Arial" w:hAnsi="Arial"/>
                <w:sz w:val="18"/>
                <w:szCs w:val="18"/>
                <w:color w:val="auto"/>
              </w:rPr>
              <w:t>7/31/2022</w:t>
            </w:r>
          </w:p>
        </w:tc>
      </w:tr>
      <w:tr>
        <w:trPr>
          <w:trHeight w:val="202"/>
        </w:trPr>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1819</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Dobson Rd.,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Mesa</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1,682/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7/31/2022</w:t>
            </w: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17015 N. Scottsdale Rd.,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Suite 125</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Scottsdale</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6,070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7,327/ mo</w:t>
            </w:r>
          </w:p>
        </w:tc>
        <w:tc>
          <w:tcPr>
            <w:tcW w:w="1000" w:type="dxa"/>
            <w:vAlign w:val="bottom"/>
          </w:tcPr>
          <w:p>
            <w:pPr>
              <w:jc w:val="right"/>
              <w:spacing w:after="0"/>
              <w:rPr>
                <w:sz w:val="20"/>
                <w:szCs w:val="20"/>
                <w:color w:val="auto"/>
              </w:rPr>
            </w:pPr>
            <w:r>
              <w:rPr>
                <w:rFonts w:ascii="Arial" w:cs="Arial" w:eastAsia="Arial" w:hAnsi="Arial"/>
                <w:sz w:val="18"/>
                <w:szCs w:val="18"/>
                <w:color w:val="auto"/>
              </w:rPr>
              <w:t>7/31/2023</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4725</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 19th Ave.</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Phoenix</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5100</w:t>
            </w:r>
          </w:p>
        </w:tc>
        <w:tc>
          <w:tcPr>
            <w:tcW w:w="1740" w:type="dxa"/>
            <w:vAlign w:val="bottom"/>
          </w:tcPr>
          <w:p>
            <w:pPr>
              <w:spacing w:after="0"/>
              <w:rPr>
                <w:sz w:val="20"/>
                <w:szCs w:val="20"/>
                <w:color w:val="auto"/>
              </w:rPr>
            </w:pPr>
            <w:r>
              <w:rPr>
                <w:rFonts w:ascii="Arial" w:cs="Arial" w:eastAsia="Arial" w:hAnsi="Arial"/>
                <w:sz w:val="18"/>
                <w:szCs w:val="18"/>
                <w:color w:val="auto"/>
                <w:w w:val="92"/>
              </w:rPr>
              <w:t>N. 99th Ave., Suite 101</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Phoenix</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3,369/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5100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2"/>
              </w:rPr>
              <w:t>N. 99th Ave., Suite 111</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Phoenix</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8/31/2022</w:t>
            </w: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w w:val="95"/>
              </w:rPr>
              <w:t>10609 N. Hayden Rd., Suite</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100</w:t>
            </w:r>
          </w:p>
        </w:tc>
        <w:tc>
          <w:tcPr>
            <w:tcW w:w="17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Scottsdale</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3,585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2828</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 Central Ave.,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1100A</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Phoenix</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4,859/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2636</w:t>
            </w:r>
          </w:p>
        </w:tc>
        <w:tc>
          <w:tcPr>
            <w:tcW w:w="1740" w:type="dxa"/>
            <w:vAlign w:val="bottom"/>
          </w:tcPr>
          <w:p>
            <w:pPr>
              <w:spacing w:after="0"/>
              <w:rPr>
                <w:sz w:val="20"/>
                <w:szCs w:val="20"/>
                <w:color w:val="auto"/>
              </w:rPr>
            </w:pPr>
            <w:r>
              <w:rPr>
                <w:rFonts w:ascii="Arial" w:cs="Arial" w:eastAsia="Arial" w:hAnsi="Arial"/>
                <w:sz w:val="18"/>
                <w:szCs w:val="18"/>
                <w:color w:val="auto"/>
              </w:rPr>
              <w:t>Hwy 95, Suite 2</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Bullhead City</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1490</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Price Road,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318</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Chandler</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8/31/2022</w:t>
            </w:r>
          </w:p>
        </w:tc>
      </w:tr>
      <w:tr>
        <w:trPr>
          <w:trHeight w:val="202"/>
        </w:trPr>
        <w:tc>
          <w:tcPr>
            <w:tcW w:w="420" w:type="dxa"/>
            <w:vAlign w:val="bottom"/>
          </w:tcPr>
          <w:p>
            <w:pPr>
              <w:spacing w:after="0" w:line="201" w:lineRule="exact"/>
              <w:rPr>
                <w:sz w:val="20"/>
                <w:szCs w:val="20"/>
                <w:color w:val="auto"/>
              </w:rPr>
            </w:pPr>
            <w:r>
              <w:rPr>
                <w:rFonts w:ascii="Arial" w:cs="Arial" w:eastAsia="Arial" w:hAnsi="Arial"/>
                <w:sz w:val="18"/>
                <w:szCs w:val="18"/>
                <w:color w:val="auto"/>
                <w:w w:val="99"/>
              </w:rPr>
              <w:t>1951</w:t>
            </w: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W. Camelback Rd.,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Suite 200</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Phoenix</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AZ</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2,446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2,567/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2436</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 4th St., Suite 920</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 Beach</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40977 Oak Dr.</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Forest Falls</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2934</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 Garvey Ave. South,</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250</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West Covina</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573 Chouinard Cir.</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Claremont</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7398</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Fox Trail Unit B</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Yucca Valley</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26511 Silver Spring</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Lake Forest</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2325</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El Empino</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 Habra Heights</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w w:val="95"/>
              </w:rPr>
              <w:t>445 W. University Ave., Apt.</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17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San Deigo</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tcPr>
          <w:p>
            <w:pPr>
              <w:jc w:val="right"/>
              <w:spacing w:after="0"/>
              <w:rPr>
                <w:sz w:val="20"/>
                <w:szCs w:val="20"/>
                <w:color w:val="auto"/>
              </w:rPr>
            </w:pPr>
            <w:r>
              <w:rPr>
                <w:rFonts w:ascii="Arial" w:cs="Arial" w:eastAsia="Arial" w:hAnsi="Arial"/>
                <w:sz w:val="18"/>
                <w:szCs w:val="18"/>
                <w:color w:val="auto"/>
              </w:rPr>
              <w:t>1/13/2022</w:t>
            </w:r>
          </w:p>
        </w:tc>
      </w:tr>
      <w:tr>
        <w:trPr>
          <w:trHeight w:val="211"/>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7315</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Shady Oak Dr.</w:t>
            </w:r>
          </w:p>
        </w:tc>
        <w:tc>
          <w:tcPr>
            <w:tcW w:w="1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Downey</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 to</w:t>
            </w:r>
          </w:p>
        </w:tc>
      </w:tr>
    </w:tbl>
    <w:p>
      <w:pPr>
        <w:sectPr>
          <w:pgSz w:w="11900" w:h="16900" w:orient="portrait"/>
          <w:cols w:equalWidth="0" w:num="1">
            <w:col w:w="11240"/>
          </w:cols>
          <w:pgMar w:left="320" w:top="688"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1805</w:t>
            </w:r>
          </w:p>
        </w:tc>
        <w:tc>
          <w:tcPr>
            <w:tcW w:w="1840" w:type="dxa"/>
            <w:vAlign w:val="bottom"/>
          </w:tcPr>
          <w:p>
            <w:pPr>
              <w:ind w:left="20"/>
              <w:spacing w:after="0"/>
              <w:rPr>
                <w:sz w:val="20"/>
                <w:szCs w:val="20"/>
                <w:color w:val="auto"/>
              </w:rPr>
            </w:pPr>
            <w:r>
              <w:rPr>
                <w:rFonts w:ascii="Arial" w:cs="Arial" w:eastAsia="Arial" w:hAnsi="Arial"/>
                <w:sz w:val="18"/>
                <w:szCs w:val="18"/>
                <w:color w:val="auto"/>
              </w:rPr>
              <w:t>W. Ave. K Suite 113</w:t>
            </w:r>
          </w:p>
        </w:tc>
        <w:tc>
          <w:tcPr>
            <w:tcW w:w="1740" w:type="dxa"/>
            <w:vAlign w:val="bottom"/>
          </w:tcPr>
          <w:p>
            <w:pPr>
              <w:ind w:left="140"/>
              <w:spacing w:after="0"/>
              <w:rPr>
                <w:sz w:val="20"/>
                <w:szCs w:val="20"/>
                <w:color w:val="auto"/>
              </w:rPr>
            </w:pPr>
            <w:r>
              <w:rPr>
                <w:rFonts w:ascii="Arial" w:cs="Arial" w:eastAsia="Arial" w:hAnsi="Arial"/>
                <w:sz w:val="18"/>
                <w:szCs w:val="18"/>
                <w:color w:val="auto"/>
              </w:rPr>
              <w:t>Lancaster</w:t>
            </w:r>
          </w:p>
        </w:tc>
        <w:tc>
          <w:tcPr>
            <w:tcW w:w="920" w:type="dxa"/>
            <w:vAlign w:val="bottom"/>
          </w:tcPr>
          <w:p>
            <w:pPr>
              <w:ind w:left="360"/>
              <w:spacing w:after="0"/>
              <w:rPr>
                <w:sz w:val="20"/>
                <w:szCs w:val="20"/>
                <w:color w:val="auto"/>
              </w:rPr>
            </w:pPr>
            <w:r>
              <w:rPr>
                <w:rFonts w:ascii="Arial" w:cs="Arial" w:eastAsia="Arial" w:hAnsi="Arial"/>
                <w:sz w:val="18"/>
                <w:szCs w:val="18"/>
                <w:color w:val="auto"/>
              </w:rPr>
              <w:t>CA</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850/ mo</w:t>
            </w:r>
          </w:p>
        </w:tc>
        <w:tc>
          <w:tcPr>
            <w:tcW w:w="960" w:type="dxa"/>
            <w:vAlign w:val="bottom"/>
          </w:tcPr>
          <w:p>
            <w:pPr>
              <w:jc w:val="right"/>
              <w:spacing w:after="0"/>
              <w:rPr>
                <w:sz w:val="20"/>
                <w:szCs w:val="20"/>
                <w:color w:val="auto"/>
              </w:rPr>
            </w:pPr>
            <w:r>
              <w:rPr>
                <w:rFonts w:ascii="Arial" w:cs="Arial" w:eastAsia="Arial" w:hAnsi="Arial"/>
                <w:sz w:val="18"/>
                <w:szCs w:val="18"/>
                <w:color w:val="auto"/>
              </w:rPr>
              <w:t>1/31/2022</w:t>
            </w: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225 S. Grand Ave., Suite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1005</w:t>
            </w:r>
          </w:p>
        </w:tc>
        <w:tc>
          <w:tcPr>
            <w:tcW w:w="1840" w:type="dxa"/>
            <w:vAlign w:val="bottom"/>
            <w:shd w:val="clear" w:color="auto" w:fill="CCEEFF"/>
          </w:tcPr>
          <w:p>
            <w:pPr>
              <w:spacing w:after="0"/>
              <w:rPr>
                <w:sz w:val="20"/>
                <w:szCs w:val="20"/>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 Angeles</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1/13/2022</w:t>
            </w: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3247</w:t>
            </w:r>
          </w:p>
        </w:tc>
        <w:tc>
          <w:tcPr>
            <w:tcW w:w="1840" w:type="dxa"/>
            <w:vAlign w:val="bottom"/>
          </w:tcPr>
          <w:p>
            <w:pPr>
              <w:ind w:left="20"/>
              <w:spacing w:after="0" w:line="201" w:lineRule="exact"/>
              <w:rPr>
                <w:sz w:val="20"/>
                <w:szCs w:val="20"/>
                <w:color w:val="auto"/>
              </w:rPr>
            </w:pPr>
            <w:r>
              <w:rPr>
                <w:rFonts w:ascii="Arial" w:cs="Arial" w:eastAsia="Arial" w:hAnsi="Arial"/>
                <w:sz w:val="18"/>
                <w:szCs w:val="18"/>
                <w:color w:val="auto"/>
              </w:rPr>
              <w:t>W. March Ln., Suite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125</w:t>
            </w:r>
          </w:p>
        </w:tc>
        <w:tc>
          <w:tcPr>
            <w:tcW w:w="184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Stockton</w:t>
            </w:r>
          </w:p>
        </w:tc>
        <w:tc>
          <w:tcPr>
            <w:tcW w:w="920" w:type="dxa"/>
            <w:vAlign w:val="bottom"/>
          </w:tcPr>
          <w:p>
            <w:pPr>
              <w:ind w:left="360"/>
              <w:spacing w:after="0"/>
              <w:rPr>
                <w:sz w:val="20"/>
                <w:szCs w:val="20"/>
                <w:color w:val="auto"/>
              </w:rPr>
            </w:pPr>
            <w:r>
              <w:rPr>
                <w:rFonts w:ascii="Arial" w:cs="Arial" w:eastAsia="Arial" w:hAnsi="Arial"/>
                <w:sz w:val="18"/>
                <w:szCs w:val="18"/>
                <w:color w:val="auto"/>
              </w:rPr>
              <w:t>CA</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3,504/ mo</w:t>
            </w:r>
          </w:p>
        </w:tc>
        <w:tc>
          <w:tcPr>
            <w:tcW w:w="960" w:type="dxa"/>
            <w:vAlign w:val="bottom"/>
          </w:tcPr>
          <w:p>
            <w:pPr>
              <w:jc w:val="right"/>
              <w:spacing w:after="0"/>
              <w:rPr>
                <w:sz w:val="20"/>
                <w:szCs w:val="20"/>
                <w:color w:val="auto"/>
              </w:rPr>
            </w:pPr>
            <w:r>
              <w:rPr>
                <w:rFonts w:ascii="Arial" w:cs="Arial" w:eastAsia="Arial" w:hAnsi="Arial"/>
                <w:sz w:val="18"/>
                <w:szCs w:val="18"/>
                <w:color w:val="auto"/>
              </w:rPr>
              <w:t>11/30/2024</w:t>
            </w:r>
          </w:p>
        </w:tc>
      </w:tr>
      <w:tr>
        <w:trPr>
          <w:trHeight w:val="202"/>
        </w:trPr>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5001</w:t>
            </w:r>
          </w:p>
        </w:tc>
        <w:tc>
          <w:tcPr>
            <w:tcW w:w="1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 Commercial Dr.,</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285</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Bakersfield</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1,576/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6/30/2024</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w w:val="97"/>
              </w:rPr>
              <w:t>155 S. Highway 101, Suite 7</w:t>
            </w:r>
          </w:p>
        </w:tc>
        <w:tc>
          <w:tcPr>
            <w:tcW w:w="1740" w:type="dxa"/>
            <w:vAlign w:val="bottom"/>
          </w:tcPr>
          <w:p>
            <w:pPr>
              <w:ind w:left="140"/>
              <w:spacing w:after="0"/>
              <w:rPr>
                <w:sz w:val="20"/>
                <w:szCs w:val="20"/>
                <w:color w:val="auto"/>
              </w:rPr>
            </w:pPr>
            <w:r>
              <w:rPr>
                <w:rFonts w:ascii="Arial" w:cs="Arial" w:eastAsia="Arial" w:hAnsi="Arial"/>
                <w:sz w:val="18"/>
                <w:szCs w:val="18"/>
                <w:color w:val="auto"/>
              </w:rPr>
              <w:t>Solana Beach</w:t>
            </w:r>
          </w:p>
        </w:tc>
        <w:tc>
          <w:tcPr>
            <w:tcW w:w="920" w:type="dxa"/>
            <w:vAlign w:val="bottom"/>
          </w:tcPr>
          <w:p>
            <w:pPr>
              <w:ind w:left="360"/>
              <w:spacing w:after="0"/>
              <w:rPr>
                <w:sz w:val="20"/>
                <w:szCs w:val="20"/>
                <w:color w:val="auto"/>
              </w:rPr>
            </w:pPr>
            <w:r>
              <w:rPr>
                <w:rFonts w:ascii="Arial" w:cs="Arial" w:eastAsia="Arial" w:hAnsi="Arial"/>
                <w:sz w:val="18"/>
                <w:szCs w:val="18"/>
                <w:color w:val="auto"/>
              </w:rPr>
              <w:t>CA</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7,000/ mo</w:t>
            </w:r>
          </w:p>
        </w:tc>
        <w:tc>
          <w:tcPr>
            <w:tcW w:w="960" w:type="dxa"/>
            <w:vAlign w:val="bottom"/>
          </w:tcPr>
          <w:p>
            <w:pPr>
              <w:jc w:val="right"/>
              <w:spacing w:after="0"/>
              <w:rPr>
                <w:sz w:val="20"/>
                <w:szCs w:val="20"/>
                <w:color w:val="auto"/>
              </w:rPr>
            </w:pPr>
            <w:r>
              <w:rPr>
                <w:rFonts w:ascii="Arial" w:cs="Arial" w:eastAsia="Arial" w:hAnsi="Arial"/>
                <w:sz w:val="18"/>
                <w:szCs w:val="18"/>
                <w:color w:val="auto"/>
              </w:rPr>
              <w:t>7/31/2026</w:t>
            </w:r>
          </w:p>
        </w:tc>
      </w:tr>
      <w:tr>
        <w:trPr>
          <w:trHeight w:val="202"/>
        </w:trPr>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36372 Canyon Terrace Dr.</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Yucaipa</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12821 War Horse St.</w:t>
            </w:r>
          </w:p>
        </w:tc>
        <w:tc>
          <w:tcPr>
            <w:tcW w:w="1740" w:type="dxa"/>
            <w:vAlign w:val="bottom"/>
          </w:tcPr>
          <w:p>
            <w:pPr>
              <w:ind w:left="140"/>
              <w:spacing w:after="0"/>
              <w:rPr>
                <w:sz w:val="20"/>
                <w:szCs w:val="20"/>
                <w:color w:val="auto"/>
              </w:rPr>
            </w:pPr>
            <w:r>
              <w:rPr>
                <w:rFonts w:ascii="Arial" w:cs="Arial" w:eastAsia="Arial" w:hAnsi="Arial"/>
                <w:sz w:val="18"/>
                <w:szCs w:val="18"/>
                <w:color w:val="auto"/>
              </w:rPr>
              <w:t>San Deigo</w:t>
            </w:r>
          </w:p>
        </w:tc>
        <w:tc>
          <w:tcPr>
            <w:tcW w:w="920" w:type="dxa"/>
            <w:vAlign w:val="bottom"/>
          </w:tcPr>
          <w:p>
            <w:pPr>
              <w:ind w:left="360"/>
              <w:spacing w:after="0"/>
              <w:rPr>
                <w:sz w:val="20"/>
                <w:szCs w:val="20"/>
                <w:color w:val="auto"/>
              </w:rPr>
            </w:pPr>
            <w:r>
              <w:rPr>
                <w:rFonts w:ascii="Arial" w:cs="Arial" w:eastAsia="Arial" w:hAnsi="Arial"/>
                <w:sz w:val="18"/>
                <w:szCs w:val="18"/>
                <w:color w:val="auto"/>
              </w:rPr>
              <w:t>CA</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5475</w:t>
            </w:r>
          </w:p>
        </w:tc>
        <w:tc>
          <w:tcPr>
            <w:tcW w:w="1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Tech Center Dr., Suite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40" w:type="dxa"/>
            <w:vAlign w:val="bottom"/>
            <w:shd w:val="clear" w:color="auto" w:fill="CCEEFF"/>
          </w:tcPr>
          <w:p>
            <w:pPr>
              <w:spacing w:after="0"/>
              <w:rPr>
                <w:sz w:val="20"/>
                <w:szCs w:val="20"/>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Colorado Springs</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4,708/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9/30/2023</w:t>
            </w:r>
          </w:p>
        </w:tc>
      </w:tr>
      <w:tr>
        <w:trPr>
          <w:trHeight w:val="202"/>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27 Main St., Suite C-104B</w:t>
            </w:r>
          </w:p>
        </w:tc>
        <w:tc>
          <w:tcPr>
            <w:tcW w:w="1740" w:type="dxa"/>
            <w:vAlign w:val="bottom"/>
          </w:tcPr>
          <w:p>
            <w:pPr>
              <w:ind w:left="140"/>
              <w:spacing w:after="0"/>
              <w:rPr>
                <w:sz w:val="20"/>
                <w:szCs w:val="20"/>
                <w:color w:val="auto"/>
              </w:rPr>
            </w:pPr>
            <w:r>
              <w:rPr>
                <w:rFonts w:ascii="Arial" w:cs="Arial" w:eastAsia="Arial" w:hAnsi="Arial"/>
                <w:sz w:val="18"/>
                <w:szCs w:val="18"/>
                <w:color w:val="auto"/>
              </w:rPr>
              <w:t>Edwards</w:t>
            </w:r>
          </w:p>
        </w:tc>
        <w:tc>
          <w:tcPr>
            <w:tcW w:w="920" w:type="dxa"/>
            <w:vAlign w:val="bottom"/>
          </w:tcPr>
          <w:p>
            <w:pPr>
              <w:ind w:left="360"/>
              <w:spacing w:after="0"/>
              <w:rPr>
                <w:sz w:val="20"/>
                <w:szCs w:val="20"/>
                <w:color w:val="auto"/>
              </w:rPr>
            </w:pPr>
            <w:r>
              <w:rPr>
                <w:rFonts w:ascii="Arial" w:cs="Arial" w:eastAsia="Arial" w:hAnsi="Arial"/>
                <w:sz w:val="18"/>
                <w:szCs w:val="18"/>
                <w:color w:val="auto"/>
              </w:rPr>
              <w:t>CO</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1,600/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4501</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Mohawk Dr.</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Larkspur</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7800</w:t>
            </w:r>
          </w:p>
        </w:tc>
        <w:tc>
          <w:tcPr>
            <w:tcW w:w="1840" w:type="dxa"/>
            <w:vAlign w:val="bottom"/>
          </w:tcPr>
          <w:p>
            <w:pPr>
              <w:ind w:left="20"/>
              <w:spacing w:after="0" w:line="201" w:lineRule="exact"/>
              <w:rPr>
                <w:sz w:val="20"/>
                <w:szCs w:val="20"/>
                <w:color w:val="auto"/>
              </w:rPr>
            </w:pPr>
            <w:r>
              <w:rPr>
                <w:rFonts w:ascii="Arial" w:cs="Arial" w:eastAsia="Arial" w:hAnsi="Arial"/>
                <w:sz w:val="18"/>
                <w:szCs w:val="18"/>
                <w:color w:val="auto"/>
              </w:rPr>
              <w:t>E. Union Ave., Suite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ind w:left="320"/>
              <w:spacing w:after="0" w:line="201" w:lineRule="exact"/>
              <w:rPr>
                <w:sz w:val="20"/>
                <w:szCs w:val="20"/>
                <w:color w:val="auto"/>
              </w:rPr>
            </w:pPr>
            <w:r>
              <w:rPr>
                <w:rFonts w:ascii="Arial" w:cs="Arial" w:eastAsia="Arial" w:hAnsi="Arial"/>
                <w:sz w:val="18"/>
                <w:szCs w:val="18"/>
                <w:color w:val="auto"/>
              </w:rPr>
              <w:t>Sub-</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550</w:t>
            </w:r>
          </w:p>
        </w:tc>
        <w:tc>
          <w:tcPr>
            <w:tcW w:w="184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Denver</w:t>
            </w:r>
          </w:p>
        </w:tc>
        <w:tc>
          <w:tcPr>
            <w:tcW w:w="920" w:type="dxa"/>
            <w:vAlign w:val="bottom"/>
          </w:tcPr>
          <w:p>
            <w:pPr>
              <w:ind w:left="360"/>
              <w:spacing w:after="0"/>
              <w:rPr>
                <w:sz w:val="20"/>
                <w:szCs w:val="20"/>
                <w:color w:val="auto"/>
              </w:rPr>
            </w:pPr>
            <w:r>
              <w:rPr>
                <w:rFonts w:ascii="Arial" w:cs="Arial" w:eastAsia="Arial" w:hAnsi="Arial"/>
                <w:sz w:val="18"/>
                <w:szCs w:val="18"/>
                <w:color w:val="auto"/>
              </w:rPr>
              <w:t>CO</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4,656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9,700/ mo</w:t>
            </w:r>
          </w:p>
        </w:tc>
        <w:tc>
          <w:tcPr>
            <w:tcW w:w="960" w:type="dxa"/>
            <w:vAlign w:val="bottom"/>
          </w:tcPr>
          <w:p>
            <w:pPr>
              <w:jc w:val="right"/>
              <w:spacing w:after="0"/>
              <w:rPr>
                <w:sz w:val="20"/>
                <w:szCs w:val="20"/>
                <w:color w:val="auto"/>
              </w:rPr>
            </w:pPr>
            <w:r>
              <w:rPr>
                <w:rFonts w:ascii="Arial" w:cs="Arial" w:eastAsia="Arial" w:hAnsi="Arial"/>
                <w:sz w:val="18"/>
                <w:szCs w:val="18"/>
                <w:color w:val="auto"/>
              </w:rPr>
              <w:t>9/30/2022</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19751 E. Main St., Suite 247</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Parker</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2/25/2022</w:t>
            </w:r>
          </w:p>
        </w:tc>
      </w:tr>
      <w:tr>
        <w:trPr>
          <w:trHeight w:val="202"/>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5982</w:t>
            </w:r>
          </w:p>
        </w:tc>
        <w:tc>
          <w:tcPr>
            <w:tcW w:w="1840" w:type="dxa"/>
            <w:vAlign w:val="bottom"/>
          </w:tcPr>
          <w:p>
            <w:pPr>
              <w:ind w:left="20"/>
              <w:spacing w:after="0"/>
              <w:rPr>
                <w:sz w:val="20"/>
                <w:szCs w:val="20"/>
                <w:color w:val="auto"/>
              </w:rPr>
            </w:pPr>
            <w:r>
              <w:rPr>
                <w:rFonts w:ascii="Arial" w:cs="Arial" w:eastAsia="Arial" w:hAnsi="Arial"/>
                <w:sz w:val="18"/>
                <w:szCs w:val="18"/>
                <w:color w:val="auto"/>
              </w:rPr>
              <w:t>S. Zenos Ct.</w:t>
            </w:r>
          </w:p>
        </w:tc>
        <w:tc>
          <w:tcPr>
            <w:tcW w:w="1740" w:type="dxa"/>
            <w:vAlign w:val="bottom"/>
          </w:tcPr>
          <w:p>
            <w:pPr>
              <w:ind w:left="140"/>
              <w:spacing w:after="0"/>
              <w:rPr>
                <w:sz w:val="20"/>
                <w:szCs w:val="20"/>
                <w:color w:val="auto"/>
              </w:rPr>
            </w:pPr>
            <w:r>
              <w:rPr>
                <w:rFonts w:ascii="Arial" w:cs="Arial" w:eastAsia="Arial" w:hAnsi="Arial"/>
                <w:sz w:val="18"/>
                <w:szCs w:val="18"/>
                <w:color w:val="auto"/>
              </w:rPr>
              <w:t>Larkspur</w:t>
            </w:r>
          </w:p>
        </w:tc>
        <w:tc>
          <w:tcPr>
            <w:tcW w:w="920" w:type="dxa"/>
            <w:vAlign w:val="bottom"/>
          </w:tcPr>
          <w:p>
            <w:pPr>
              <w:ind w:left="360"/>
              <w:spacing w:after="0"/>
              <w:rPr>
                <w:sz w:val="20"/>
                <w:szCs w:val="20"/>
                <w:color w:val="auto"/>
              </w:rPr>
            </w:pPr>
            <w:r>
              <w:rPr>
                <w:rFonts w:ascii="Arial" w:cs="Arial" w:eastAsia="Arial" w:hAnsi="Arial"/>
                <w:sz w:val="18"/>
                <w:szCs w:val="18"/>
                <w:color w:val="auto"/>
              </w:rPr>
              <w:t>CO</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1145 Town Park Ave., Suite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2215</w:t>
            </w:r>
          </w:p>
        </w:tc>
        <w:tc>
          <w:tcPr>
            <w:tcW w:w="1840" w:type="dxa"/>
            <w:vAlign w:val="bottom"/>
            <w:shd w:val="clear" w:color="auto" w:fill="CCEEFF"/>
          </w:tcPr>
          <w:p>
            <w:pPr>
              <w:spacing w:after="0"/>
              <w:rPr>
                <w:sz w:val="20"/>
                <w:szCs w:val="20"/>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Lake Mary</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13,154/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2/28/2023</w:t>
            </w: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8191</w:t>
            </w:r>
          </w:p>
        </w:tc>
        <w:tc>
          <w:tcPr>
            <w:tcW w:w="1840" w:type="dxa"/>
            <w:vAlign w:val="bottom"/>
          </w:tcPr>
          <w:p>
            <w:pPr>
              <w:ind w:left="20"/>
              <w:spacing w:after="0" w:line="201" w:lineRule="exact"/>
              <w:rPr>
                <w:sz w:val="20"/>
                <w:szCs w:val="20"/>
                <w:color w:val="auto"/>
              </w:rPr>
            </w:pPr>
            <w:r>
              <w:rPr>
                <w:rFonts w:ascii="Arial" w:cs="Arial" w:eastAsia="Arial" w:hAnsi="Arial"/>
                <w:sz w:val="18"/>
                <w:szCs w:val="18"/>
                <w:color w:val="auto"/>
                <w:w w:val="96"/>
              </w:rPr>
              <w:t>College Parkway, Suite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201</w:t>
            </w:r>
          </w:p>
        </w:tc>
        <w:tc>
          <w:tcPr>
            <w:tcW w:w="184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Ft Myers</w:t>
            </w:r>
          </w:p>
        </w:tc>
        <w:tc>
          <w:tcPr>
            <w:tcW w:w="920" w:type="dxa"/>
            <w:vAlign w:val="bottom"/>
          </w:tcPr>
          <w:p>
            <w:pPr>
              <w:ind w:left="360"/>
              <w:spacing w:after="0"/>
              <w:rPr>
                <w:sz w:val="20"/>
                <w:szCs w:val="20"/>
                <w:color w:val="auto"/>
              </w:rPr>
            </w:pPr>
            <w:r>
              <w:rPr>
                <w:rFonts w:ascii="Arial" w:cs="Arial" w:eastAsia="Arial" w:hAnsi="Arial"/>
                <w:sz w:val="18"/>
                <w:szCs w:val="18"/>
                <w:color w:val="auto"/>
              </w:rPr>
              <w:t>FL</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4,165/ mo</w:t>
            </w:r>
          </w:p>
        </w:tc>
        <w:tc>
          <w:tcPr>
            <w:tcW w:w="960" w:type="dxa"/>
            <w:vAlign w:val="bottom"/>
          </w:tcPr>
          <w:p>
            <w:pPr>
              <w:jc w:val="right"/>
              <w:spacing w:after="0"/>
              <w:rPr>
                <w:sz w:val="20"/>
                <w:szCs w:val="20"/>
                <w:color w:val="auto"/>
              </w:rPr>
            </w:pPr>
            <w:r>
              <w:rPr>
                <w:rFonts w:ascii="Arial" w:cs="Arial" w:eastAsia="Arial" w:hAnsi="Arial"/>
                <w:sz w:val="18"/>
                <w:szCs w:val="18"/>
                <w:color w:val="auto"/>
              </w:rPr>
              <w:t>8/21/2024</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3180</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Curlew Rd. Unit 107</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Oldsmar</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2,707/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2/14/2023</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8265</w:t>
            </w:r>
          </w:p>
        </w:tc>
        <w:tc>
          <w:tcPr>
            <w:tcW w:w="1840" w:type="dxa"/>
            <w:vAlign w:val="bottom"/>
          </w:tcPr>
          <w:p>
            <w:pPr>
              <w:ind w:left="20"/>
              <w:spacing w:after="0"/>
              <w:rPr>
                <w:sz w:val="20"/>
                <w:szCs w:val="20"/>
                <w:color w:val="auto"/>
              </w:rPr>
            </w:pPr>
            <w:r>
              <w:rPr>
                <w:rFonts w:ascii="Arial" w:cs="Arial" w:eastAsia="Arial" w:hAnsi="Arial"/>
                <w:sz w:val="18"/>
                <w:szCs w:val="18"/>
                <w:color w:val="auto"/>
              </w:rPr>
              <w:t>113th St., N.</w:t>
            </w:r>
          </w:p>
        </w:tc>
        <w:tc>
          <w:tcPr>
            <w:tcW w:w="1740" w:type="dxa"/>
            <w:vAlign w:val="bottom"/>
          </w:tcPr>
          <w:p>
            <w:pPr>
              <w:ind w:left="140"/>
              <w:spacing w:after="0"/>
              <w:rPr>
                <w:sz w:val="20"/>
                <w:szCs w:val="20"/>
                <w:color w:val="auto"/>
              </w:rPr>
            </w:pPr>
            <w:r>
              <w:rPr>
                <w:rFonts w:ascii="Arial" w:cs="Arial" w:eastAsia="Arial" w:hAnsi="Arial"/>
                <w:sz w:val="18"/>
                <w:szCs w:val="18"/>
                <w:color w:val="auto"/>
              </w:rPr>
              <w:t>Seminole</w:t>
            </w:r>
          </w:p>
        </w:tc>
        <w:tc>
          <w:tcPr>
            <w:tcW w:w="920" w:type="dxa"/>
            <w:vAlign w:val="bottom"/>
          </w:tcPr>
          <w:p>
            <w:pPr>
              <w:ind w:left="360"/>
              <w:spacing w:after="0"/>
              <w:rPr>
                <w:sz w:val="20"/>
                <w:szCs w:val="20"/>
                <w:color w:val="auto"/>
              </w:rPr>
            </w:pPr>
            <w:r>
              <w:rPr>
                <w:rFonts w:ascii="Arial" w:cs="Arial" w:eastAsia="Arial" w:hAnsi="Arial"/>
                <w:sz w:val="18"/>
                <w:szCs w:val="18"/>
                <w:color w:val="auto"/>
              </w:rPr>
              <w:t>FL</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1,692/ mo</w:t>
            </w:r>
          </w:p>
        </w:tc>
        <w:tc>
          <w:tcPr>
            <w:tcW w:w="960" w:type="dxa"/>
            <w:vAlign w:val="bottom"/>
          </w:tcPr>
          <w:p>
            <w:pPr>
              <w:jc w:val="right"/>
              <w:spacing w:after="0"/>
              <w:rPr>
                <w:sz w:val="20"/>
                <w:szCs w:val="20"/>
                <w:color w:val="auto"/>
              </w:rPr>
            </w:pPr>
            <w:r>
              <w:rPr>
                <w:rFonts w:ascii="Arial" w:cs="Arial" w:eastAsia="Arial" w:hAnsi="Arial"/>
                <w:sz w:val="18"/>
                <w:szCs w:val="18"/>
                <w:color w:val="auto"/>
              </w:rPr>
              <w:t>8/31/2023</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136 Parliament Loop</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Lake Mary</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11/30/2022</w:t>
            </w: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2350</w:t>
            </w:r>
          </w:p>
        </w:tc>
        <w:tc>
          <w:tcPr>
            <w:tcW w:w="1840" w:type="dxa"/>
            <w:vAlign w:val="bottom"/>
          </w:tcPr>
          <w:p>
            <w:pPr>
              <w:ind w:left="20"/>
              <w:spacing w:after="0" w:line="201" w:lineRule="exact"/>
              <w:rPr>
                <w:sz w:val="20"/>
                <w:szCs w:val="20"/>
                <w:color w:val="auto"/>
              </w:rPr>
            </w:pPr>
            <w:r>
              <w:rPr>
                <w:rFonts w:ascii="Arial" w:cs="Arial" w:eastAsia="Arial" w:hAnsi="Arial"/>
                <w:sz w:val="18"/>
                <w:szCs w:val="18"/>
                <w:color w:val="auto"/>
              </w:rPr>
              <w:t>Fruitville Rd., Suite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101</w:t>
            </w:r>
          </w:p>
        </w:tc>
        <w:tc>
          <w:tcPr>
            <w:tcW w:w="184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Sarasota</w:t>
            </w:r>
          </w:p>
        </w:tc>
        <w:tc>
          <w:tcPr>
            <w:tcW w:w="920" w:type="dxa"/>
            <w:vAlign w:val="bottom"/>
          </w:tcPr>
          <w:p>
            <w:pPr>
              <w:ind w:left="360"/>
              <w:spacing w:after="0"/>
              <w:rPr>
                <w:sz w:val="20"/>
                <w:szCs w:val="20"/>
                <w:color w:val="auto"/>
              </w:rPr>
            </w:pPr>
            <w:r>
              <w:rPr>
                <w:rFonts w:ascii="Arial" w:cs="Arial" w:eastAsia="Arial" w:hAnsi="Arial"/>
                <w:sz w:val="18"/>
                <w:szCs w:val="18"/>
                <w:color w:val="auto"/>
              </w:rPr>
              <w:t>FL</w:t>
            </w:r>
          </w:p>
        </w:tc>
        <w:tc>
          <w:tcPr>
            <w:tcW w:w="1760" w:type="dxa"/>
            <w:vAlign w:val="bottom"/>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4,499/ mo</w:t>
            </w:r>
          </w:p>
        </w:tc>
        <w:tc>
          <w:tcPr>
            <w:tcW w:w="960" w:type="dxa"/>
            <w:vAlign w:val="bottom"/>
          </w:tcPr>
          <w:p>
            <w:pPr>
              <w:jc w:val="right"/>
              <w:spacing w:after="0"/>
              <w:rPr>
                <w:sz w:val="20"/>
                <w:szCs w:val="20"/>
                <w:color w:val="auto"/>
              </w:rPr>
            </w:pPr>
            <w:r>
              <w:rPr>
                <w:rFonts w:ascii="Arial" w:cs="Arial" w:eastAsia="Arial" w:hAnsi="Arial"/>
                <w:sz w:val="18"/>
                <w:szCs w:val="18"/>
                <w:color w:val="auto"/>
              </w:rPr>
              <w:t>3/14/2026</w:t>
            </w:r>
          </w:p>
        </w:tc>
      </w:tr>
      <w:tr>
        <w:trPr>
          <w:trHeight w:val="202"/>
        </w:trPr>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3956</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Sunbeam Rd., Suite 1</w:t>
            </w: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Jacksonville</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439"/>
        </w:trPr>
        <w:tc>
          <w:tcPr>
            <w:tcW w:w="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11</w:t>
            </w: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4"/>
          </w:tcPr>
          <w:p>
            <w:pPr>
              <w:spacing w:after="0"/>
              <w:rPr>
                <w:sz w:val="20"/>
                <w:szCs w:val="20"/>
                <w:color w:val="auto"/>
              </w:rPr>
            </w:pPr>
            <w:r>
              <w:rPr>
                <w:rFonts w:ascii="Arial" w:cs="Arial" w:eastAsia="Arial" w:hAnsi="Arial"/>
                <w:sz w:val="18"/>
                <w:szCs w:val="18"/>
                <w:b w:val="1"/>
                <w:bCs w:val="1"/>
                <w:color w:val="auto"/>
                <w:w w:val="91"/>
              </w:rPr>
              <w:t>Item 2. Properties (Continued)</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Approximate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2"/>
              </w:rPr>
              <w:t>Owned /</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Square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Lease</w:t>
            </w:r>
          </w:p>
        </w:tc>
        <w:tc>
          <w:tcPr>
            <w:tcW w:w="10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ind w:left="480"/>
              <w:spacing w:after="0"/>
              <w:rPr>
                <w:sz w:val="20"/>
                <w:szCs w:val="20"/>
                <w:color w:val="auto"/>
              </w:rPr>
            </w:pPr>
            <w:r>
              <w:rPr>
                <w:rFonts w:ascii="Arial" w:cs="Arial" w:eastAsia="Arial" w:hAnsi="Arial"/>
                <w:sz w:val="18"/>
                <w:szCs w:val="18"/>
                <w:color w:val="auto"/>
              </w:rPr>
              <w:t>Street</w:t>
            </w: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City</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Function</w:t>
            </w:r>
          </w:p>
        </w:tc>
        <w:tc>
          <w:tcPr>
            <w:tcW w:w="660" w:type="dxa"/>
            <w:vAlign w:val="bottom"/>
          </w:tcPr>
          <w:p>
            <w:pPr>
              <w:ind w:left="80"/>
              <w:spacing w:after="0"/>
              <w:rPr>
                <w:sz w:val="20"/>
                <w:szCs w:val="20"/>
                <w:color w:val="auto"/>
              </w:rPr>
            </w:pPr>
            <w:r>
              <w:rPr>
                <w:rFonts w:ascii="Arial" w:cs="Arial" w:eastAsia="Arial" w:hAnsi="Arial"/>
                <w:sz w:val="18"/>
                <w:szCs w:val="18"/>
                <w:color w:val="auto"/>
                <w:w w:val="94"/>
              </w:rPr>
              <w:t>Leased</w:t>
            </w:r>
          </w:p>
        </w:tc>
        <w:tc>
          <w:tcPr>
            <w:tcW w:w="2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Footage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Amount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Expiration</w:t>
            </w:r>
          </w:p>
        </w:tc>
      </w:tr>
      <w:tr>
        <w:trPr>
          <w:trHeight w:val="195"/>
        </w:trPr>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921 Club House Blvd.</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Smyma Beach</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106</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A Adamson Square</w:t>
            </w:r>
          </w:p>
        </w:tc>
        <w:tc>
          <w:tcPr>
            <w:tcW w:w="1980" w:type="dxa"/>
            <w:vAlign w:val="bottom"/>
            <w:gridSpan w:val="2"/>
          </w:tcPr>
          <w:p>
            <w:pPr>
              <w:spacing w:after="0"/>
              <w:rPr>
                <w:sz w:val="20"/>
                <w:szCs w:val="20"/>
                <w:color w:val="auto"/>
              </w:rPr>
            </w:pPr>
            <w:r>
              <w:rPr>
                <w:rFonts w:ascii="Arial" w:cs="Arial" w:eastAsia="Arial" w:hAnsi="Arial"/>
                <w:sz w:val="18"/>
                <w:szCs w:val="18"/>
                <w:color w:val="auto"/>
              </w:rPr>
              <w:t>Carrolton</w:t>
            </w:r>
          </w:p>
        </w:tc>
        <w:tc>
          <w:tcPr>
            <w:tcW w:w="860" w:type="dxa"/>
            <w:vAlign w:val="bottom"/>
            <w:gridSpan w:val="2"/>
          </w:tcPr>
          <w:p>
            <w:pPr>
              <w:spacing w:after="0"/>
              <w:rPr>
                <w:sz w:val="20"/>
                <w:szCs w:val="20"/>
                <w:color w:val="auto"/>
              </w:rPr>
            </w:pPr>
            <w:r>
              <w:rPr>
                <w:rFonts w:ascii="Arial" w:cs="Arial" w:eastAsia="Arial" w:hAnsi="Arial"/>
                <w:sz w:val="18"/>
                <w:szCs w:val="18"/>
                <w:color w:val="auto"/>
              </w:rPr>
              <w:t>GA</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1,750/ mo</w:t>
            </w:r>
          </w:p>
        </w:tc>
        <w:tc>
          <w:tcPr>
            <w:tcW w:w="1000" w:type="dxa"/>
            <w:vAlign w:val="bottom"/>
          </w:tcPr>
          <w:p>
            <w:pPr>
              <w:jc w:val="right"/>
              <w:spacing w:after="0"/>
              <w:rPr>
                <w:sz w:val="20"/>
                <w:szCs w:val="20"/>
                <w:color w:val="auto"/>
              </w:rPr>
            </w:pPr>
            <w:r>
              <w:rPr>
                <w:rFonts w:ascii="Arial" w:cs="Arial" w:eastAsia="Arial" w:hAnsi="Arial"/>
                <w:sz w:val="18"/>
                <w:szCs w:val="18"/>
                <w:color w:val="auto"/>
              </w:rPr>
              <w:t>10/31/2022</w:t>
            </w:r>
          </w:p>
        </w:tc>
      </w:tr>
      <w:tr>
        <w:trPr>
          <w:trHeight w:val="202"/>
        </w:trPr>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900</w:t>
            </w:r>
          </w:p>
        </w:tc>
        <w:tc>
          <w:tcPr>
            <w:tcW w:w="20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Circle 75 Pkwy,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175</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6,156/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6/30/2026</w:t>
            </w:r>
          </w:p>
        </w:tc>
      </w:tr>
      <w:tr>
        <w:trPr>
          <w:trHeight w:val="202"/>
        </w:trPr>
        <w:tc>
          <w:tcPr>
            <w:tcW w:w="400" w:type="dxa"/>
            <w:vAlign w:val="bottom"/>
            <w:gridSpan w:val="2"/>
          </w:tcPr>
          <w:p>
            <w:pPr>
              <w:spacing w:after="0" w:line="201" w:lineRule="exact"/>
              <w:rPr>
                <w:sz w:val="20"/>
                <w:szCs w:val="20"/>
                <w:color w:val="auto"/>
              </w:rPr>
            </w:pPr>
            <w:r>
              <w:rPr>
                <w:rFonts w:ascii="Arial" w:cs="Arial" w:eastAsia="Arial" w:hAnsi="Arial"/>
                <w:sz w:val="18"/>
                <w:szCs w:val="18"/>
                <w:color w:val="auto"/>
                <w:w w:val="94"/>
              </w:rPr>
              <w:t>6600</w:t>
            </w:r>
          </w:p>
        </w:tc>
        <w:tc>
          <w:tcPr>
            <w:tcW w:w="1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Peachtree Dunwoody</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Rd., Suite 135</w:t>
            </w:r>
          </w:p>
        </w:tc>
        <w:tc>
          <w:tcPr>
            <w:tcW w:w="1980" w:type="dxa"/>
            <w:vAlign w:val="bottom"/>
            <w:gridSpan w:val="2"/>
          </w:tcPr>
          <w:p>
            <w:pPr>
              <w:spacing w:after="0"/>
              <w:rPr>
                <w:sz w:val="20"/>
                <w:szCs w:val="20"/>
                <w:color w:val="auto"/>
              </w:rPr>
            </w:pPr>
            <w:r>
              <w:rPr>
                <w:rFonts w:ascii="Arial" w:cs="Arial" w:eastAsia="Arial" w:hAnsi="Arial"/>
                <w:sz w:val="18"/>
                <w:szCs w:val="18"/>
                <w:color w:val="auto"/>
              </w:rPr>
              <w:t>Atlanta</w:t>
            </w:r>
          </w:p>
        </w:tc>
        <w:tc>
          <w:tcPr>
            <w:tcW w:w="860" w:type="dxa"/>
            <w:vAlign w:val="bottom"/>
            <w:gridSpan w:val="2"/>
          </w:tcPr>
          <w:p>
            <w:pPr>
              <w:spacing w:after="0"/>
              <w:rPr>
                <w:sz w:val="20"/>
                <w:szCs w:val="20"/>
                <w:color w:val="auto"/>
              </w:rPr>
            </w:pPr>
            <w:r>
              <w:rPr>
                <w:rFonts w:ascii="Arial" w:cs="Arial" w:eastAsia="Arial" w:hAnsi="Arial"/>
                <w:sz w:val="18"/>
                <w:szCs w:val="18"/>
                <w:color w:val="auto"/>
              </w:rPr>
              <w:t>GA</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2,129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4,702/ mo</w:t>
            </w:r>
          </w:p>
        </w:tc>
        <w:tc>
          <w:tcPr>
            <w:tcW w:w="1000" w:type="dxa"/>
            <w:vAlign w:val="bottom"/>
          </w:tcPr>
          <w:p>
            <w:pPr>
              <w:jc w:val="right"/>
              <w:spacing w:after="0"/>
              <w:rPr>
                <w:sz w:val="20"/>
                <w:szCs w:val="20"/>
                <w:color w:val="auto"/>
              </w:rPr>
            </w:pPr>
            <w:r>
              <w:rPr>
                <w:rFonts w:ascii="Arial" w:cs="Arial" w:eastAsia="Arial" w:hAnsi="Arial"/>
                <w:sz w:val="18"/>
                <w:szCs w:val="18"/>
                <w:color w:val="auto"/>
              </w:rPr>
              <w:t>3/31/2026</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1780</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Stardust Trail</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Cummings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line="201" w:lineRule="exact"/>
              <w:rPr>
                <w:sz w:val="20"/>
                <w:szCs w:val="20"/>
                <w:color w:val="auto"/>
              </w:rPr>
            </w:pPr>
            <w:r>
              <w:rPr>
                <w:rFonts w:ascii="Arial" w:cs="Arial" w:eastAsia="Arial" w:hAnsi="Arial"/>
                <w:sz w:val="18"/>
                <w:szCs w:val="18"/>
                <w:color w:val="auto"/>
                <w:w w:val="93"/>
              </w:rPr>
              <w:t>102</w:t>
            </w:r>
          </w:p>
        </w:tc>
        <w:tc>
          <w:tcPr>
            <w:tcW w:w="20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Mary Alice Park Rd.,</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Suite 506</w:t>
            </w:r>
          </w:p>
        </w:tc>
        <w:tc>
          <w:tcPr>
            <w:tcW w:w="1980" w:type="dxa"/>
            <w:vAlign w:val="bottom"/>
            <w:gridSpan w:val="2"/>
          </w:tcPr>
          <w:p>
            <w:pPr>
              <w:spacing w:after="0"/>
              <w:rPr>
                <w:sz w:val="20"/>
                <w:szCs w:val="20"/>
                <w:color w:val="auto"/>
              </w:rPr>
            </w:pPr>
            <w:r>
              <w:rPr>
                <w:rFonts w:ascii="Arial" w:cs="Arial" w:eastAsia="Arial" w:hAnsi="Arial"/>
                <w:sz w:val="18"/>
                <w:szCs w:val="18"/>
                <w:color w:val="auto"/>
              </w:rPr>
              <w:t>Cummings</w:t>
            </w:r>
          </w:p>
        </w:tc>
        <w:tc>
          <w:tcPr>
            <w:tcW w:w="860" w:type="dxa"/>
            <w:vAlign w:val="bottom"/>
            <w:gridSpan w:val="2"/>
          </w:tcPr>
          <w:p>
            <w:pPr>
              <w:spacing w:after="0"/>
              <w:rPr>
                <w:sz w:val="20"/>
                <w:szCs w:val="20"/>
                <w:color w:val="auto"/>
              </w:rPr>
            </w:pPr>
            <w:r>
              <w:rPr>
                <w:rFonts w:ascii="Arial" w:cs="Arial" w:eastAsia="Arial" w:hAnsi="Arial"/>
                <w:sz w:val="18"/>
                <w:szCs w:val="18"/>
                <w:color w:val="auto"/>
              </w:rPr>
              <w:t>GA</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1,190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1,760/ mo</w:t>
            </w:r>
          </w:p>
        </w:tc>
        <w:tc>
          <w:tcPr>
            <w:tcW w:w="1000" w:type="dxa"/>
            <w:vAlign w:val="bottom"/>
          </w:tcPr>
          <w:p>
            <w:pPr>
              <w:jc w:val="right"/>
              <w:spacing w:after="0"/>
              <w:rPr>
                <w:sz w:val="20"/>
                <w:szCs w:val="20"/>
                <w:color w:val="auto"/>
              </w:rPr>
            </w:pPr>
            <w:r>
              <w:rPr>
                <w:rFonts w:ascii="Arial" w:cs="Arial" w:eastAsia="Arial" w:hAnsi="Arial"/>
                <w:sz w:val="18"/>
                <w:szCs w:val="18"/>
                <w:color w:val="auto"/>
              </w:rPr>
              <w:t>12/31/2023</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4370</w:t>
            </w:r>
          </w:p>
        </w:tc>
        <w:tc>
          <w:tcPr>
            <w:tcW w:w="1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Kukui Grove St.,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201</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Lihue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2/28/2022</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1001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Kamokila Blvd.</w:t>
            </w:r>
          </w:p>
        </w:tc>
        <w:tc>
          <w:tcPr>
            <w:tcW w:w="1980" w:type="dxa"/>
            <w:vAlign w:val="bottom"/>
            <w:gridSpan w:val="2"/>
          </w:tcPr>
          <w:p>
            <w:pPr>
              <w:spacing w:after="0"/>
              <w:rPr>
                <w:sz w:val="20"/>
                <w:szCs w:val="20"/>
                <w:color w:val="auto"/>
              </w:rPr>
            </w:pPr>
            <w:r>
              <w:rPr>
                <w:rFonts w:ascii="Arial" w:cs="Arial" w:eastAsia="Arial" w:hAnsi="Arial"/>
                <w:sz w:val="18"/>
                <w:szCs w:val="18"/>
                <w:color w:val="auto"/>
              </w:rPr>
              <w:t>Kapolei</w:t>
            </w:r>
          </w:p>
        </w:tc>
        <w:tc>
          <w:tcPr>
            <w:tcW w:w="860" w:type="dxa"/>
            <w:vAlign w:val="bottom"/>
            <w:gridSpan w:val="2"/>
          </w:tcPr>
          <w:p>
            <w:pPr>
              <w:spacing w:after="0"/>
              <w:rPr>
                <w:sz w:val="20"/>
                <w:szCs w:val="20"/>
                <w:color w:val="auto"/>
              </w:rPr>
            </w:pPr>
            <w:r>
              <w:rPr>
                <w:rFonts w:ascii="Arial" w:cs="Arial" w:eastAsia="Arial" w:hAnsi="Arial"/>
                <w:sz w:val="18"/>
                <w:szCs w:val="18"/>
                <w:color w:val="auto"/>
              </w:rPr>
              <w:t>HI</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1,708/ mo</w:t>
            </w:r>
          </w:p>
        </w:tc>
        <w:tc>
          <w:tcPr>
            <w:tcW w:w="1000" w:type="dxa"/>
            <w:vAlign w:val="bottom"/>
          </w:tcPr>
          <w:p>
            <w:pPr>
              <w:jc w:val="right"/>
              <w:spacing w:after="0"/>
              <w:rPr>
                <w:sz w:val="20"/>
                <w:szCs w:val="20"/>
                <w:color w:val="auto"/>
              </w:rPr>
            </w:pPr>
            <w:r>
              <w:rPr>
                <w:rFonts w:ascii="Arial" w:cs="Arial" w:eastAsia="Arial" w:hAnsi="Arial"/>
                <w:sz w:val="18"/>
                <w:szCs w:val="18"/>
                <w:color w:val="auto"/>
              </w:rPr>
              <w:t>12/31/2022</w:t>
            </w:r>
          </w:p>
        </w:tc>
      </w:tr>
      <w:tr>
        <w:trPr>
          <w:trHeight w:val="216"/>
        </w:trPr>
        <w:tc>
          <w:tcPr>
            <w:tcW w:w="2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32 Kinnoole St., Suite 101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Hilo</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5/31/2023</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1885</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Main St., Suite 108</w:t>
            </w:r>
          </w:p>
        </w:tc>
        <w:tc>
          <w:tcPr>
            <w:tcW w:w="1980" w:type="dxa"/>
            <w:vAlign w:val="bottom"/>
            <w:gridSpan w:val="2"/>
          </w:tcPr>
          <w:p>
            <w:pPr>
              <w:spacing w:after="0"/>
              <w:rPr>
                <w:sz w:val="20"/>
                <w:szCs w:val="20"/>
                <w:color w:val="auto"/>
              </w:rPr>
            </w:pPr>
            <w:r>
              <w:rPr>
                <w:rFonts w:ascii="Arial" w:cs="Arial" w:eastAsia="Arial" w:hAnsi="Arial"/>
                <w:sz w:val="18"/>
                <w:szCs w:val="18"/>
                <w:color w:val="auto"/>
              </w:rPr>
              <w:t>Wailuku</w:t>
            </w:r>
          </w:p>
        </w:tc>
        <w:tc>
          <w:tcPr>
            <w:tcW w:w="860" w:type="dxa"/>
            <w:vAlign w:val="bottom"/>
            <w:gridSpan w:val="2"/>
          </w:tcPr>
          <w:p>
            <w:pPr>
              <w:spacing w:after="0"/>
              <w:rPr>
                <w:sz w:val="20"/>
                <w:szCs w:val="20"/>
                <w:color w:val="auto"/>
              </w:rPr>
            </w:pPr>
            <w:r>
              <w:rPr>
                <w:rFonts w:ascii="Arial" w:cs="Arial" w:eastAsia="Arial" w:hAnsi="Arial"/>
                <w:sz w:val="18"/>
                <w:szCs w:val="18"/>
                <w:color w:val="auto"/>
              </w:rPr>
              <w:t>HI</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1,365/ mo</w:t>
            </w:r>
          </w:p>
        </w:tc>
        <w:tc>
          <w:tcPr>
            <w:tcW w:w="1000" w:type="dxa"/>
            <w:vAlign w:val="bottom"/>
          </w:tcPr>
          <w:p>
            <w:pPr>
              <w:jc w:val="right"/>
              <w:spacing w:after="0"/>
              <w:rPr>
                <w:sz w:val="20"/>
                <w:szCs w:val="20"/>
                <w:color w:val="auto"/>
              </w:rPr>
            </w:pPr>
            <w:r>
              <w:rPr>
                <w:rFonts w:ascii="Arial" w:cs="Arial" w:eastAsia="Arial" w:hAnsi="Arial"/>
                <w:sz w:val="18"/>
                <w:szCs w:val="18"/>
                <w:color w:val="auto"/>
              </w:rPr>
              <w:t>5/14/2022</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116 N. 3rd St., Suite 12</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Mccall</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3597</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E. Sky Lane, Suite 240</w:t>
            </w:r>
          </w:p>
        </w:tc>
        <w:tc>
          <w:tcPr>
            <w:tcW w:w="1980" w:type="dxa"/>
            <w:vAlign w:val="bottom"/>
            <w:gridSpan w:val="2"/>
          </w:tcPr>
          <w:p>
            <w:pPr>
              <w:spacing w:after="0"/>
              <w:rPr>
                <w:sz w:val="20"/>
                <w:szCs w:val="20"/>
                <w:color w:val="auto"/>
              </w:rPr>
            </w:pPr>
            <w:r>
              <w:rPr>
                <w:rFonts w:ascii="Arial" w:cs="Arial" w:eastAsia="Arial" w:hAnsi="Arial"/>
                <w:sz w:val="18"/>
                <w:szCs w:val="18"/>
                <w:color w:val="auto"/>
              </w:rPr>
              <w:t>Meridian</w:t>
            </w:r>
          </w:p>
        </w:tc>
        <w:tc>
          <w:tcPr>
            <w:tcW w:w="860" w:type="dxa"/>
            <w:vAlign w:val="bottom"/>
            <w:gridSpan w:val="2"/>
          </w:tcPr>
          <w:p>
            <w:pPr>
              <w:spacing w:after="0"/>
              <w:rPr>
                <w:sz w:val="20"/>
                <w:szCs w:val="20"/>
                <w:color w:val="auto"/>
              </w:rPr>
            </w:pPr>
            <w:r>
              <w:rPr>
                <w:rFonts w:ascii="Arial" w:cs="Arial" w:eastAsia="Arial" w:hAnsi="Arial"/>
                <w:sz w:val="18"/>
                <w:szCs w:val="18"/>
                <w:color w:val="auto"/>
              </w:rPr>
              <w:t>ID</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2,088/ mo</w:t>
            </w:r>
          </w:p>
        </w:tc>
        <w:tc>
          <w:tcPr>
            <w:tcW w:w="1000" w:type="dxa"/>
            <w:vAlign w:val="bottom"/>
          </w:tcPr>
          <w:p>
            <w:pPr>
              <w:jc w:val="right"/>
              <w:spacing w:after="0"/>
              <w:rPr>
                <w:sz w:val="20"/>
                <w:szCs w:val="20"/>
                <w:color w:val="auto"/>
              </w:rPr>
            </w:pPr>
            <w:r>
              <w:rPr>
                <w:rFonts w:ascii="Arial" w:cs="Arial" w:eastAsia="Arial" w:hAnsi="Arial"/>
                <w:sz w:val="18"/>
                <w:szCs w:val="18"/>
                <w:color w:val="auto"/>
              </w:rPr>
              <w:t>2/28/2022</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1832</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Leabrook Ct.</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Naperville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12/31/2022</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568</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Greenluster Dr.</w:t>
            </w:r>
          </w:p>
        </w:tc>
        <w:tc>
          <w:tcPr>
            <w:tcW w:w="1980" w:type="dxa"/>
            <w:vAlign w:val="bottom"/>
            <w:gridSpan w:val="2"/>
          </w:tcPr>
          <w:p>
            <w:pPr>
              <w:spacing w:after="0"/>
              <w:rPr>
                <w:sz w:val="20"/>
                <w:szCs w:val="20"/>
                <w:color w:val="auto"/>
              </w:rPr>
            </w:pPr>
            <w:r>
              <w:rPr>
                <w:rFonts w:ascii="Arial" w:cs="Arial" w:eastAsia="Arial" w:hAnsi="Arial"/>
                <w:sz w:val="18"/>
                <w:szCs w:val="18"/>
                <w:color w:val="auto"/>
              </w:rPr>
              <w:t>Covington</w:t>
            </w:r>
          </w:p>
        </w:tc>
        <w:tc>
          <w:tcPr>
            <w:tcW w:w="860" w:type="dxa"/>
            <w:vAlign w:val="bottom"/>
            <w:gridSpan w:val="2"/>
          </w:tcPr>
          <w:p>
            <w:pPr>
              <w:spacing w:after="0"/>
              <w:rPr>
                <w:sz w:val="20"/>
                <w:szCs w:val="20"/>
                <w:color w:val="auto"/>
              </w:rPr>
            </w:pPr>
            <w:r>
              <w:rPr>
                <w:rFonts w:ascii="Arial" w:cs="Arial" w:eastAsia="Arial" w:hAnsi="Arial"/>
                <w:sz w:val="18"/>
                <w:szCs w:val="18"/>
                <w:color w:val="auto"/>
              </w:rPr>
              <w:t>LA</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8684</w:t>
            </w:r>
          </w:p>
        </w:tc>
        <w:tc>
          <w:tcPr>
            <w:tcW w:w="1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Veterans Hwy,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101</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Millersville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MD</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6,529/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7/31/2026</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4"/>
              </w:rPr>
              <w:t>4987</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Fall Creek Rd. Suite 1</w:t>
            </w:r>
          </w:p>
        </w:tc>
        <w:tc>
          <w:tcPr>
            <w:tcW w:w="1980" w:type="dxa"/>
            <w:vAlign w:val="bottom"/>
            <w:gridSpan w:val="2"/>
          </w:tcPr>
          <w:p>
            <w:pPr>
              <w:spacing w:after="0"/>
              <w:rPr>
                <w:sz w:val="20"/>
                <w:szCs w:val="20"/>
                <w:color w:val="auto"/>
              </w:rPr>
            </w:pPr>
            <w:r>
              <w:rPr>
                <w:rFonts w:ascii="Arial" w:cs="Arial" w:eastAsia="Arial" w:hAnsi="Arial"/>
                <w:sz w:val="18"/>
                <w:szCs w:val="18"/>
                <w:color w:val="auto"/>
              </w:rPr>
              <w:t>Branson</w:t>
            </w:r>
          </w:p>
        </w:tc>
        <w:tc>
          <w:tcPr>
            <w:tcW w:w="860" w:type="dxa"/>
            <w:vAlign w:val="bottom"/>
            <w:gridSpan w:val="2"/>
          </w:tcPr>
          <w:p>
            <w:pPr>
              <w:spacing w:after="0"/>
              <w:rPr>
                <w:sz w:val="20"/>
                <w:szCs w:val="20"/>
                <w:color w:val="auto"/>
              </w:rPr>
            </w:pPr>
            <w:r>
              <w:rPr>
                <w:rFonts w:ascii="Arial" w:cs="Arial" w:eastAsia="Arial" w:hAnsi="Arial"/>
                <w:sz w:val="18"/>
                <w:szCs w:val="18"/>
                <w:color w:val="auto"/>
              </w:rPr>
              <w:t>MO</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330</w:t>
            </w:r>
          </w:p>
        </w:tc>
        <w:tc>
          <w:tcPr>
            <w:tcW w:w="2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Camp Rd., Suite B-39</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line="201" w:lineRule="exact"/>
              <w:rPr>
                <w:sz w:val="20"/>
                <w:szCs w:val="20"/>
                <w:color w:val="auto"/>
              </w:rPr>
            </w:pPr>
            <w:r>
              <w:rPr>
                <w:rFonts w:ascii="Arial" w:cs="Arial" w:eastAsia="Arial" w:hAnsi="Arial"/>
                <w:sz w:val="18"/>
                <w:szCs w:val="18"/>
                <w:color w:val="auto"/>
                <w:w w:val="93"/>
              </w:rPr>
              <w:t>421</w:t>
            </w:r>
          </w:p>
        </w:tc>
        <w:tc>
          <w:tcPr>
            <w:tcW w:w="20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Fayetteville St.,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1100</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Raliegh</w:t>
            </w:r>
          </w:p>
        </w:tc>
        <w:tc>
          <w:tcPr>
            <w:tcW w:w="860" w:type="dxa"/>
            <w:vAlign w:val="bottom"/>
            <w:gridSpan w:val="2"/>
          </w:tcPr>
          <w:p>
            <w:pPr>
              <w:spacing w:after="0"/>
              <w:rPr>
                <w:sz w:val="20"/>
                <w:szCs w:val="20"/>
                <w:color w:val="auto"/>
              </w:rPr>
            </w:pPr>
            <w:r>
              <w:rPr>
                <w:rFonts w:ascii="Arial" w:cs="Arial" w:eastAsia="Arial" w:hAnsi="Arial"/>
                <w:sz w:val="18"/>
                <w:szCs w:val="18"/>
                <w:color w:val="auto"/>
              </w:rPr>
              <w:t>NC</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2,158/ mo</w:t>
            </w:r>
          </w:p>
        </w:tc>
        <w:tc>
          <w:tcPr>
            <w:tcW w:w="1000" w:type="dxa"/>
            <w:vAlign w:val="bottom"/>
          </w:tcPr>
          <w:p>
            <w:pPr>
              <w:jc w:val="right"/>
              <w:spacing w:after="0"/>
              <w:rPr>
                <w:sz w:val="20"/>
                <w:szCs w:val="20"/>
                <w:color w:val="auto"/>
              </w:rPr>
            </w:pPr>
            <w:r>
              <w:rPr>
                <w:rFonts w:ascii="Arial" w:cs="Arial" w:eastAsia="Arial" w:hAnsi="Arial"/>
                <w:sz w:val="18"/>
                <w:szCs w:val="18"/>
                <w:color w:val="auto"/>
              </w:rPr>
              <w:t>1/31/2022</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1980</w:t>
            </w:r>
          </w:p>
        </w:tc>
        <w:tc>
          <w:tcPr>
            <w:tcW w:w="1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Festival Plaza Dr.,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850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NV</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43,774/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840</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Pinnacle Ct., Suite 3</w:t>
            </w:r>
          </w:p>
        </w:tc>
        <w:tc>
          <w:tcPr>
            <w:tcW w:w="1980" w:type="dxa"/>
            <w:vAlign w:val="bottom"/>
            <w:gridSpan w:val="2"/>
          </w:tcPr>
          <w:p>
            <w:pPr>
              <w:spacing w:after="0"/>
              <w:rPr>
                <w:sz w:val="20"/>
                <w:szCs w:val="20"/>
                <w:color w:val="auto"/>
              </w:rPr>
            </w:pPr>
            <w:r>
              <w:rPr>
                <w:rFonts w:ascii="Arial" w:cs="Arial" w:eastAsia="Arial" w:hAnsi="Arial"/>
                <w:sz w:val="18"/>
                <w:szCs w:val="18"/>
                <w:color w:val="auto"/>
              </w:rPr>
              <w:t>Mesquite</w:t>
            </w:r>
          </w:p>
        </w:tc>
        <w:tc>
          <w:tcPr>
            <w:tcW w:w="860" w:type="dxa"/>
            <w:vAlign w:val="bottom"/>
            <w:gridSpan w:val="2"/>
          </w:tcPr>
          <w:p>
            <w:pPr>
              <w:spacing w:after="0"/>
              <w:rPr>
                <w:sz w:val="20"/>
                <w:szCs w:val="20"/>
                <w:color w:val="auto"/>
              </w:rPr>
            </w:pPr>
            <w:r>
              <w:rPr>
                <w:rFonts w:ascii="Arial" w:cs="Arial" w:eastAsia="Arial" w:hAnsi="Arial"/>
                <w:sz w:val="18"/>
                <w:szCs w:val="18"/>
                <w:color w:val="auto"/>
              </w:rPr>
              <w:t>NV</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900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720/ mo</w:t>
            </w:r>
          </w:p>
        </w:tc>
        <w:tc>
          <w:tcPr>
            <w:tcW w:w="1000" w:type="dxa"/>
            <w:vAlign w:val="bottom"/>
          </w:tcPr>
          <w:p>
            <w:pPr>
              <w:jc w:val="right"/>
              <w:spacing w:after="0"/>
              <w:rPr>
                <w:sz w:val="20"/>
                <w:szCs w:val="20"/>
                <w:color w:val="auto"/>
              </w:rPr>
            </w:pPr>
            <w:r>
              <w:rPr>
                <w:rFonts w:ascii="Arial" w:cs="Arial" w:eastAsia="Arial" w:hAnsi="Arial"/>
                <w:sz w:val="18"/>
                <w:szCs w:val="18"/>
                <w:color w:val="auto"/>
              </w:rPr>
              <w:t>3/12/2022</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2635</w:t>
            </w:r>
          </w:p>
        </w:tc>
        <w:tc>
          <w:tcPr>
            <w:tcW w:w="1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St. Rose Pkwy, Suites D</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Hendeson</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NV</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11,923/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9/30/2025</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8720</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Orion Place, Suite 160</w:t>
            </w:r>
          </w:p>
        </w:tc>
        <w:tc>
          <w:tcPr>
            <w:tcW w:w="1980" w:type="dxa"/>
            <w:vAlign w:val="bottom"/>
            <w:gridSpan w:val="2"/>
          </w:tcPr>
          <w:p>
            <w:pPr>
              <w:spacing w:after="0"/>
              <w:rPr>
                <w:sz w:val="20"/>
                <w:szCs w:val="20"/>
                <w:color w:val="auto"/>
              </w:rPr>
            </w:pPr>
            <w:r>
              <w:rPr>
                <w:rFonts w:ascii="Arial" w:cs="Arial" w:eastAsia="Arial" w:hAnsi="Arial"/>
                <w:sz w:val="18"/>
                <w:szCs w:val="18"/>
                <w:color w:val="auto"/>
              </w:rPr>
              <w:t>Colombus</w:t>
            </w:r>
          </w:p>
        </w:tc>
        <w:tc>
          <w:tcPr>
            <w:tcW w:w="860" w:type="dxa"/>
            <w:vAlign w:val="bottom"/>
            <w:gridSpan w:val="2"/>
          </w:tcPr>
          <w:p>
            <w:pPr>
              <w:spacing w:after="0"/>
              <w:rPr>
                <w:sz w:val="20"/>
                <w:szCs w:val="20"/>
                <w:color w:val="auto"/>
              </w:rPr>
            </w:pPr>
            <w:r>
              <w:rPr>
                <w:rFonts w:ascii="Arial" w:cs="Arial" w:eastAsia="Arial" w:hAnsi="Arial"/>
                <w:sz w:val="18"/>
                <w:szCs w:val="18"/>
                <w:color w:val="auto"/>
              </w:rPr>
              <w:t>OH</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1,850/ mo</w:t>
            </w:r>
          </w:p>
        </w:tc>
        <w:tc>
          <w:tcPr>
            <w:tcW w:w="1000" w:type="dxa"/>
            <w:vAlign w:val="bottom"/>
          </w:tcPr>
          <w:p>
            <w:pPr>
              <w:jc w:val="right"/>
              <w:spacing w:after="0"/>
              <w:rPr>
                <w:sz w:val="20"/>
                <w:szCs w:val="20"/>
                <w:color w:val="auto"/>
              </w:rPr>
            </w:pPr>
            <w:r>
              <w:rPr>
                <w:rFonts w:ascii="Arial" w:cs="Arial" w:eastAsia="Arial" w:hAnsi="Arial"/>
                <w:sz w:val="18"/>
                <w:szCs w:val="18"/>
                <w:color w:val="auto"/>
              </w:rPr>
              <w:t>6/30/2023</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4294</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Martin Dr.</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Olmstead</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2380" w:type="dxa"/>
            <w:vAlign w:val="bottom"/>
            <w:gridSpan w:val="4"/>
          </w:tcPr>
          <w:p>
            <w:pPr>
              <w:spacing w:after="0" w:line="201" w:lineRule="exact"/>
              <w:rPr>
                <w:sz w:val="20"/>
                <w:szCs w:val="20"/>
                <w:color w:val="auto"/>
              </w:rPr>
            </w:pPr>
            <w:r>
              <w:rPr>
                <w:rFonts w:ascii="Arial" w:cs="Arial" w:eastAsia="Arial" w:hAnsi="Arial"/>
                <w:sz w:val="18"/>
                <w:szCs w:val="18"/>
                <w:color w:val="auto"/>
              </w:rPr>
              <w:t>3311 NE MLK Jr Blvd.,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203</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Portland</w:t>
            </w:r>
          </w:p>
        </w:tc>
        <w:tc>
          <w:tcPr>
            <w:tcW w:w="860" w:type="dxa"/>
            <w:vAlign w:val="bottom"/>
            <w:gridSpan w:val="2"/>
          </w:tcPr>
          <w:p>
            <w:pPr>
              <w:spacing w:after="0"/>
              <w:rPr>
                <w:sz w:val="20"/>
                <w:szCs w:val="20"/>
                <w:color w:val="auto"/>
              </w:rPr>
            </w:pPr>
            <w:r>
              <w:rPr>
                <w:rFonts w:ascii="Arial" w:cs="Arial" w:eastAsia="Arial" w:hAnsi="Arial"/>
                <w:sz w:val="18"/>
                <w:szCs w:val="18"/>
                <w:color w:val="auto"/>
              </w:rPr>
              <w:t>OR</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1,400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875/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23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10365 SE Sunnyside Rd.,</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Suite 310</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Clackamus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2,733/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11/30/2022</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11104 SE Stark St., Suite S</w:t>
            </w:r>
          </w:p>
        </w:tc>
        <w:tc>
          <w:tcPr>
            <w:tcW w:w="1980" w:type="dxa"/>
            <w:vAlign w:val="bottom"/>
            <w:gridSpan w:val="2"/>
          </w:tcPr>
          <w:p>
            <w:pPr>
              <w:spacing w:after="0"/>
              <w:rPr>
                <w:sz w:val="20"/>
                <w:szCs w:val="20"/>
                <w:color w:val="auto"/>
              </w:rPr>
            </w:pPr>
            <w:r>
              <w:rPr>
                <w:rFonts w:ascii="Arial" w:cs="Arial" w:eastAsia="Arial" w:hAnsi="Arial"/>
                <w:sz w:val="18"/>
                <w:szCs w:val="18"/>
                <w:color w:val="auto"/>
              </w:rPr>
              <w:t>Portland</w:t>
            </w:r>
          </w:p>
        </w:tc>
        <w:tc>
          <w:tcPr>
            <w:tcW w:w="860" w:type="dxa"/>
            <w:vAlign w:val="bottom"/>
            <w:gridSpan w:val="2"/>
          </w:tcPr>
          <w:p>
            <w:pPr>
              <w:spacing w:after="0"/>
              <w:rPr>
                <w:sz w:val="20"/>
                <w:szCs w:val="20"/>
                <w:color w:val="auto"/>
              </w:rPr>
            </w:pPr>
            <w:r>
              <w:rPr>
                <w:rFonts w:ascii="Arial" w:cs="Arial" w:eastAsia="Arial" w:hAnsi="Arial"/>
                <w:sz w:val="18"/>
                <w:szCs w:val="18"/>
                <w:color w:val="auto"/>
              </w:rPr>
              <w:t>OR</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8285</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 Numbus, Suite 160</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Beaverton</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85 SE 5th St., Suite 102</w:t>
            </w:r>
          </w:p>
        </w:tc>
        <w:tc>
          <w:tcPr>
            <w:tcW w:w="1980" w:type="dxa"/>
            <w:vAlign w:val="bottom"/>
            <w:gridSpan w:val="2"/>
          </w:tcPr>
          <w:p>
            <w:pPr>
              <w:spacing w:after="0"/>
              <w:rPr>
                <w:sz w:val="20"/>
                <w:szCs w:val="20"/>
                <w:color w:val="auto"/>
              </w:rPr>
            </w:pPr>
            <w:r>
              <w:rPr>
                <w:rFonts w:ascii="Arial" w:cs="Arial" w:eastAsia="Arial" w:hAnsi="Arial"/>
                <w:sz w:val="18"/>
                <w:szCs w:val="18"/>
                <w:color w:val="auto"/>
              </w:rPr>
              <w:t>Madras</w:t>
            </w:r>
          </w:p>
        </w:tc>
        <w:tc>
          <w:tcPr>
            <w:tcW w:w="860" w:type="dxa"/>
            <w:vAlign w:val="bottom"/>
            <w:gridSpan w:val="2"/>
          </w:tcPr>
          <w:p>
            <w:pPr>
              <w:spacing w:after="0"/>
              <w:rPr>
                <w:sz w:val="20"/>
                <w:szCs w:val="20"/>
                <w:color w:val="auto"/>
              </w:rPr>
            </w:pPr>
            <w:r>
              <w:rPr>
                <w:rFonts w:ascii="Arial" w:cs="Arial" w:eastAsia="Arial" w:hAnsi="Arial"/>
                <w:sz w:val="18"/>
                <w:szCs w:val="18"/>
                <w:color w:val="auto"/>
              </w:rPr>
              <w:t>OR</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110 Awendaw Way</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Greenville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6263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Poplar Ave., Suite 900</w:t>
            </w:r>
          </w:p>
        </w:tc>
        <w:tc>
          <w:tcPr>
            <w:tcW w:w="1980" w:type="dxa"/>
            <w:vAlign w:val="bottom"/>
            <w:gridSpan w:val="2"/>
          </w:tcPr>
          <w:p>
            <w:pPr>
              <w:spacing w:after="0"/>
              <w:rPr>
                <w:sz w:val="20"/>
                <w:szCs w:val="20"/>
                <w:color w:val="auto"/>
              </w:rPr>
            </w:pPr>
            <w:r>
              <w:rPr>
                <w:rFonts w:ascii="Arial" w:cs="Arial" w:eastAsia="Arial" w:hAnsi="Arial"/>
                <w:sz w:val="18"/>
                <w:szCs w:val="18"/>
                <w:color w:val="auto"/>
              </w:rPr>
              <w:t>Memphis</w:t>
            </w:r>
          </w:p>
        </w:tc>
        <w:tc>
          <w:tcPr>
            <w:tcW w:w="860" w:type="dxa"/>
            <w:vAlign w:val="bottom"/>
            <w:gridSpan w:val="2"/>
          </w:tcPr>
          <w:p>
            <w:pPr>
              <w:spacing w:after="0"/>
              <w:rPr>
                <w:sz w:val="20"/>
                <w:szCs w:val="20"/>
                <w:color w:val="auto"/>
              </w:rPr>
            </w:pPr>
            <w:r>
              <w:rPr>
                <w:rFonts w:ascii="Arial" w:cs="Arial" w:eastAsia="Arial" w:hAnsi="Arial"/>
                <w:sz w:val="18"/>
                <w:szCs w:val="18"/>
                <w:color w:val="auto"/>
              </w:rPr>
              <w:t>TN</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1,979/ mo</w:t>
            </w:r>
          </w:p>
        </w:tc>
        <w:tc>
          <w:tcPr>
            <w:tcW w:w="1000" w:type="dxa"/>
            <w:vAlign w:val="bottom"/>
          </w:tcPr>
          <w:p>
            <w:pPr>
              <w:jc w:val="right"/>
              <w:spacing w:after="0"/>
              <w:rPr>
                <w:sz w:val="20"/>
                <w:szCs w:val="20"/>
                <w:color w:val="auto"/>
              </w:rPr>
            </w:pPr>
            <w:r>
              <w:rPr>
                <w:rFonts w:ascii="Arial" w:cs="Arial" w:eastAsia="Arial" w:hAnsi="Arial"/>
                <w:sz w:val="18"/>
                <w:szCs w:val="18"/>
                <w:color w:val="auto"/>
              </w:rPr>
              <w:t>3/31/2023</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144</w:t>
            </w:r>
          </w:p>
        </w:tc>
        <w:tc>
          <w:tcPr>
            <w:tcW w:w="2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Alf Taylor Rd.</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Johnson City</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TN</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347</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Main St., Suite 200</w:t>
            </w:r>
          </w:p>
        </w:tc>
        <w:tc>
          <w:tcPr>
            <w:tcW w:w="198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860" w:type="dxa"/>
            <w:vAlign w:val="bottom"/>
            <w:gridSpan w:val="2"/>
          </w:tcPr>
          <w:p>
            <w:pPr>
              <w:spacing w:after="0"/>
              <w:rPr>
                <w:sz w:val="20"/>
                <w:szCs w:val="20"/>
                <w:color w:val="auto"/>
              </w:rPr>
            </w:pPr>
            <w:r>
              <w:rPr>
                <w:rFonts w:ascii="Arial" w:cs="Arial" w:eastAsia="Arial" w:hAnsi="Arial"/>
                <w:sz w:val="18"/>
                <w:szCs w:val="18"/>
                <w:color w:val="auto"/>
              </w:rPr>
              <w:t>TN</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2,444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5,874/ mo</w:t>
            </w:r>
          </w:p>
        </w:tc>
        <w:tc>
          <w:tcPr>
            <w:tcW w:w="1000" w:type="dxa"/>
            <w:vAlign w:val="bottom"/>
          </w:tcPr>
          <w:p>
            <w:pPr>
              <w:jc w:val="right"/>
              <w:spacing w:after="0"/>
              <w:rPr>
                <w:sz w:val="20"/>
                <w:szCs w:val="20"/>
                <w:color w:val="auto"/>
              </w:rPr>
            </w:pPr>
            <w:r>
              <w:rPr>
                <w:rFonts w:ascii="Arial" w:cs="Arial" w:eastAsia="Arial" w:hAnsi="Arial"/>
                <w:sz w:val="18"/>
                <w:szCs w:val="18"/>
                <w:color w:val="auto"/>
              </w:rPr>
              <w:t>8/31/2025</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7241</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Bahne Rd.</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Fairview</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TN</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gridSpan w:val="2"/>
          </w:tcPr>
          <w:p>
            <w:pPr>
              <w:spacing w:after="0" w:line="201" w:lineRule="exact"/>
              <w:rPr>
                <w:sz w:val="20"/>
                <w:szCs w:val="20"/>
                <w:color w:val="auto"/>
              </w:rPr>
            </w:pPr>
            <w:r>
              <w:rPr>
                <w:rFonts w:ascii="Arial" w:cs="Arial" w:eastAsia="Arial" w:hAnsi="Arial"/>
                <w:sz w:val="18"/>
                <w:szCs w:val="18"/>
                <w:color w:val="auto"/>
                <w:w w:val="94"/>
              </w:rPr>
              <w:t>1707</w:t>
            </w:r>
          </w:p>
        </w:tc>
        <w:tc>
          <w:tcPr>
            <w:tcW w:w="1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Fairview Blvd.,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101-C</w:t>
            </w:r>
          </w:p>
        </w:tc>
        <w:tc>
          <w:tcPr>
            <w:tcW w:w="1980" w:type="dxa"/>
            <w:vAlign w:val="bottom"/>
            <w:gridSpan w:val="2"/>
          </w:tcPr>
          <w:p>
            <w:pPr>
              <w:spacing w:after="0"/>
              <w:rPr>
                <w:sz w:val="20"/>
                <w:szCs w:val="20"/>
                <w:color w:val="auto"/>
              </w:rPr>
            </w:pPr>
            <w:r>
              <w:rPr>
                <w:rFonts w:ascii="Arial" w:cs="Arial" w:eastAsia="Arial" w:hAnsi="Arial"/>
                <w:sz w:val="18"/>
                <w:szCs w:val="18"/>
                <w:color w:val="auto"/>
              </w:rPr>
              <w:t>Fairview</w:t>
            </w:r>
          </w:p>
        </w:tc>
        <w:tc>
          <w:tcPr>
            <w:tcW w:w="860" w:type="dxa"/>
            <w:vAlign w:val="bottom"/>
            <w:gridSpan w:val="2"/>
          </w:tcPr>
          <w:p>
            <w:pPr>
              <w:spacing w:after="0"/>
              <w:rPr>
                <w:sz w:val="20"/>
                <w:szCs w:val="20"/>
                <w:color w:val="auto"/>
              </w:rPr>
            </w:pPr>
            <w:r>
              <w:rPr>
                <w:rFonts w:ascii="Arial" w:cs="Arial" w:eastAsia="Arial" w:hAnsi="Arial"/>
                <w:sz w:val="18"/>
                <w:szCs w:val="18"/>
                <w:color w:val="auto"/>
              </w:rPr>
              <w:t>TN</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 mo</w:t>
            </w:r>
          </w:p>
        </w:tc>
        <w:tc>
          <w:tcPr>
            <w:tcW w:w="1000" w:type="dxa"/>
            <w:vAlign w:val="bottom"/>
          </w:tcPr>
          <w:p>
            <w:pPr>
              <w:jc w:val="right"/>
              <w:spacing w:after="0"/>
              <w:rPr>
                <w:sz w:val="20"/>
                <w:szCs w:val="20"/>
                <w:color w:val="auto"/>
              </w:rPr>
            </w:pPr>
            <w:r>
              <w:rPr>
                <w:rFonts w:ascii="Arial" w:cs="Arial" w:eastAsia="Arial" w:hAnsi="Arial"/>
                <w:sz w:val="18"/>
                <w:szCs w:val="18"/>
                <w:color w:val="auto"/>
              </w:rPr>
              <w:t>5/1/2023</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3027</w:t>
            </w:r>
          </w:p>
        </w:tc>
        <w:tc>
          <w:tcPr>
            <w:tcW w:w="1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Marina Bay Dr.,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200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League City</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2,348/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4/30/2023</w:t>
            </w:r>
          </w:p>
        </w:tc>
      </w:tr>
      <w:tr>
        <w:trPr>
          <w:trHeight w:val="216"/>
        </w:trPr>
        <w:tc>
          <w:tcPr>
            <w:tcW w:w="2380" w:type="dxa"/>
            <w:vAlign w:val="bottom"/>
            <w:gridSpan w:val="4"/>
          </w:tcPr>
          <w:p>
            <w:pPr>
              <w:spacing w:after="0"/>
              <w:rPr>
                <w:sz w:val="20"/>
                <w:szCs w:val="20"/>
                <w:color w:val="auto"/>
              </w:rPr>
            </w:pPr>
            <w:r>
              <w:rPr>
                <w:rFonts w:ascii="Arial" w:cs="Arial" w:eastAsia="Arial" w:hAnsi="Arial"/>
                <w:sz w:val="18"/>
                <w:szCs w:val="18"/>
                <w:color w:val="auto"/>
              </w:rPr>
              <w:t>11550 Fuqua, Suite 200</w:t>
            </w:r>
          </w:p>
        </w:tc>
        <w:tc>
          <w:tcPr>
            <w:tcW w:w="198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860" w:type="dxa"/>
            <w:vAlign w:val="bottom"/>
            <w:gridSpan w:val="2"/>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1,865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3,186/ mo</w:t>
            </w:r>
          </w:p>
        </w:tc>
        <w:tc>
          <w:tcPr>
            <w:tcW w:w="1000" w:type="dxa"/>
            <w:vAlign w:val="bottom"/>
          </w:tcPr>
          <w:p>
            <w:pPr>
              <w:jc w:val="right"/>
              <w:spacing w:after="0"/>
              <w:rPr>
                <w:sz w:val="20"/>
                <w:szCs w:val="20"/>
                <w:color w:val="auto"/>
              </w:rPr>
            </w:pPr>
            <w:r>
              <w:rPr>
                <w:rFonts w:ascii="Arial" w:cs="Arial" w:eastAsia="Arial" w:hAnsi="Arial"/>
                <w:sz w:val="18"/>
                <w:szCs w:val="18"/>
                <w:color w:val="auto"/>
              </w:rPr>
              <w:t>6/30/2024</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1848</w:t>
            </w:r>
          </w:p>
        </w:tc>
        <w:tc>
          <w:tcPr>
            <w:tcW w:w="1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Norwood Plaza,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213</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Hurst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2380" w:type="dxa"/>
            <w:vAlign w:val="bottom"/>
            <w:gridSpan w:val="4"/>
          </w:tcPr>
          <w:p>
            <w:pPr>
              <w:spacing w:after="0" w:line="201" w:lineRule="exact"/>
              <w:rPr>
                <w:sz w:val="20"/>
                <w:szCs w:val="20"/>
                <w:color w:val="auto"/>
              </w:rPr>
            </w:pPr>
            <w:r>
              <w:rPr>
                <w:rFonts w:ascii="Arial" w:cs="Arial" w:eastAsia="Arial" w:hAnsi="Arial"/>
                <w:sz w:val="18"/>
                <w:szCs w:val="18"/>
                <w:color w:val="auto"/>
              </w:rPr>
              <w:t>17347 Village Green Dr.,</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Suite 102</w:t>
            </w:r>
          </w:p>
        </w:tc>
        <w:tc>
          <w:tcPr>
            <w:tcW w:w="198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860" w:type="dxa"/>
            <w:vAlign w:val="bottom"/>
            <w:gridSpan w:val="2"/>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3,300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8,970/ mo</w:t>
            </w:r>
          </w:p>
        </w:tc>
        <w:tc>
          <w:tcPr>
            <w:tcW w:w="1000" w:type="dxa"/>
            <w:vAlign w:val="bottom"/>
          </w:tcPr>
          <w:p>
            <w:pPr>
              <w:jc w:val="right"/>
              <w:spacing w:after="0"/>
              <w:rPr>
                <w:sz w:val="20"/>
                <w:szCs w:val="20"/>
                <w:color w:val="auto"/>
              </w:rPr>
            </w:pPr>
            <w:r>
              <w:rPr>
                <w:rFonts w:ascii="Arial" w:cs="Arial" w:eastAsia="Arial" w:hAnsi="Arial"/>
                <w:sz w:val="18"/>
                <w:szCs w:val="18"/>
                <w:color w:val="auto"/>
              </w:rPr>
              <w:t>12/1/2024</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1626</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Lee Trevino, Suite A</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 Paso</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7,853/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12/31/2022</w:t>
            </w:r>
          </w:p>
        </w:tc>
      </w:tr>
      <w:tr>
        <w:trPr>
          <w:trHeight w:val="202"/>
        </w:trPr>
        <w:tc>
          <w:tcPr>
            <w:tcW w:w="400" w:type="dxa"/>
            <w:vAlign w:val="bottom"/>
            <w:gridSpan w:val="2"/>
          </w:tcPr>
          <w:p>
            <w:pPr>
              <w:spacing w:after="0" w:line="201" w:lineRule="exact"/>
              <w:rPr>
                <w:sz w:val="20"/>
                <w:szCs w:val="20"/>
                <w:color w:val="auto"/>
              </w:rPr>
            </w:pPr>
            <w:r>
              <w:rPr>
                <w:rFonts w:ascii="Arial" w:cs="Arial" w:eastAsia="Arial" w:hAnsi="Arial"/>
                <w:sz w:val="18"/>
                <w:szCs w:val="18"/>
                <w:color w:val="auto"/>
                <w:w w:val="94"/>
              </w:rPr>
              <w:t>9737</w:t>
            </w:r>
          </w:p>
        </w:tc>
        <w:tc>
          <w:tcPr>
            <w:tcW w:w="1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Great Hills Trail, Suites</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150, 200, 220</w:t>
            </w: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Austin</w:t>
            </w:r>
          </w:p>
        </w:tc>
        <w:tc>
          <w:tcPr>
            <w:tcW w:w="860" w:type="dxa"/>
            <w:vAlign w:val="bottom"/>
            <w:gridSpan w:val="2"/>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19,891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38,539/ mo</w:t>
            </w:r>
          </w:p>
        </w:tc>
        <w:tc>
          <w:tcPr>
            <w:tcW w:w="1000" w:type="dxa"/>
            <w:vAlign w:val="bottom"/>
          </w:tcPr>
          <w:p>
            <w:pPr>
              <w:jc w:val="right"/>
              <w:spacing w:after="0"/>
              <w:rPr>
                <w:sz w:val="20"/>
                <w:szCs w:val="20"/>
                <w:color w:val="auto"/>
              </w:rPr>
            </w:pPr>
            <w:r>
              <w:rPr>
                <w:rFonts w:ascii="Arial" w:cs="Arial" w:eastAsia="Arial" w:hAnsi="Arial"/>
                <w:sz w:val="18"/>
                <w:szCs w:val="18"/>
                <w:color w:val="auto"/>
              </w:rPr>
              <w:t>8/31/2024</w:t>
            </w:r>
          </w:p>
        </w:tc>
      </w:tr>
      <w:tr>
        <w:trPr>
          <w:trHeight w:val="211"/>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1213</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 Alton Gloor Blvd.,</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Brownsville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TX</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2/28/2022</w:t>
            </w:r>
          </w:p>
        </w:tc>
      </w:tr>
    </w:tbl>
    <w:p>
      <w:pPr>
        <w:sectPr>
          <w:pgSz w:w="11900" w:h="16900" w:orient="portrait"/>
          <w:cols w:equalWidth="0" w:num="1">
            <w:col w:w="11240"/>
          </w:cols>
          <w:pgMar w:left="320" w:top="688" w:right="3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Suite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sz w:val="20"/>
                <w:szCs w:val="20"/>
                <w:color w:val="auto"/>
              </w:rPr>
            </w:pPr>
            <w:r>
              <w:rPr>
                <w:rFonts w:ascii="Arial" w:cs="Arial" w:eastAsia="Arial" w:hAnsi="Arial"/>
                <w:sz w:val="18"/>
                <w:szCs w:val="18"/>
                <w:color w:val="auto"/>
                <w:w w:val="94"/>
              </w:rPr>
              <w:t>5020</w:t>
            </w:r>
          </w:p>
        </w:tc>
        <w:tc>
          <w:tcPr>
            <w:tcW w:w="1860" w:type="dxa"/>
            <w:vAlign w:val="bottom"/>
          </w:tcPr>
          <w:p>
            <w:pPr>
              <w:ind w:left="20"/>
              <w:spacing w:after="0"/>
              <w:rPr>
                <w:sz w:val="20"/>
                <w:szCs w:val="20"/>
                <w:color w:val="auto"/>
              </w:rPr>
            </w:pPr>
            <w:r>
              <w:rPr>
                <w:rFonts w:ascii="Arial" w:cs="Arial" w:eastAsia="Arial" w:hAnsi="Arial"/>
                <w:sz w:val="18"/>
                <w:szCs w:val="18"/>
                <w:color w:val="auto"/>
              </w:rPr>
              <w:t>Collinwood Ave.,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Fort Worth</w:t>
            </w:r>
          </w:p>
        </w:tc>
        <w:tc>
          <w:tcPr>
            <w:tcW w:w="980" w:type="dxa"/>
            <w:vAlign w:val="bottom"/>
          </w:tcPr>
          <w:p>
            <w:pPr>
              <w:ind w:left="440"/>
              <w:spacing w:after="0"/>
              <w:rPr>
                <w:sz w:val="20"/>
                <w:szCs w:val="20"/>
                <w:color w:val="auto"/>
              </w:rPr>
            </w:pPr>
            <w:r>
              <w:rPr>
                <w:rFonts w:ascii="Arial" w:cs="Arial" w:eastAsia="Arial" w:hAnsi="Arial"/>
                <w:sz w:val="18"/>
                <w:szCs w:val="18"/>
                <w:color w:val="auto"/>
              </w:rPr>
              <w:t>TX</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2,687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5,300/ mo</w:t>
            </w:r>
          </w:p>
        </w:tc>
        <w:tc>
          <w:tcPr>
            <w:tcW w:w="960" w:type="dxa"/>
            <w:vAlign w:val="bottom"/>
          </w:tcPr>
          <w:p>
            <w:pPr>
              <w:jc w:val="right"/>
              <w:spacing w:after="0"/>
              <w:rPr>
                <w:sz w:val="20"/>
                <w:szCs w:val="20"/>
                <w:color w:val="auto"/>
              </w:rPr>
            </w:pPr>
            <w:r>
              <w:rPr>
                <w:rFonts w:ascii="Arial" w:cs="Arial" w:eastAsia="Arial" w:hAnsi="Arial"/>
                <w:sz w:val="18"/>
                <w:szCs w:val="18"/>
                <w:color w:val="auto"/>
              </w:rPr>
              <w:t>1/31/2025</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2408</w:t>
            </w: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Jacaman Road, Suite F</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Laredo</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TX</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6/1/2022</w:t>
            </w:r>
          </w:p>
        </w:tc>
      </w:tr>
      <w:tr>
        <w:trPr>
          <w:trHeight w:val="202"/>
        </w:trPr>
        <w:tc>
          <w:tcPr>
            <w:tcW w:w="400" w:type="dxa"/>
            <w:vAlign w:val="bottom"/>
            <w:gridSpan w:val="2"/>
          </w:tcPr>
          <w:p>
            <w:pPr>
              <w:spacing w:after="0" w:line="201" w:lineRule="exact"/>
              <w:rPr>
                <w:sz w:val="20"/>
                <w:szCs w:val="20"/>
                <w:color w:val="auto"/>
              </w:rPr>
            </w:pPr>
            <w:r>
              <w:rPr>
                <w:rFonts w:ascii="Arial" w:cs="Arial" w:eastAsia="Arial" w:hAnsi="Arial"/>
                <w:sz w:val="18"/>
                <w:szCs w:val="18"/>
                <w:color w:val="auto"/>
                <w:w w:val="94"/>
              </w:rPr>
              <w:t>1900</w:t>
            </w:r>
          </w:p>
        </w:tc>
        <w:tc>
          <w:tcPr>
            <w:tcW w:w="1860" w:type="dxa"/>
            <w:vAlign w:val="bottom"/>
          </w:tcPr>
          <w:p>
            <w:pPr>
              <w:ind w:left="20"/>
              <w:spacing w:after="0" w:line="201" w:lineRule="exact"/>
              <w:rPr>
                <w:sz w:val="20"/>
                <w:szCs w:val="20"/>
                <w:color w:val="auto"/>
              </w:rPr>
            </w:pPr>
            <w:r>
              <w:rPr>
                <w:rFonts w:ascii="Arial" w:cs="Arial" w:eastAsia="Arial" w:hAnsi="Arial"/>
                <w:sz w:val="18"/>
                <w:szCs w:val="18"/>
                <w:color w:val="auto"/>
                <w:w w:val="98"/>
              </w:rPr>
              <w:t>Country Club Dr.,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Mansfield</w:t>
            </w:r>
          </w:p>
        </w:tc>
        <w:tc>
          <w:tcPr>
            <w:tcW w:w="980" w:type="dxa"/>
            <w:vAlign w:val="bottom"/>
          </w:tcPr>
          <w:p>
            <w:pPr>
              <w:ind w:left="440"/>
              <w:spacing w:after="0"/>
              <w:rPr>
                <w:sz w:val="20"/>
                <w:szCs w:val="20"/>
                <w:color w:val="auto"/>
              </w:rPr>
            </w:pPr>
            <w:r>
              <w:rPr>
                <w:rFonts w:ascii="Arial" w:cs="Arial" w:eastAsia="Arial" w:hAnsi="Arial"/>
                <w:sz w:val="18"/>
                <w:szCs w:val="18"/>
                <w:color w:val="auto"/>
              </w:rPr>
              <w:t>TX</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325/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Sub-</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3220</w:t>
            </w: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Gus Thomasson Rd.</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Mesquite</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TX</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722</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Kiowa Dr. West</w:t>
            </w:r>
          </w:p>
        </w:tc>
        <w:tc>
          <w:tcPr>
            <w:tcW w:w="1660" w:type="dxa"/>
            <w:vAlign w:val="bottom"/>
          </w:tcPr>
          <w:p>
            <w:pPr>
              <w:ind w:left="120"/>
              <w:spacing w:after="0"/>
              <w:rPr>
                <w:sz w:val="20"/>
                <w:szCs w:val="20"/>
                <w:color w:val="auto"/>
              </w:rPr>
            </w:pPr>
            <w:r>
              <w:rPr>
                <w:rFonts w:ascii="Arial" w:cs="Arial" w:eastAsia="Arial" w:hAnsi="Arial"/>
                <w:sz w:val="18"/>
                <w:szCs w:val="18"/>
                <w:color w:val="auto"/>
              </w:rPr>
              <w:t>Lake Kiowa</w:t>
            </w:r>
          </w:p>
        </w:tc>
        <w:tc>
          <w:tcPr>
            <w:tcW w:w="980" w:type="dxa"/>
            <w:vAlign w:val="bottom"/>
          </w:tcPr>
          <w:p>
            <w:pPr>
              <w:ind w:left="440"/>
              <w:spacing w:after="0"/>
              <w:rPr>
                <w:sz w:val="20"/>
                <w:szCs w:val="20"/>
                <w:color w:val="auto"/>
              </w:rPr>
            </w:pPr>
            <w:r>
              <w:rPr>
                <w:rFonts w:ascii="Arial" w:cs="Arial" w:eastAsia="Arial" w:hAnsi="Arial"/>
                <w:sz w:val="18"/>
                <w:szCs w:val="18"/>
                <w:color w:val="auto"/>
              </w:rPr>
              <w:t>TX</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495/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2102</w:t>
            </w: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Jitterbug Ln.</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Katy</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TX</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1/31/2022</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ind w:left="320"/>
              <w:spacing w:after="0" w:line="201" w:lineRule="exact"/>
              <w:rPr>
                <w:sz w:val="20"/>
                <w:szCs w:val="20"/>
                <w:color w:val="auto"/>
              </w:rPr>
            </w:pPr>
            <w:r>
              <w:rPr>
                <w:rFonts w:ascii="Arial" w:cs="Arial" w:eastAsia="Arial" w:hAnsi="Arial"/>
                <w:sz w:val="18"/>
                <w:szCs w:val="18"/>
                <w:color w:val="auto"/>
              </w:rPr>
              <w:t>Sub-</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124</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N. Main St.</w:t>
            </w:r>
          </w:p>
        </w:tc>
        <w:tc>
          <w:tcPr>
            <w:tcW w:w="1660" w:type="dxa"/>
            <w:vAlign w:val="bottom"/>
          </w:tcPr>
          <w:p>
            <w:pPr>
              <w:ind w:left="120"/>
              <w:spacing w:after="0"/>
              <w:rPr>
                <w:sz w:val="20"/>
                <w:szCs w:val="20"/>
                <w:color w:val="auto"/>
              </w:rPr>
            </w:pPr>
            <w:r>
              <w:rPr>
                <w:rFonts w:ascii="Arial" w:cs="Arial" w:eastAsia="Arial" w:hAnsi="Arial"/>
                <w:sz w:val="18"/>
                <w:szCs w:val="18"/>
                <w:color w:val="auto"/>
              </w:rPr>
              <w:t>Mansfield</w:t>
            </w:r>
          </w:p>
        </w:tc>
        <w:tc>
          <w:tcPr>
            <w:tcW w:w="980" w:type="dxa"/>
            <w:vAlign w:val="bottom"/>
          </w:tcPr>
          <w:p>
            <w:pPr>
              <w:ind w:left="440"/>
              <w:spacing w:after="0"/>
              <w:rPr>
                <w:sz w:val="20"/>
                <w:szCs w:val="20"/>
                <w:color w:val="auto"/>
              </w:rPr>
            </w:pPr>
            <w:r>
              <w:rPr>
                <w:rFonts w:ascii="Arial" w:cs="Arial" w:eastAsia="Arial" w:hAnsi="Arial"/>
                <w:sz w:val="18"/>
                <w:szCs w:val="18"/>
                <w:color w:val="auto"/>
              </w:rPr>
              <w:t>TX</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3,000/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Sub-</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4411 W. Illinois, Suite B-4</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Midland</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TX</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23227 Red River Dr.</w:t>
            </w:r>
          </w:p>
        </w:tc>
        <w:tc>
          <w:tcPr>
            <w:tcW w:w="1660" w:type="dxa"/>
            <w:vAlign w:val="bottom"/>
          </w:tcPr>
          <w:p>
            <w:pPr>
              <w:ind w:left="120"/>
              <w:spacing w:after="0"/>
              <w:rPr>
                <w:sz w:val="20"/>
                <w:szCs w:val="20"/>
                <w:color w:val="auto"/>
              </w:rPr>
            </w:pPr>
            <w:r>
              <w:rPr>
                <w:rFonts w:ascii="Arial" w:cs="Arial" w:eastAsia="Arial" w:hAnsi="Arial"/>
                <w:sz w:val="18"/>
                <w:szCs w:val="18"/>
                <w:color w:val="auto"/>
              </w:rPr>
              <w:t>Katy</w:t>
            </w:r>
          </w:p>
        </w:tc>
        <w:tc>
          <w:tcPr>
            <w:tcW w:w="980" w:type="dxa"/>
            <w:vAlign w:val="bottom"/>
          </w:tcPr>
          <w:p>
            <w:pPr>
              <w:ind w:left="440"/>
              <w:spacing w:after="0"/>
              <w:rPr>
                <w:sz w:val="20"/>
                <w:szCs w:val="20"/>
                <w:color w:val="auto"/>
              </w:rPr>
            </w:pPr>
            <w:r>
              <w:rPr>
                <w:rFonts w:ascii="Arial" w:cs="Arial" w:eastAsia="Arial" w:hAnsi="Arial"/>
                <w:sz w:val="18"/>
                <w:szCs w:val="18"/>
                <w:color w:val="auto"/>
              </w:rPr>
              <w:t>TX</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750/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6401</w:t>
            </w:r>
          </w:p>
        </w:tc>
        <w:tc>
          <w:tcPr>
            <w:tcW w:w="1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Eldorado Pkwy, Suite</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Sub-</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313</w:t>
            </w: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McKinney</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TX</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796/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590</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W. State Street</w:t>
            </w:r>
          </w:p>
        </w:tc>
        <w:tc>
          <w:tcPr>
            <w:tcW w:w="1660" w:type="dxa"/>
            <w:vAlign w:val="bottom"/>
          </w:tcPr>
          <w:p>
            <w:pPr>
              <w:ind w:left="120"/>
              <w:spacing w:after="0"/>
              <w:rPr>
                <w:sz w:val="20"/>
                <w:szCs w:val="20"/>
                <w:color w:val="auto"/>
              </w:rPr>
            </w:pPr>
            <w:r>
              <w:rPr>
                <w:rFonts w:ascii="Arial" w:cs="Arial" w:eastAsia="Arial" w:hAnsi="Arial"/>
                <w:sz w:val="18"/>
                <w:szCs w:val="18"/>
                <w:color w:val="auto"/>
              </w:rPr>
              <w:t>Pleasant Grove</w:t>
            </w:r>
          </w:p>
        </w:tc>
        <w:tc>
          <w:tcPr>
            <w:tcW w:w="980" w:type="dxa"/>
            <w:vAlign w:val="bottom"/>
          </w:tcPr>
          <w:p>
            <w:pPr>
              <w:ind w:left="440"/>
              <w:spacing w:after="0"/>
              <w:rPr>
                <w:sz w:val="20"/>
                <w:szCs w:val="20"/>
                <w:color w:val="auto"/>
              </w:rPr>
            </w:pPr>
            <w:r>
              <w:rPr>
                <w:rFonts w:ascii="Arial" w:cs="Arial" w:eastAsia="Arial" w:hAnsi="Arial"/>
                <w:sz w:val="18"/>
                <w:szCs w:val="18"/>
                <w:color w:val="auto"/>
              </w:rPr>
              <w:t>UT</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500/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6575</w:t>
            </w: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Redwood Rd.</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Taylorsville</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UT</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5,491/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12/31/2022</w:t>
            </w:r>
          </w:p>
        </w:tc>
      </w:tr>
      <w:tr>
        <w:trPr>
          <w:trHeight w:val="202"/>
        </w:trPr>
        <w:tc>
          <w:tcPr>
            <w:tcW w:w="300" w:type="dxa"/>
            <w:vAlign w:val="bottom"/>
          </w:tcPr>
          <w:p>
            <w:pPr>
              <w:spacing w:after="0" w:line="201" w:lineRule="exact"/>
              <w:rPr>
                <w:sz w:val="20"/>
                <w:szCs w:val="20"/>
                <w:color w:val="auto"/>
              </w:rPr>
            </w:pPr>
            <w:r>
              <w:rPr>
                <w:rFonts w:ascii="Arial" w:cs="Arial" w:eastAsia="Arial" w:hAnsi="Arial"/>
                <w:sz w:val="18"/>
                <w:szCs w:val="18"/>
                <w:color w:val="auto"/>
                <w:w w:val="93"/>
              </w:rPr>
              <w:t>126</w:t>
            </w:r>
          </w:p>
        </w:tc>
        <w:tc>
          <w:tcPr>
            <w:tcW w:w="1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W. Sego Lily Dr.,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260</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Sandy</w:t>
            </w:r>
          </w:p>
        </w:tc>
        <w:tc>
          <w:tcPr>
            <w:tcW w:w="980" w:type="dxa"/>
            <w:vAlign w:val="bottom"/>
          </w:tcPr>
          <w:p>
            <w:pPr>
              <w:ind w:left="440"/>
              <w:spacing w:after="0"/>
              <w:rPr>
                <w:sz w:val="20"/>
                <w:szCs w:val="20"/>
                <w:color w:val="auto"/>
              </w:rPr>
            </w:pPr>
            <w:r>
              <w:rPr>
                <w:rFonts w:ascii="Arial" w:cs="Arial" w:eastAsia="Arial" w:hAnsi="Arial"/>
                <w:sz w:val="18"/>
                <w:szCs w:val="18"/>
                <w:color w:val="auto"/>
              </w:rPr>
              <w:t>UT</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2,794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6,781/ mo</w:t>
            </w:r>
          </w:p>
        </w:tc>
        <w:tc>
          <w:tcPr>
            <w:tcW w:w="960" w:type="dxa"/>
            <w:vAlign w:val="bottom"/>
          </w:tcPr>
          <w:p>
            <w:pPr>
              <w:jc w:val="right"/>
              <w:spacing w:after="0"/>
              <w:rPr>
                <w:sz w:val="20"/>
                <w:szCs w:val="20"/>
                <w:color w:val="auto"/>
              </w:rPr>
            </w:pPr>
            <w:r>
              <w:rPr>
                <w:rFonts w:ascii="Arial" w:cs="Arial" w:eastAsia="Arial" w:hAnsi="Arial"/>
                <w:sz w:val="18"/>
                <w:szCs w:val="18"/>
                <w:color w:val="auto"/>
              </w:rPr>
              <w:t>1/31/2027</w:t>
            </w:r>
          </w:p>
        </w:tc>
      </w:tr>
      <w:tr>
        <w:trPr>
          <w:trHeight w:val="202"/>
        </w:trPr>
        <w:tc>
          <w:tcPr>
            <w:tcW w:w="22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75 Towne Ridge Parkway,</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Suite 100</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Sandy</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UT</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17,196/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8/31/2023</w:t>
            </w:r>
          </w:p>
        </w:tc>
      </w:tr>
      <w:tr>
        <w:trPr>
          <w:trHeight w:val="202"/>
        </w:trPr>
        <w:tc>
          <w:tcPr>
            <w:tcW w:w="2260" w:type="dxa"/>
            <w:vAlign w:val="bottom"/>
            <w:gridSpan w:val="3"/>
          </w:tcPr>
          <w:p>
            <w:pPr>
              <w:spacing w:after="0" w:line="201" w:lineRule="exact"/>
              <w:rPr>
                <w:sz w:val="20"/>
                <w:szCs w:val="20"/>
                <w:color w:val="auto"/>
              </w:rPr>
            </w:pPr>
            <w:r>
              <w:rPr>
                <w:rFonts w:ascii="Arial" w:cs="Arial" w:eastAsia="Arial" w:hAnsi="Arial"/>
                <w:sz w:val="18"/>
                <w:szCs w:val="18"/>
                <w:color w:val="auto"/>
              </w:rPr>
              <w:t>1133 North Main St.,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ind w:left="320"/>
              <w:spacing w:after="0" w:line="201" w:lineRule="exact"/>
              <w:rPr>
                <w:sz w:val="20"/>
                <w:szCs w:val="20"/>
                <w:color w:val="auto"/>
              </w:rPr>
            </w:pPr>
            <w:r>
              <w:rPr>
                <w:rFonts w:ascii="Arial" w:cs="Arial" w:eastAsia="Arial" w:hAnsi="Arial"/>
                <w:sz w:val="18"/>
                <w:szCs w:val="18"/>
                <w:color w:val="auto"/>
              </w:rPr>
              <w:t>Sub-</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Layton</w:t>
            </w:r>
          </w:p>
        </w:tc>
        <w:tc>
          <w:tcPr>
            <w:tcW w:w="980" w:type="dxa"/>
            <w:vAlign w:val="bottom"/>
          </w:tcPr>
          <w:p>
            <w:pPr>
              <w:ind w:left="440"/>
              <w:spacing w:after="0"/>
              <w:rPr>
                <w:sz w:val="20"/>
                <w:szCs w:val="20"/>
                <w:color w:val="auto"/>
              </w:rPr>
            </w:pPr>
            <w:r>
              <w:rPr>
                <w:rFonts w:ascii="Arial" w:cs="Arial" w:eastAsia="Arial" w:hAnsi="Arial"/>
                <w:sz w:val="18"/>
                <w:szCs w:val="18"/>
                <w:color w:val="auto"/>
              </w:rPr>
              <w:t>UT</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 mo</w:t>
            </w:r>
          </w:p>
        </w:tc>
        <w:tc>
          <w:tcPr>
            <w:tcW w:w="96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497</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Main</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Ephraim</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UT</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1,600/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4/30/2025</w:t>
            </w: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11240 S. River Heights Dr.</w:t>
            </w:r>
          </w:p>
        </w:tc>
        <w:tc>
          <w:tcPr>
            <w:tcW w:w="1660" w:type="dxa"/>
            <w:vAlign w:val="bottom"/>
          </w:tcPr>
          <w:p>
            <w:pPr>
              <w:ind w:left="120"/>
              <w:spacing w:after="0"/>
              <w:rPr>
                <w:sz w:val="20"/>
                <w:szCs w:val="20"/>
                <w:color w:val="auto"/>
              </w:rPr>
            </w:pPr>
            <w:r>
              <w:rPr>
                <w:rFonts w:ascii="Arial" w:cs="Arial" w:eastAsia="Arial" w:hAnsi="Arial"/>
                <w:sz w:val="18"/>
                <w:szCs w:val="18"/>
                <w:color w:val="auto"/>
              </w:rPr>
              <w:t>South Jordan</w:t>
            </w:r>
          </w:p>
        </w:tc>
        <w:tc>
          <w:tcPr>
            <w:tcW w:w="980" w:type="dxa"/>
            <w:vAlign w:val="bottom"/>
          </w:tcPr>
          <w:p>
            <w:pPr>
              <w:ind w:left="440"/>
              <w:spacing w:after="0"/>
              <w:rPr>
                <w:sz w:val="20"/>
                <w:szCs w:val="20"/>
                <w:color w:val="auto"/>
              </w:rPr>
            </w:pPr>
            <w:r>
              <w:rPr>
                <w:rFonts w:ascii="Arial" w:cs="Arial" w:eastAsia="Arial" w:hAnsi="Arial"/>
                <w:sz w:val="18"/>
                <w:szCs w:val="18"/>
                <w:color w:val="auto"/>
              </w:rPr>
              <w:t>UT</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3,403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7,973/ mo</w:t>
            </w:r>
          </w:p>
        </w:tc>
        <w:tc>
          <w:tcPr>
            <w:tcW w:w="960" w:type="dxa"/>
            <w:vAlign w:val="bottom"/>
          </w:tcPr>
          <w:p>
            <w:pPr>
              <w:jc w:val="right"/>
              <w:spacing w:after="0"/>
              <w:rPr>
                <w:sz w:val="20"/>
                <w:szCs w:val="20"/>
                <w:color w:val="auto"/>
              </w:rPr>
            </w:pPr>
            <w:r>
              <w:rPr>
                <w:rFonts w:ascii="Arial" w:cs="Arial" w:eastAsia="Arial" w:hAnsi="Arial"/>
                <w:sz w:val="18"/>
                <w:szCs w:val="18"/>
                <w:color w:val="auto"/>
              </w:rPr>
              <w:t>11/30/2024</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500</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 Village Blvd.</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Stansbury Park</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UT</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3,276/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833</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N. 900 W.</w:t>
            </w:r>
          </w:p>
        </w:tc>
        <w:tc>
          <w:tcPr>
            <w:tcW w:w="1660" w:type="dxa"/>
            <w:vAlign w:val="bottom"/>
          </w:tcPr>
          <w:p>
            <w:pPr>
              <w:ind w:left="120"/>
              <w:spacing w:after="0"/>
              <w:rPr>
                <w:sz w:val="20"/>
                <w:szCs w:val="20"/>
                <w:color w:val="auto"/>
              </w:rPr>
            </w:pPr>
            <w:r>
              <w:rPr>
                <w:rFonts w:ascii="Arial" w:cs="Arial" w:eastAsia="Arial" w:hAnsi="Arial"/>
                <w:sz w:val="18"/>
                <w:szCs w:val="18"/>
                <w:color w:val="auto"/>
              </w:rPr>
              <w:t>Orem</w:t>
            </w:r>
          </w:p>
        </w:tc>
        <w:tc>
          <w:tcPr>
            <w:tcW w:w="980" w:type="dxa"/>
            <w:vAlign w:val="bottom"/>
          </w:tcPr>
          <w:p>
            <w:pPr>
              <w:ind w:left="440"/>
              <w:spacing w:after="0"/>
              <w:rPr>
                <w:sz w:val="20"/>
                <w:szCs w:val="20"/>
                <w:color w:val="auto"/>
              </w:rPr>
            </w:pPr>
            <w:r>
              <w:rPr>
                <w:rFonts w:ascii="Arial" w:cs="Arial" w:eastAsia="Arial" w:hAnsi="Arial"/>
                <w:sz w:val="18"/>
                <w:szCs w:val="18"/>
                <w:color w:val="auto"/>
              </w:rPr>
              <w:t>UT</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3,104/ mo</w:t>
            </w:r>
          </w:p>
        </w:tc>
        <w:tc>
          <w:tcPr>
            <w:tcW w:w="960" w:type="dxa"/>
            <w:vAlign w:val="bottom"/>
          </w:tcPr>
          <w:p>
            <w:pPr>
              <w:jc w:val="right"/>
              <w:spacing w:after="0"/>
              <w:rPr>
                <w:sz w:val="20"/>
                <w:szCs w:val="20"/>
                <w:color w:val="auto"/>
              </w:rPr>
            </w:pPr>
            <w:r>
              <w:rPr>
                <w:rFonts w:ascii="Arial" w:cs="Arial" w:eastAsia="Arial" w:hAnsi="Arial"/>
                <w:sz w:val="18"/>
                <w:szCs w:val="18"/>
                <w:color w:val="auto"/>
              </w:rPr>
              <w:t>1/31/2023</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1350</w:t>
            </w: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 300 S. 3rd Floor</w:t>
            </w: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Lehi</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UT</w:t>
            </w:r>
          </w:p>
        </w:tc>
        <w:tc>
          <w:tcPr>
            <w:tcW w:w="1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36,182/ mo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12/22/2026</w:t>
            </w:r>
          </w:p>
        </w:tc>
      </w:tr>
      <w:tr>
        <w:trPr>
          <w:trHeight w:val="202"/>
        </w:trPr>
        <w:tc>
          <w:tcPr>
            <w:tcW w:w="400" w:type="dxa"/>
            <w:vAlign w:val="bottom"/>
            <w:gridSpan w:val="2"/>
          </w:tcPr>
          <w:p>
            <w:pPr>
              <w:spacing w:after="0" w:line="201" w:lineRule="exact"/>
              <w:rPr>
                <w:sz w:val="20"/>
                <w:szCs w:val="20"/>
                <w:color w:val="auto"/>
              </w:rPr>
            </w:pPr>
            <w:r>
              <w:rPr>
                <w:rFonts w:ascii="Arial" w:cs="Arial" w:eastAsia="Arial" w:hAnsi="Arial"/>
                <w:sz w:val="18"/>
                <w:szCs w:val="18"/>
                <w:color w:val="auto"/>
                <w:w w:val="94"/>
              </w:rPr>
              <w:t>2455</w:t>
            </w:r>
          </w:p>
        </w:tc>
        <w:tc>
          <w:tcPr>
            <w:tcW w:w="1860" w:type="dxa"/>
            <w:vAlign w:val="bottom"/>
          </w:tcPr>
          <w:p>
            <w:pPr>
              <w:ind w:left="20"/>
              <w:spacing w:after="0" w:line="201" w:lineRule="exact"/>
              <w:rPr>
                <w:sz w:val="20"/>
                <w:szCs w:val="20"/>
                <w:color w:val="auto"/>
              </w:rPr>
            </w:pPr>
            <w:r>
              <w:rPr>
                <w:rFonts w:ascii="Arial" w:cs="Arial" w:eastAsia="Arial" w:hAnsi="Arial"/>
                <w:sz w:val="18"/>
                <w:szCs w:val="18"/>
                <w:color w:val="auto"/>
                <w:w w:val="99"/>
              </w:rPr>
              <w:t>E. Parleys Way, Suites</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120</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&amp; 150</w:t>
            </w:r>
          </w:p>
        </w:tc>
        <w:tc>
          <w:tcPr>
            <w:tcW w:w="1660" w:type="dxa"/>
            <w:vAlign w:val="bottom"/>
          </w:tcPr>
          <w:p>
            <w:pPr>
              <w:ind w:left="120"/>
              <w:spacing w:after="0"/>
              <w:rPr>
                <w:sz w:val="20"/>
                <w:szCs w:val="20"/>
                <w:color w:val="auto"/>
              </w:rPr>
            </w:pPr>
            <w:r>
              <w:rPr>
                <w:rFonts w:ascii="Arial" w:cs="Arial" w:eastAsia="Arial" w:hAnsi="Arial"/>
                <w:sz w:val="18"/>
                <w:szCs w:val="18"/>
                <w:color w:val="auto"/>
              </w:rPr>
              <w:t>Salt Lake City</w:t>
            </w:r>
          </w:p>
        </w:tc>
        <w:tc>
          <w:tcPr>
            <w:tcW w:w="980" w:type="dxa"/>
            <w:vAlign w:val="bottom"/>
          </w:tcPr>
          <w:p>
            <w:pPr>
              <w:ind w:left="440"/>
              <w:spacing w:after="0"/>
              <w:rPr>
                <w:sz w:val="20"/>
                <w:szCs w:val="20"/>
                <w:color w:val="auto"/>
              </w:rPr>
            </w:pPr>
            <w:r>
              <w:rPr>
                <w:rFonts w:ascii="Arial" w:cs="Arial" w:eastAsia="Arial" w:hAnsi="Arial"/>
                <w:sz w:val="18"/>
                <w:szCs w:val="18"/>
                <w:color w:val="auto"/>
              </w:rPr>
              <w:t>UT</w:t>
            </w:r>
          </w:p>
        </w:tc>
        <w:tc>
          <w:tcPr>
            <w:tcW w:w="1760" w:type="dxa"/>
            <w:vAlign w:val="bottom"/>
          </w:tcPr>
          <w:p>
            <w:pPr>
              <w:ind w:left="320"/>
              <w:spacing w:after="0"/>
              <w:rPr>
                <w:sz w:val="20"/>
                <w:szCs w:val="20"/>
                <w:color w:val="auto"/>
              </w:rPr>
            </w:pPr>
            <w:r>
              <w:rPr>
                <w:rFonts w:ascii="Arial" w:cs="Arial" w:eastAsia="Arial" w:hAnsi="Arial"/>
                <w:sz w:val="18"/>
                <w:szCs w:val="18"/>
                <w:color w:val="auto"/>
              </w:rPr>
              <w:t>Mortgage Sales</w:t>
            </w:r>
          </w:p>
        </w:tc>
        <w:tc>
          <w:tcPr>
            <w:tcW w:w="1240" w:type="dxa"/>
            <w:vAlign w:val="bottom"/>
          </w:tcPr>
          <w:p>
            <w:pPr>
              <w:ind w:left="320"/>
              <w:spacing w:after="0"/>
              <w:rPr>
                <w:sz w:val="20"/>
                <w:szCs w:val="20"/>
                <w:color w:val="auto"/>
              </w:rPr>
            </w:pPr>
            <w:r>
              <w:rPr>
                <w:rFonts w:ascii="Arial" w:cs="Arial" w:eastAsia="Arial" w:hAnsi="Arial"/>
                <w:sz w:val="18"/>
                <w:szCs w:val="18"/>
                <w:color w:val="auto"/>
              </w:rPr>
              <w:t>Leased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5,256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8,530/ mo</w:t>
            </w:r>
          </w:p>
        </w:tc>
        <w:tc>
          <w:tcPr>
            <w:tcW w:w="960" w:type="dxa"/>
            <w:vAlign w:val="bottom"/>
          </w:tcPr>
          <w:p>
            <w:pPr>
              <w:jc w:val="right"/>
              <w:spacing w:after="0"/>
              <w:rPr>
                <w:sz w:val="20"/>
                <w:szCs w:val="20"/>
                <w:color w:val="auto"/>
              </w:rPr>
            </w:pPr>
            <w:r>
              <w:rPr>
                <w:rFonts w:ascii="Arial" w:cs="Arial" w:eastAsia="Arial" w:hAnsi="Arial"/>
                <w:sz w:val="18"/>
                <w:szCs w:val="18"/>
                <w:color w:val="auto"/>
              </w:rPr>
              <w:t>7/31/2030</w:t>
            </w:r>
          </w:p>
        </w:tc>
      </w:tr>
      <w:tr>
        <w:trPr>
          <w:trHeight w:val="439"/>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12</w:t>
            </w:r>
          </w:p>
        </w:tc>
        <w:tc>
          <w:tcPr>
            <w:tcW w:w="1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w w:val="91"/>
              </w:rPr>
              <w:t>Item 2. Properties (Continued)</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Approximate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2"/>
              </w:rPr>
              <w:t>Owned /</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Square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Lease</w:t>
            </w:r>
          </w:p>
        </w:tc>
        <w:tc>
          <w:tcPr>
            <w:tcW w:w="10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080" w:type="dxa"/>
            <w:vAlign w:val="bottom"/>
            <w:gridSpan w:val="2"/>
          </w:tcPr>
          <w:p>
            <w:pPr>
              <w:ind w:left="580"/>
              <w:spacing w:after="0"/>
              <w:rPr>
                <w:sz w:val="20"/>
                <w:szCs w:val="20"/>
                <w:color w:val="auto"/>
              </w:rPr>
            </w:pPr>
            <w:r>
              <w:rPr>
                <w:rFonts w:ascii="Arial" w:cs="Arial" w:eastAsia="Arial" w:hAnsi="Arial"/>
                <w:sz w:val="18"/>
                <w:szCs w:val="18"/>
                <w:color w:val="auto"/>
              </w:rPr>
              <w:t>Street</w:t>
            </w: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City</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Function</w:t>
            </w:r>
          </w:p>
        </w:tc>
        <w:tc>
          <w:tcPr>
            <w:tcW w:w="660" w:type="dxa"/>
            <w:vAlign w:val="bottom"/>
          </w:tcPr>
          <w:p>
            <w:pPr>
              <w:ind w:left="80"/>
              <w:spacing w:after="0"/>
              <w:rPr>
                <w:sz w:val="20"/>
                <w:szCs w:val="20"/>
                <w:color w:val="auto"/>
              </w:rPr>
            </w:pPr>
            <w:r>
              <w:rPr>
                <w:rFonts w:ascii="Arial" w:cs="Arial" w:eastAsia="Arial" w:hAnsi="Arial"/>
                <w:sz w:val="18"/>
                <w:szCs w:val="18"/>
                <w:color w:val="auto"/>
                <w:w w:val="94"/>
              </w:rPr>
              <w:t>Leased</w:t>
            </w:r>
          </w:p>
        </w:tc>
        <w:tc>
          <w:tcPr>
            <w:tcW w:w="2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Footage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Amount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Expiration</w:t>
            </w:r>
          </w:p>
        </w:tc>
      </w:tr>
      <w:tr>
        <w:trPr>
          <w:trHeight w:val="195"/>
        </w:trPr>
        <w:tc>
          <w:tcPr>
            <w:tcW w:w="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859</w:t>
            </w:r>
          </w:p>
        </w:tc>
        <w:tc>
          <w:tcPr>
            <w:tcW w:w="18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W. South Jordan Pkwy,</w:t>
            </w:r>
          </w:p>
        </w:tc>
        <w:tc>
          <w:tcPr>
            <w:tcW w:w="2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Suite 101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Jordan</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3/22/2022</w:t>
            </w:r>
          </w:p>
        </w:tc>
      </w:tr>
      <w:tr>
        <w:trPr>
          <w:trHeight w:val="202"/>
        </w:trPr>
        <w:tc>
          <w:tcPr>
            <w:tcW w:w="300" w:type="dxa"/>
            <w:vAlign w:val="bottom"/>
          </w:tcPr>
          <w:p>
            <w:pPr>
              <w:spacing w:after="0" w:line="201" w:lineRule="exact"/>
              <w:rPr>
                <w:sz w:val="20"/>
                <w:szCs w:val="20"/>
                <w:color w:val="auto"/>
              </w:rPr>
            </w:pPr>
            <w:r>
              <w:rPr>
                <w:rFonts w:ascii="Arial" w:cs="Arial" w:eastAsia="Arial" w:hAnsi="Arial"/>
                <w:sz w:val="18"/>
                <w:szCs w:val="18"/>
                <w:color w:val="auto"/>
                <w:w w:val="93"/>
              </w:rPr>
              <w:t>558</w:t>
            </w:r>
          </w:p>
        </w:tc>
        <w:tc>
          <w:tcPr>
            <w:tcW w:w="20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 Riverside Dr.,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204</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St. George</w:t>
            </w:r>
          </w:p>
        </w:tc>
        <w:tc>
          <w:tcPr>
            <w:tcW w:w="860" w:type="dxa"/>
            <w:vAlign w:val="bottom"/>
            <w:gridSpan w:val="2"/>
          </w:tcPr>
          <w:p>
            <w:pPr>
              <w:spacing w:after="0"/>
              <w:rPr>
                <w:sz w:val="20"/>
                <w:szCs w:val="20"/>
                <w:color w:val="auto"/>
              </w:rPr>
            </w:pPr>
            <w:r>
              <w:rPr>
                <w:rFonts w:ascii="Arial" w:cs="Arial" w:eastAsia="Arial" w:hAnsi="Arial"/>
                <w:sz w:val="18"/>
                <w:szCs w:val="18"/>
                <w:color w:val="auto"/>
              </w:rPr>
              <w:t>UT</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2,169/ mo</w:t>
            </w:r>
          </w:p>
        </w:tc>
        <w:tc>
          <w:tcPr>
            <w:tcW w:w="1000" w:type="dxa"/>
            <w:vAlign w:val="bottom"/>
          </w:tcPr>
          <w:p>
            <w:pPr>
              <w:jc w:val="right"/>
              <w:spacing w:after="0"/>
              <w:rPr>
                <w:sz w:val="20"/>
                <w:szCs w:val="20"/>
                <w:color w:val="auto"/>
              </w:rPr>
            </w:pPr>
            <w:r>
              <w:rPr>
                <w:rFonts w:ascii="Arial" w:cs="Arial" w:eastAsia="Arial" w:hAnsi="Arial"/>
                <w:sz w:val="18"/>
                <w:szCs w:val="18"/>
                <w:color w:val="auto"/>
              </w:rPr>
              <w:t>8/31/2023</w:t>
            </w:r>
          </w:p>
        </w:tc>
      </w:tr>
      <w:tr>
        <w:trPr>
          <w:trHeight w:val="202"/>
        </w:trPr>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420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 SR 198</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Salem</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13894 S. Bangerter Pkwy,</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Suite 200</w:t>
            </w:r>
          </w:p>
        </w:tc>
        <w:tc>
          <w:tcPr>
            <w:tcW w:w="1980" w:type="dxa"/>
            <w:vAlign w:val="bottom"/>
            <w:gridSpan w:val="2"/>
          </w:tcPr>
          <w:p>
            <w:pPr>
              <w:spacing w:after="0"/>
              <w:rPr>
                <w:sz w:val="20"/>
                <w:szCs w:val="20"/>
                <w:color w:val="auto"/>
              </w:rPr>
            </w:pPr>
            <w:r>
              <w:rPr>
                <w:rFonts w:ascii="Arial" w:cs="Arial" w:eastAsia="Arial" w:hAnsi="Arial"/>
                <w:sz w:val="18"/>
                <w:szCs w:val="18"/>
                <w:color w:val="auto"/>
              </w:rPr>
              <w:t>Draper</w:t>
            </w:r>
          </w:p>
        </w:tc>
        <w:tc>
          <w:tcPr>
            <w:tcW w:w="860" w:type="dxa"/>
            <w:vAlign w:val="bottom"/>
            <w:gridSpan w:val="2"/>
          </w:tcPr>
          <w:p>
            <w:pPr>
              <w:spacing w:after="0"/>
              <w:rPr>
                <w:sz w:val="20"/>
                <w:szCs w:val="20"/>
                <w:color w:val="auto"/>
              </w:rPr>
            </w:pPr>
            <w:r>
              <w:rPr>
                <w:rFonts w:ascii="Arial" w:cs="Arial" w:eastAsia="Arial" w:hAnsi="Arial"/>
                <w:sz w:val="18"/>
                <w:szCs w:val="18"/>
                <w:color w:val="auto"/>
              </w:rPr>
              <w:t>UT</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1,410/ mo</w:t>
            </w:r>
          </w:p>
        </w:tc>
        <w:tc>
          <w:tcPr>
            <w:tcW w:w="1000" w:type="dxa"/>
            <w:vAlign w:val="bottom"/>
          </w:tcPr>
          <w:p>
            <w:pPr>
              <w:jc w:val="right"/>
              <w:spacing w:after="0"/>
              <w:rPr>
                <w:sz w:val="20"/>
                <w:szCs w:val="20"/>
                <w:color w:val="auto"/>
              </w:rPr>
            </w:pPr>
            <w:r>
              <w:rPr>
                <w:rFonts w:ascii="Arial" w:cs="Arial" w:eastAsia="Arial" w:hAnsi="Arial"/>
                <w:sz w:val="18"/>
                <w:szCs w:val="18"/>
                <w:color w:val="auto"/>
              </w:rPr>
              <w:t>12/31/2022</w:t>
            </w: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21430 Cedar Dr., Suite 200-</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202</w:t>
            </w: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Sterling</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12,984/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3/9/2023</w:t>
            </w: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15640 NE Fourth Plain Blvd.,</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Suite 220/221</w:t>
            </w:r>
          </w:p>
        </w:tc>
        <w:tc>
          <w:tcPr>
            <w:tcW w:w="1980" w:type="dxa"/>
            <w:vAlign w:val="bottom"/>
            <w:gridSpan w:val="2"/>
          </w:tcPr>
          <w:p>
            <w:pPr>
              <w:spacing w:after="0"/>
              <w:rPr>
                <w:sz w:val="20"/>
                <w:szCs w:val="20"/>
                <w:color w:val="auto"/>
              </w:rPr>
            </w:pPr>
            <w:r>
              <w:rPr>
                <w:rFonts w:ascii="Arial" w:cs="Arial" w:eastAsia="Arial" w:hAnsi="Arial"/>
                <w:sz w:val="18"/>
                <w:szCs w:val="18"/>
                <w:color w:val="auto"/>
              </w:rPr>
              <w:t>Vancouver</w:t>
            </w:r>
          </w:p>
        </w:tc>
        <w:tc>
          <w:tcPr>
            <w:tcW w:w="860" w:type="dxa"/>
            <w:vAlign w:val="bottom"/>
            <w:gridSpan w:val="2"/>
          </w:tcPr>
          <w:p>
            <w:pPr>
              <w:spacing w:after="0"/>
              <w:rPr>
                <w:sz w:val="20"/>
                <w:szCs w:val="20"/>
                <w:color w:val="auto"/>
              </w:rPr>
            </w:pPr>
            <w:r>
              <w:rPr>
                <w:rFonts w:ascii="Arial" w:cs="Arial" w:eastAsia="Arial" w:hAnsi="Arial"/>
                <w:sz w:val="18"/>
                <w:szCs w:val="18"/>
                <w:color w:val="auto"/>
              </w:rPr>
              <w:t>WA</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2701 Currant St.</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Lynden</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1508 24th Ave., Suite 23</w:t>
            </w:r>
          </w:p>
        </w:tc>
        <w:tc>
          <w:tcPr>
            <w:tcW w:w="1980" w:type="dxa"/>
            <w:vAlign w:val="bottom"/>
            <w:gridSpan w:val="2"/>
          </w:tcPr>
          <w:p>
            <w:pPr>
              <w:spacing w:after="0"/>
              <w:rPr>
                <w:sz w:val="20"/>
                <w:szCs w:val="20"/>
                <w:color w:val="auto"/>
              </w:rPr>
            </w:pPr>
            <w:r>
              <w:rPr>
                <w:rFonts w:ascii="Arial" w:cs="Arial" w:eastAsia="Arial" w:hAnsi="Arial"/>
                <w:sz w:val="18"/>
                <w:szCs w:val="18"/>
                <w:color w:val="auto"/>
              </w:rPr>
              <w:t>Kenosha</w:t>
            </w:r>
          </w:p>
        </w:tc>
        <w:tc>
          <w:tcPr>
            <w:tcW w:w="860" w:type="dxa"/>
            <w:vAlign w:val="bottom"/>
            <w:gridSpan w:val="2"/>
          </w:tcPr>
          <w:p>
            <w:pPr>
              <w:spacing w:after="0"/>
              <w:rPr>
                <w:sz w:val="20"/>
                <w:szCs w:val="20"/>
                <w:color w:val="auto"/>
              </w:rPr>
            </w:pPr>
            <w:r>
              <w:rPr>
                <w:rFonts w:ascii="Arial" w:cs="Arial" w:eastAsia="Arial" w:hAnsi="Arial"/>
                <w:sz w:val="18"/>
                <w:szCs w:val="18"/>
                <w:color w:val="auto"/>
              </w:rPr>
              <w:t>WI</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150/ mo</w:t>
            </w:r>
          </w:p>
        </w:tc>
        <w:tc>
          <w:tcPr>
            <w:tcW w:w="1000" w:type="dxa"/>
            <w:vAlign w:val="bottom"/>
          </w:tcPr>
          <w:p>
            <w:pPr>
              <w:jc w:val="right"/>
              <w:spacing w:after="0"/>
              <w:rPr>
                <w:sz w:val="20"/>
                <w:szCs w:val="20"/>
                <w:color w:val="auto"/>
              </w:rPr>
            </w:pPr>
            <w:r>
              <w:rPr>
                <w:rFonts w:ascii="Arial" w:cs="Arial" w:eastAsia="Arial" w:hAnsi="Arial"/>
                <w:sz w:val="18"/>
                <w:szCs w:val="18"/>
                <w:color w:val="auto"/>
              </w:rPr>
              <w:t>month</w:t>
            </w:r>
          </w:p>
        </w:tc>
      </w:tr>
      <w:tr>
        <w:trPr>
          <w:trHeight w:val="202"/>
        </w:trPr>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month to</w:t>
            </w: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27903 99th St.</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Trevor</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Sales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 mo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month</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219</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W. Washington St.</w:t>
            </w:r>
          </w:p>
        </w:tc>
        <w:tc>
          <w:tcPr>
            <w:tcW w:w="1980" w:type="dxa"/>
            <w:vAlign w:val="bottom"/>
            <w:gridSpan w:val="2"/>
          </w:tcPr>
          <w:p>
            <w:pPr>
              <w:spacing w:after="0"/>
              <w:rPr>
                <w:sz w:val="20"/>
                <w:szCs w:val="20"/>
                <w:color w:val="auto"/>
              </w:rPr>
            </w:pPr>
            <w:r>
              <w:rPr>
                <w:rFonts w:ascii="Arial" w:cs="Arial" w:eastAsia="Arial" w:hAnsi="Arial"/>
                <w:sz w:val="18"/>
                <w:szCs w:val="18"/>
                <w:color w:val="auto"/>
              </w:rPr>
              <w:t>Charlestown</w:t>
            </w:r>
          </w:p>
        </w:tc>
        <w:tc>
          <w:tcPr>
            <w:tcW w:w="860" w:type="dxa"/>
            <w:vAlign w:val="bottom"/>
            <w:gridSpan w:val="2"/>
          </w:tcPr>
          <w:p>
            <w:pPr>
              <w:spacing w:after="0"/>
              <w:rPr>
                <w:sz w:val="20"/>
                <w:szCs w:val="20"/>
                <w:color w:val="auto"/>
              </w:rPr>
            </w:pPr>
            <w:r>
              <w:rPr>
                <w:rFonts w:ascii="Arial" w:cs="Arial" w:eastAsia="Arial" w:hAnsi="Arial"/>
                <w:sz w:val="18"/>
                <w:szCs w:val="18"/>
                <w:color w:val="auto"/>
              </w:rPr>
              <w:t>WV</w:t>
            </w:r>
          </w:p>
        </w:tc>
        <w:tc>
          <w:tcPr>
            <w:tcW w:w="1760" w:type="dxa"/>
            <w:vAlign w:val="bottom"/>
            <w:gridSpan w:val="2"/>
          </w:tcPr>
          <w:p>
            <w:pPr>
              <w:spacing w:after="0"/>
              <w:rPr>
                <w:sz w:val="20"/>
                <w:szCs w:val="20"/>
                <w:color w:val="auto"/>
              </w:rPr>
            </w:pPr>
            <w:r>
              <w:rPr>
                <w:rFonts w:ascii="Arial" w:cs="Arial" w:eastAsia="Arial" w:hAnsi="Arial"/>
                <w:sz w:val="18"/>
                <w:szCs w:val="18"/>
                <w:color w:val="auto"/>
              </w:rPr>
              <w:t>Mortgage Sales</w:t>
            </w:r>
          </w:p>
        </w:tc>
        <w:tc>
          <w:tcPr>
            <w:tcW w:w="660" w:type="dxa"/>
            <w:vAlign w:val="bottom"/>
          </w:tcPr>
          <w:p>
            <w:pPr>
              <w:spacing w:after="0"/>
              <w:rPr>
                <w:sz w:val="20"/>
                <w:szCs w:val="20"/>
                <w:color w:val="auto"/>
              </w:rPr>
            </w:pPr>
            <w:r>
              <w:rPr>
                <w:rFonts w:ascii="Arial" w:cs="Arial" w:eastAsia="Arial" w:hAnsi="Arial"/>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1,700/ mo</w:t>
            </w:r>
          </w:p>
        </w:tc>
        <w:tc>
          <w:tcPr>
            <w:tcW w:w="1000" w:type="dxa"/>
            <w:vAlign w:val="bottom"/>
          </w:tcPr>
          <w:p>
            <w:pPr>
              <w:jc w:val="right"/>
              <w:spacing w:after="0"/>
              <w:rPr>
                <w:sz w:val="20"/>
                <w:szCs w:val="20"/>
                <w:color w:val="auto"/>
              </w:rPr>
            </w:pPr>
            <w:r>
              <w:rPr>
                <w:rFonts w:ascii="Arial" w:cs="Arial" w:eastAsia="Arial" w:hAnsi="Arial"/>
                <w:sz w:val="18"/>
                <w:szCs w:val="18"/>
                <w:color w:val="auto"/>
              </w:rPr>
              <w:t>4/14/2023</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believes the office facilities it occupies are in good operating condition and adequate for current operations. The Company plans to enter into additional leases or modify existing leases based on its assessments of market demand. Those leases are expected to be month to month where possible. As leases expire, the Company plans to either renew or find comparable leases or acquire additional office space.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location and acreage of the seven Company owned cemeteries, each of which includes one or more mausoleums: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Net Saleable Acreage</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3"/>
          </w:tcPr>
          <w:p>
            <w:pPr>
              <w:jc w:val="center"/>
              <w:ind w:right="340"/>
              <w:spacing w:after="0" w:line="195" w:lineRule="exact"/>
              <w:rPr>
                <w:sz w:val="20"/>
                <w:szCs w:val="20"/>
                <w:color w:val="auto"/>
              </w:rPr>
            </w:pPr>
            <w:r>
              <w:rPr>
                <w:rFonts w:ascii="Arial" w:cs="Arial" w:eastAsia="Arial" w:hAnsi="Arial"/>
                <w:sz w:val="18"/>
                <w:szCs w:val="18"/>
                <w:color w:val="auto"/>
                <w:w w:val="89"/>
              </w:rPr>
              <w:t>Acres Sold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73"/>
              </w:rPr>
              <w:t>as</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Date</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Developed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Cemetery</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Available</w:t>
            </w:r>
          </w:p>
        </w:tc>
      </w:tr>
      <w:tr>
        <w:trPr>
          <w:trHeight w:val="230"/>
        </w:trPr>
        <w:tc>
          <w:tcPr>
            <w:tcW w:w="2500" w:type="dxa"/>
            <w:vAlign w:val="bottom"/>
          </w:tcPr>
          <w:p>
            <w:pPr>
              <w:ind w:left="560"/>
              <w:spacing w:after="0"/>
              <w:rPr>
                <w:sz w:val="20"/>
                <w:szCs w:val="20"/>
                <w:color w:val="auto"/>
              </w:rPr>
            </w:pPr>
            <w:r>
              <w:rPr>
                <w:rFonts w:ascii="Arial" w:cs="Arial" w:eastAsia="Arial" w:hAnsi="Arial"/>
                <w:sz w:val="18"/>
                <w:szCs w:val="18"/>
                <w:color w:val="auto"/>
              </w:rPr>
              <w:t>Name of Cemetery</w:t>
            </w:r>
          </w:p>
        </w:tc>
        <w:tc>
          <w:tcPr>
            <w:tcW w:w="220" w:type="dxa"/>
            <w:vAlign w:val="bottom"/>
          </w:tcPr>
          <w:p>
            <w:pPr>
              <w:spacing w:after="0"/>
              <w:rPr>
                <w:sz w:val="20"/>
                <w:szCs w:val="20"/>
                <w:color w:val="auto"/>
              </w:rPr>
            </w:pPr>
          </w:p>
        </w:tc>
        <w:tc>
          <w:tcPr>
            <w:tcW w:w="2720" w:type="dxa"/>
            <w:vAlign w:val="bottom"/>
            <w:gridSpan w:val="2"/>
          </w:tcPr>
          <w:p>
            <w:pPr>
              <w:ind w:left="920"/>
              <w:spacing w:after="0"/>
              <w:rPr>
                <w:sz w:val="20"/>
                <w:szCs w:val="20"/>
                <w:color w:val="auto"/>
              </w:rPr>
            </w:pPr>
            <w:r>
              <w:rPr>
                <w:rFonts w:ascii="Arial" w:cs="Arial" w:eastAsia="Arial" w:hAnsi="Arial"/>
                <w:sz w:val="18"/>
                <w:szCs w:val="18"/>
                <w:color w:val="auto"/>
              </w:rPr>
              <w:t>Location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Acquired</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Acreage (1)</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Acreage (1)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84"/>
              </w:rPr>
              <w:t>Spaces (2)</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Acreage (1)</w:t>
            </w:r>
          </w:p>
        </w:tc>
      </w:tr>
      <w:tr>
        <w:trPr>
          <w:trHeight w:val="195"/>
        </w:trPr>
        <w:tc>
          <w:tcPr>
            <w:tcW w:w="2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Memorial Estates, Inc. Lakeview</w:t>
            </w:r>
          </w:p>
        </w:tc>
        <w:tc>
          <w:tcPr>
            <w:tcW w:w="22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1640 East Lakeview Drive</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Cemetery</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Bountiful, Utah</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9</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39</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9"/>
              </w:rPr>
              <w:t>7</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32</w:t>
            </w: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Memorial Estates, Inc. Mountain</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3115 East 7800 South</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View Cemetery</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Salt Lake City, Utah</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26</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54</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9"/>
              </w:rPr>
              <w:t>20</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34</w:t>
            </w: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Memorial Estates, Inc. Redwood</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6500 South Redwood Road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Cemetery (3)</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West Jordan, Utah</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28</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71</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9"/>
              </w:rPr>
              <w:t>35</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Deseret Memorial Inc. Lake Hills</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10055 South State Street Sandy,</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Cemetery</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Utah</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9</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9"/>
              </w:rPr>
              <w:t>6</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Holladay Memorial Park, Inc.</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4900 South Memory Lane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Holladay Memorial Park (3)</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Holladay, Utah</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9"/>
              </w:rPr>
              <w:t>7</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California Memorial Estates, Inc.</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2800 Dehesa Road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Singing Hills Memorial Park (4)</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El Cajon, California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1995</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8</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97</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9"/>
              </w:rPr>
              <w:t>6</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91</w:t>
            </w: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SNR-SF Cemetery LLC Santa Fe</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417 Rodeo Rd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Memorial Gardens (5)</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Santa Fe, New Mexico</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5</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2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9"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acreage represents estimates of acres that are based upon survey reports, title reports, appraisal reports, or the Company’s inspection of the cemeteries. The Company estimates that there are approximately 1,200 spaces per developed acre.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both reserved and occupied spaces.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two granite mausoleums.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an open easement.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five main columbariums that can hold approximately 6,000 inurnments.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Properties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location, square footage and the number of viewing rooms and chapels of the twelve Company owned mortuaries: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Date</w:t>
            </w:r>
          </w:p>
        </w:tc>
        <w:tc>
          <w:tcPr>
            <w:tcW w:w="1480" w:type="dxa"/>
            <w:vAlign w:val="bottom"/>
            <w:gridSpan w:val="2"/>
          </w:tcPr>
          <w:p>
            <w:pPr>
              <w:ind w:left="260"/>
              <w:spacing w:after="0"/>
              <w:rPr>
                <w:sz w:val="20"/>
                <w:szCs w:val="20"/>
                <w:color w:val="auto"/>
              </w:rPr>
            </w:pPr>
            <w:r>
              <w:rPr>
                <w:rFonts w:ascii="Arial" w:cs="Arial" w:eastAsia="Arial" w:hAnsi="Arial"/>
                <w:sz w:val="18"/>
                <w:szCs w:val="18"/>
                <w:color w:val="auto"/>
              </w:rPr>
              <w:t>Viewing</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Square</w:t>
            </w:r>
          </w:p>
        </w:tc>
      </w:tr>
      <w:tr>
        <w:trPr>
          <w:trHeight w:val="230"/>
        </w:trPr>
        <w:tc>
          <w:tcPr>
            <w:tcW w:w="3060" w:type="dxa"/>
            <w:vAlign w:val="bottom"/>
            <w:gridSpan w:val="2"/>
          </w:tcPr>
          <w:p>
            <w:pPr>
              <w:ind w:left="740"/>
              <w:spacing w:after="0"/>
              <w:rPr>
                <w:sz w:val="20"/>
                <w:szCs w:val="20"/>
                <w:color w:val="auto"/>
              </w:rPr>
            </w:pPr>
            <w:r>
              <w:rPr>
                <w:rFonts w:ascii="Arial" w:cs="Arial" w:eastAsia="Arial" w:hAnsi="Arial"/>
                <w:sz w:val="18"/>
                <w:szCs w:val="18"/>
                <w:color w:val="auto"/>
              </w:rPr>
              <w:t>Name of Mortuary</w:t>
            </w:r>
          </w:p>
        </w:tc>
        <w:tc>
          <w:tcPr>
            <w:tcW w:w="2920" w:type="dxa"/>
            <w:vAlign w:val="bottom"/>
            <w:gridSpan w:val="2"/>
          </w:tcPr>
          <w:p>
            <w:pPr>
              <w:ind w:left="1020"/>
              <w:spacing w:after="0"/>
              <w:rPr>
                <w:sz w:val="20"/>
                <w:szCs w:val="20"/>
                <w:color w:val="auto"/>
              </w:rPr>
            </w:pPr>
            <w:r>
              <w:rPr>
                <w:rFonts w:ascii="Arial" w:cs="Arial" w:eastAsia="Arial" w:hAnsi="Arial"/>
                <w:sz w:val="18"/>
                <w:szCs w:val="18"/>
                <w:color w:val="auto"/>
              </w:rPr>
              <w:t>Location</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Acquired</w:t>
            </w:r>
          </w:p>
        </w:tc>
        <w:tc>
          <w:tcPr>
            <w:tcW w:w="1480" w:type="dxa"/>
            <w:vAlign w:val="bottom"/>
            <w:gridSpan w:val="2"/>
          </w:tcPr>
          <w:p>
            <w:pPr>
              <w:ind w:left="260"/>
              <w:spacing w:after="0"/>
              <w:rPr>
                <w:sz w:val="20"/>
                <w:szCs w:val="20"/>
                <w:color w:val="auto"/>
              </w:rPr>
            </w:pPr>
            <w:r>
              <w:rPr>
                <w:rFonts w:ascii="Arial" w:cs="Arial" w:eastAsia="Arial" w:hAnsi="Arial"/>
                <w:sz w:val="18"/>
                <w:szCs w:val="18"/>
                <w:color w:val="auto"/>
              </w:rPr>
              <w:t>Room(s)</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Chapel(s)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Footage</w:t>
            </w:r>
          </w:p>
        </w:tc>
      </w:tr>
      <w:tr>
        <w:trPr>
          <w:trHeight w:val="195"/>
        </w:trPr>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Memorial Mortuary, Inc.</w:t>
            </w:r>
          </w:p>
        </w:tc>
        <w:tc>
          <w:tcPr>
            <w:tcW w:w="24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Memorial Mortuary</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5850 South 900 East, Murray, 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20,000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Affordable Funerals and</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157 East Riverside Dr., No. 3A, 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Cremations, St. George</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2,360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Memorial Estates, Inc.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6500 South Redwood Rd., West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Redwood Mortuary (1)</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Jordan, 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10,000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Memorial Estates, Inc.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3115 East 7800 South, Salt Lake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Mountain View Mortuary (1)</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16,000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Memorial Estates, Inc.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1640 East Lakeview Dr., Bountiful,</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Lakeview Mortuary (1)</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5,500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Deseret Memorial Inc.</w:t>
            </w: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Lakehills Mortuary (1)</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10055 South State St., Sandy, 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18,000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Cottonwood Mortuary, Inc.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4670 South Highland Dr., Holladay,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Cottonwood Mortuary</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14,500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SN Probst LLC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288 North Main St., Heber City,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Heber Valley Funeral Home</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5,900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SN Holbrook LLC</w:t>
            </w: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Milcreek Funeral Home</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3251 S 2300 E, Millcreek, Utah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6,300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SNR-SF Mortuary LLC</w:t>
            </w: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Rivera Family Funeral Home Santa Fe</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417 Rodeo RD, Santa Fe, New</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7,700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SNR-Espanola LLC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305 Calle Salazar, Española, New</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Rivera Family Funeral Home Española</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10,400</w:t>
            </w: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SNR-Taos LLC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818 Paseo Del Pueblo Sur, Taos,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Rivera Family Funeral Home Taos</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9,600</w:t>
            </w: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ind w:left="5540" w:right="5260" w:hanging="5208"/>
        <w:spacing w:after="0" w:line="479" w:lineRule="auto"/>
        <w:tabs>
          <w:tab w:leader="none" w:pos="662"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These funeral homes also provide burial niches at their respective locations.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Agreement and Mutual Release with Lehman Brothers Holdings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2004 to early 2008, SecurityNational Mortgage Company (“SecurityNational Mortgage”), a wholly owned subsidiary of the Company, originated “limited documentation” or “reduced documentation” loans which were sold to certain affiliates of Lehman Brothers Holdings Inc. (“Lehman Holdings”). Certain of these loans became the subject of disputes between SecurityNational Mortgage and Lehman Holdings and certain Lehman Holdings affiliates. Lehman Holdings filed a Petition for Relief under Chapter 11 of the United States Bankruptcy Code in 2008. In May of 2011, SecurityNational Mortgage filed a complaint in U.S. District Court against certain Lehman Holdings affiliates. In June of 2011, Lehman Holdings filed a complaint in Federal District Court against SecurityNational Mortgage, both the complaint filed in May 2011 and that filed in June 2011 were later resolved. In 2016, certain other pending loan disputes between SecurityNational Mortgage and Lehman Holdings became the subject of an unsuccessful, non-binding alternate dispute resolution mediation proceeding.</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Thereafter, in 2016, Lehman Holdings filed an adversary proceeding complaint against approximately 150 mortgage loan originators, including SecurityNational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 fees and costs incurred by Lehman Holdings in enforcing the obligations of the defendants. The complaint was later amended with the latest amended complaint filed against SecurityNational Mortgage on December 27, 2016, seeking damages to be determined at trial, including interest, attorneys’ fees and costs. This complaint involved approximately 135 mortgage loans, there being millions of dollars allegedly in dispute. These claims against SecurityNational Mortgage were asserted as a result of Lehman Holdings’ earlier settlements with the Federal National Mortgage Association (“Fannie Mae”) and the Federal Home Loan Corporation (“Freddie Mac”).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Lehman Holdings filed a separate adversary proceeding complaint against SecurityNational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SecurityNational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 2021, SecurityNational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SecurityNational Mortgage and Lehman Holdings. The full amount of SecurityNational Mortgage’s settlement payment was accounted for in the Company’s loan loss reserve as of December 31, 2020 and was paid during the first quarter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Stock, Related Stockholder Matters, and Issuer Purchases of Equity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Class A common stock trades on The Nasdaq Global Select Market under the symbol “SNFCA.” As of March 22, 2022, the closing stock price of the Class A common stock was $10.08 per share. As of March 22, 2022, there were 1,881 registered stockholders of record of the Company’s Class A common stock and 49 registered stockholders of record of the Company’s Class C common stock. Because many of the Company’s shares of Class A common stock are held by brokers and other institutions on behalf of the stockholders, the Company is unable to estimate the total number of stockholders represented by these record holders.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were the high and low market closing stock prices for the Class A common stock by quarter as reported by NASDAQ since January 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ind w:left="440"/>
              <w:spacing w:after="0"/>
              <w:rPr>
                <w:sz w:val="20"/>
                <w:szCs w:val="20"/>
                <w:color w:val="auto"/>
              </w:rPr>
            </w:pPr>
            <w:r>
              <w:rPr>
                <w:rFonts w:ascii="Arial" w:cs="Arial" w:eastAsia="Arial" w:hAnsi="Arial"/>
                <w:sz w:val="18"/>
                <w:szCs w:val="18"/>
                <w:color w:val="auto"/>
              </w:rPr>
              <w:t>Price Range (1)</w:t>
            </w:r>
          </w:p>
        </w:tc>
      </w:tr>
      <w:tr>
        <w:trPr>
          <w:trHeight w:val="223"/>
        </w:trPr>
        <w:tc>
          <w:tcPr>
            <w:tcW w:w="1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High</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40" w:type="dxa"/>
            <w:vAlign w:val="bottom"/>
          </w:tcPr>
          <w:p>
            <w:pPr>
              <w:spacing w:after="0"/>
              <w:rPr>
                <w:sz w:val="19"/>
                <w:szCs w:val="19"/>
                <w:color w:val="auto"/>
              </w:rPr>
            </w:pPr>
          </w:p>
        </w:tc>
      </w:tr>
      <w:tr>
        <w:trPr>
          <w:trHeight w:val="189"/>
        </w:trPr>
        <w:tc>
          <w:tcPr>
            <w:tcW w:w="42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Period (Calendar Year)</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r>
      <w:tr>
        <w:trPr>
          <w:trHeight w:val="216"/>
        </w:trPr>
        <w:tc>
          <w:tcPr>
            <w:tcW w:w="16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r>
      <w:tr>
        <w:trPr>
          <w:trHeight w:val="216"/>
        </w:trPr>
        <w:tc>
          <w:tcPr>
            <w:tcW w:w="16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 (through March 22, 2022)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Stock prices have been adjusted retroactively for the effect of annual stock dividends.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Class C common stock is not registered or traded on a national exchange. See Note 12 of the Notes to Consolidated Financial Statements.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never paid a cash dividend on its Class A or Class C common stock. The Company currently anticipates that all of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the Board of Directors may deem appropriate. The Company has paid a 5% stock dividend on Class A and Class C common stock each year from 1990 through 2019, a 7.5% stock dividend for year 2020, and a 5.0% stock dividend for year 2021.</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 The following table shows the Company’s repurchase activity of its common stock during the three months ended December 31, 2021 under its Stock Repurchase Plan.</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10/1/2021-10/31/2021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11/1/2021-11/30/2021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12/1/2021-12/31/2021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 Total Number of Class</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A Shares Purchased as</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(d) Maximum Number of</w:t>
            </w:r>
          </w:p>
        </w:tc>
      </w:t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 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(b) Average Price</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Part of Publicly</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Class A Shares that May</w:t>
            </w:r>
          </w:p>
        </w:tc>
      </w:t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Class A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Paid per Class A</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Announced Plan or</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Yet Be Purchased Under</w:t>
            </w:r>
          </w:p>
        </w:tc>
      </w:tr>
      <w:tr>
        <w:trPr>
          <w:trHeight w:val="230"/>
        </w:trPr>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Share</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Program</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the Plan or Program</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20,829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8.36</w:t>
            </w:r>
          </w:p>
        </w:tc>
        <w:tc>
          <w:tcPr>
            <w:tcW w:w="320" w:type="dxa"/>
            <w:vAlign w:val="bottom"/>
          </w:tcPr>
          <w:p>
            <w:pPr>
              <w:spacing w:after="0"/>
              <w:rPr>
                <w:sz w:val="16"/>
                <w:szCs w:val="16"/>
                <w:color w:val="auto"/>
              </w:rPr>
            </w:pPr>
          </w:p>
        </w:tc>
        <w:tc>
          <w:tcPr>
            <w:tcW w:w="1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669,923</w:t>
            </w:r>
          </w:p>
        </w:tc>
        <w:tc>
          <w:tcPr>
            <w:tcW w:w="20" w:type="dxa"/>
            <w:vAlign w:val="bottom"/>
          </w:tcPr>
          <w:p>
            <w:pPr>
              <w:spacing w:after="0"/>
              <w:rPr>
                <w:sz w:val="16"/>
                <w:szCs w:val="16"/>
                <w:color w:val="auto"/>
              </w:rPr>
            </w:pPr>
          </w:p>
        </w:tc>
      </w:tr>
      <w:tr>
        <w:trPr>
          <w:trHeight w:val="230"/>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65,109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9.20</w:t>
            </w: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604,814</w:t>
            </w: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48,429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8.81</w:t>
            </w:r>
          </w:p>
        </w:tc>
        <w:tc>
          <w:tcPr>
            <w:tcW w:w="32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556,385</w:t>
            </w:r>
          </w:p>
        </w:tc>
      </w:tr>
      <w:tr>
        <w:trPr>
          <w:trHeight w:val="20"/>
        </w:trPr>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r>
      <w:tr>
        <w:trPr>
          <w:trHeight w:val="466"/>
        </w:trPr>
        <w:tc>
          <w:tcPr>
            <w:tcW w:w="1480" w:type="dxa"/>
            <w:vAlign w:val="bottom"/>
          </w:tcPr>
          <w:p>
            <w:pPr>
              <w:jc w:val="right"/>
              <w:spacing w:after="0"/>
              <w:rPr>
                <w:sz w:val="20"/>
                <w:szCs w:val="20"/>
                <w:color w:val="auto"/>
              </w:rPr>
            </w:pPr>
            <w:r>
              <w:rPr>
                <w:rFonts w:ascii="Arial" w:cs="Arial" w:eastAsia="Arial" w:hAnsi="Arial"/>
                <w:sz w:val="18"/>
                <w:szCs w:val="18"/>
                <w:color w:val="auto"/>
              </w:rPr>
              <w:t>134,367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24"/>
                <w:szCs w:val="24"/>
                <w:color w:val="auto"/>
              </w:rPr>
            </w:pP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556,385</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8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-753745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-453390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-1036320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60" w:space="720"/>
            <w:col w:w="7860"/>
          </w:cols>
          <w:pgMar w:left="320" w:top="688" w:right="339" w:bottom="1440" w:gutter="0" w:footer="0" w:header="0"/>
          <w:type w:val="continuous"/>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graph below compares the cumulative total stockholder return of the Company’s Class A common stock with the cumulative total return on the Standard &amp; Poor’s 500 Stock Index and the Standard &amp; Poor’s Insurance Index for the period from December 31, 2017 through December 31, 2021. The graph assumes that the value of the investment in the Company’s Class A common stock and in each of the indexes was $100 at December 31, 2017 and that all dividends were reinvested.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880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12/31/17</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12/31/18</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12/31/19</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12/31/20</w:t>
            </w: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12/31/21</w:t>
            </w:r>
          </w:p>
        </w:tc>
        <w:tc>
          <w:tcPr>
            <w:tcW w:w="80" w:type="dxa"/>
            <w:vAlign w:val="bottom"/>
            <w:tcBorders>
              <w:bottom w:val="single" w:sz="8" w:color="CCEEFF"/>
            </w:tcBorders>
          </w:tcPr>
          <w:p>
            <w:pPr>
              <w:spacing w:after="0"/>
              <w:rPr>
                <w:sz w:val="20"/>
                <w:szCs w:val="20"/>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SNFC</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123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 &amp; P 500</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9"/>
              </w:rPr>
              <w:t>94</w:t>
            </w:r>
          </w:p>
        </w:tc>
        <w:tc>
          <w:tcPr>
            <w:tcW w:w="160" w:type="dxa"/>
            <w:vAlign w:val="bottom"/>
          </w:tcPr>
          <w:p>
            <w:pPr>
              <w:spacing w:after="0"/>
              <w:rPr>
                <w:sz w:val="18"/>
                <w:szCs w:val="18"/>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6"/>
              </w:rPr>
              <w:t>121</w:t>
            </w:r>
          </w:p>
        </w:tc>
        <w:tc>
          <w:tcPr>
            <w:tcW w:w="16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 &amp; P Insurance</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114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99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cemetery and mortuary business; and (iii) capitalizing on an improving housing market by originating mortgage loans. The Company has adjusted its strategies to respond to the changing economic circumstances resulting from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for the Company’s insurance operations for the years ended December 31, 2021 and 2020. See Note 15 of the Notes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gridSpan w:val="5"/>
          </w:tcPr>
          <w:p>
            <w:pPr>
              <w:jc w:val="right"/>
              <w:ind w:right="100"/>
              <w:spacing w:after="0"/>
              <w:rPr>
                <w:sz w:val="20"/>
                <w:szCs w:val="20"/>
                <w:color w:val="auto"/>
              </w:rPr>
            </w:pPr>
            <w:r>
              <w:rPr>
                <w:rFonts w:ascii="Arial" w:cs="Arial" w:eastAsia="Arial" w:hAnsi="Arial"/>
                <w:sz w:val="18"/>
                <w:szCs w:val="18"/>
                <w:color w:val="auto"/>
                <w:w w:val="88"/>
              </w:rPr>
              <w:t>Years ended December 31</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1"/>
              </w:rPr>
              <w:t>(in thousands of dollars)</w:t>
            </w:r>
          </w:p>
        </w:tc>
        <w:tc>
          <w:tcPr>
            <w:tcW w:w="1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2021 vs 2020 %</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72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Increase (Decrease)</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Insurance premiums</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100,255</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93,021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56,092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2"/>
              </w:rPr>
              <w:t>Gains (losses) on investments and other assets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4,555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2,152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Intersegment revenue</w:t>
            </w: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236"/>
        </w:trPr>
        <w:tc>
          <w:tcPr>
            <w:tcW w:w="35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7,570</w:t>
            </w: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8,023</w:t>
            </w:r>
          </w:p>
        </w:tc>
        <w:tc>
          <w:tcPr>
            <w:tcW w:w="2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14,973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11,923</w:t>
            </w:r>
          </w:p>
        </w:tc>
        <w:tc>
          <w:tcPr>
            <w:tcW w:w="2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Intersegment revenues for the Company’s insurance operations were comprised primarily of interest income from the warehouse lines provided to the Company’s mortgage lending affiliates to fund loans held for sale. Profitability in 2021 increased due to a $7,234,000 increase in insurance premiums, a $2,466,000 increase in gains on investments and other assets, a $1,280,000 increase in net investment income, a $661,000 increase in other revenues, a $550,000 decrease in selling, general and administrative expenses, a $331,000 decrease in other than temporary impairments, and a $44,000 decrease in interest expense. This increase was partially offset by a $4,377,000 increase in death, surrenders and other policy benefits ($2,305,000 of which was related to COVID-19 related deaths), a $2,695,000 increase in future policy benefits, a $1,993,000 increase in amortization of deferred policy acquisition costs, and a $453,000 decrease in intersegment revenue.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the Company’s life insurance sales force began using virtual and tele sales processes to market products. During the third quarter 2021, the life insurance sales force returned to in person sales, however, it continues to use virtual and tele sales where needed. As of December 31, 2021, approximately 75% of insurance operations office staff were working in the office with the flexibility for hybrid-remote or completely remote working arrangements as needed.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for the Company’s cemetery and mortuary operations for the years ended December 31, 2021 and 2020. See Note 15 of the Notes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jc w:val="right"/>
              <w:ind w:right="120"/>
              <w:spacing w:after="0"/>
              <w:rPr>
                <w:sz w:val="20"/>
                <w:szCs w:val="20"/>
                <w:color w:val="auto"/>
              </w:rPr>
            </w:pPr>
            <w:r>
              <w:rPr>
                <w:rFonts w:ascii="Arial" w:cs="Arial" w:eastAsia="Arial" w:hAnsi="Arial"/>
                <w:sz w:val="18"/>
                <w:szCs w:val="18"/>
                <w:color w:val="auto"/>
                <w:w w:val="87"/>
              </w:rPr>
              <w:t>Years ended December 31</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5"/>
              </w:rPr>
              <w:t>(in thousands of dollars)</w:t>
            </w:r>
          </w:p>
        </w:tc>
        <w:tc>
          <w:tcPr>
            <w:tcW w:w="1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2021 vs 2020 %</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Increase (Decrease)</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Cemetery revenues</w:t>
            </w:r>
          </w:p>
        </w:tc>
        <w:tc>
          <w:tcPr>
            <w:tcW w:w="15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15,626</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12,454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Mortuary revenues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7,854</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808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27,263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5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32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7,925</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4,399</w:t>
            </w:r>
          </w:p>
        </w:tc>
        <w:tc>
          <w:tcPr>
            <w:tcW w:w="260" w:type="dxa"/>
            <w:vAlign w:val="bottom"/>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Profitability in 2021 increased due to a $2,682,000 increase in cemetery pre-need sales, a $1,675,000 increase in gains on investments and other assets (which, in turn, was primarily attributable to a $1,092,000 increase in gains on real estate sales) and a $582,000 increase in the fair value of equity securities classified as restricted assets and cemetery perpetual care trust investments, an $846,000 increase in net investment income, a $518,000 increase in mortuary at-need sales, and a $490,000 increase in cemetery at-need sales. This increase was partially offset by a $2,559,000 increase in selling, general and administrative expenses, and a $451,000 increase in costs of goods sold.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the cemetery and mortuary’s pre-need sales force began using virtual selling processes to market its products and services including some in home sales as local regulations permitted. During the third quarter 2021,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54% of its loan origination volume. These mortgage loans are serviced by either SecurityNational Mortgage or an approved third-party sub-servicer. In December 2021, the Company ceased operations in EverLEND Mortgage and merged its operations into SecurityNational Mortgage.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twelve months ended December 31, 2021 and 2020, SecurityNational Mortgage originated 19,342 loans ($5,502,894,000 total volume) and 21,206 loans ($5,472,503,000 total volume), respectively. For the twelve months ended December 31, 2021 and 2020, EverLEND Mortgage originated 323 loans ($108,295,000 total volume) and 511 loans ($154,511,000 total volume),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 low mortgage interest rates that prevailed during the third quarter of 2020 and into the first quarter of 2021 trended higher through the second, third and fourth quarters of 2021. Production volumes remained strong in the second, third and fourth quarters of 2021, particularly for purchase mortgage transactions but were below those experienced during the earlier low interest rate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for the Company’s mortgage operations for the years ended December 31, 2021 and 2020. See Note 15 of the Notes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gridSpan w:val="5"/>
          </w:tcPr>
          <w:p>
            <w:pPr>
              <w:jc w:val="right"/>
              <w:ind w:right="100"/>
              <w:spacing w:after="0"/>
              <w:rPr>
                <w:sz w:val="20"/>
                <w:szCs w:val="20"/>
                <w:color w:val="auto"/>
              </w:rPr>
            </w:pPr>
            <w:r>
              <w:rPr>
                <w:rFonts w:ascii="Arial" w:cs="Arial" w:eastAsia="Arial" w:hAnsi="Arial"/>
                <w:sz w:val="18"/>
                <w:szCs w:val="18"/>
                <w:color w:val="auto"/>
                <w:w w:val="88"/>
              </w:rPr>
              <w:t>Years ended December 31</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1"/>
              </w:rPr>
              <w:t>(in thousands of dollars)</w:t>
            </w:r>
          </w:p>
        </w:tc>
        <w:tc>
          <w:tcPr>
            <w:tcW w:w="1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2021 vs 2020 %</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Increase (Decrease)</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Secondary gains from investors</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230,417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231,759</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loan originations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44,897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49,124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w w:val="99"/>
              </w:rPr>
              <w:t>Change in fair value of loans held for sale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(8,783)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10,413</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Change in fair value of loan commitments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7,637</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711</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16,282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9,732</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2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28,903</w:t>
            </w:r>
          </w:p>
        </w:tc>
        <w:tc>
          <w:tcPr>
            <w:tcW w:w="1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55,128</w:t>
            </w:r>
          </w:p>
        </w:tc>
        <w:tc>
          <w:tcPr>
            <w:tcW w:w="260" w:type="dxa"/>
            <w:vAlign w:val="bottom"/>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Included in other revenues is service fee income. Profitability in 2021 has decreased due to a $19,197,000 decrease in the fair value of loans held for sale, a $15,009,000 increase in personnel expenses, a $10,750,000 decrease in the fair value of loan commitments, a $4,662,000 increase in other expenses, a $4,225,000 decrease in income from loan originations, a $1,342,000 decrease in secondary gains from investors, a $664,000 increase in costs related to funding mortgage loans, a $520,000 increase in advertising expenses, a $477,000 increase in rent and rent related expenses, a $192,000 decrease in net investment income, a $117,000 decrease in intersegment revenues, and a $90,000 increase in other intersegment expenses. These decreases were partially offset by a $16,506,000 decrease in the provision for loan loss reserve, a $6,551,000 increase in other revenues, a $5,917,000 decrease in commissions, a $1,281,000 decrease in interest expense, a $470,000 decrease in intersegment interest expense, a $199,000 increase in gains on investments and other assets, and a $97,000 decrease in depreciation on property and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the mortgage operations has integrated employee work from home accommodations into its standard operating procedures. A large percentage of fulfillment employees are in office in 2021 compared to 2020, however the flexibility remains to accommodate in office or work from home functionality.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Future loan losses can be extremely difficult to estimate. However, management believes that the Company’s reserve methodology and its current practice of property preservation allow it to make reasonable estimates of potential losses on mortgage loans sold. The estimated liability for indemnification losses is included in other liabilities and accrued expenses and, as of December 31, 2021 and 2020, the balances were $2,447,000 and $20,584,000,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litigation involving SecurityNational Mortgage and Lehman Brothers Holdings, see Part I, Item 3.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brief summary of the Company’s significant accounting policies and a review of the Company’s most critical accounting estimates. See Note 1 of the Notes to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Insurance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generally accepted accounting principles in the United States of America (“GAAP”), premiums and other considerations received for interest sensitive products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receives investment income earned from the funds deposited into account balances, a portion of which is passed through to the policyholders in the form of interest credited. Interest credited to policyholder account balances and benefit claims in excess of policyholder account balances are reported as expenses in the consolidated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Premiums and other considerations received for traditional life insurance products are recognized as revenues when due. Future policy benefits are recognized as expenses over the life of the policy by means of the provision for future policy benefits.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costs related to acquiring new business, including certain costs of issuing policies and other variable selling expenses (principally commissions), defined as deferred policy acquisition costs, are capitalized and amortized into expense. 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assumptions used for computing liabilities for future policy benefits and are generally “locked in” at the date the policies are issued. For interest sensitive products, these costs are amortized generally in proportion to expected gross profits from surrender charges and investment, mortality and expense margins. This amortization is adjusted when the Company revises the estimate of current or future gross profits or margins. For example, deferred policy acquisition costs are amortized earlier than originally estimated when policy terminations are higher than originally estimated or when investments backing the related policyholder liabilities are sold at a gain prior to their anticipated maturity.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Death and other policyholder benefits reflect exposure to mortality risk and fluctuate from year to year on the level of claims incurred under insurance retention limits. The profitability of the Company is primarily affected by fluctuations in mortality, other policyholder benefits, expense levels, interest spreads (i.e., the difference between interest earned on investments and interest credited to policyholders) and persistency. The Company has the ability to mitigate adverse experience through sound underwriting, asset and liability duration matching, sound actuarial practices, adjustments to credited interest rates, policyholder dividends and cost of insurance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Cemetery and Mortuary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Pre-need sales of funeral services and caskets, including revenue and costs associated with the sales of pre-need funeral services and caskets, are deferred until the services are performed or the caskets are delivered.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Pre-need sales of cemetery interment rights (cemetery burial property), including revenue and costs associated with the sales of pre-need cemetery interment rights, are recognized in accordance with the retail land sales provisions of GAAP. Under GAAP, recognition of revenue and associated costs from constructed cemetery property must be deferred until a minimum percentage of the sales price has been collected. Revenues related to the pre-need sale of unconstructed cemetery property will be deferred until such property is constructed and meets the criteria of GAAP, described above.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Pre-need sales of cemetery merchandise (primarily markers and vaults), including revenue and costs associated with the sales of pre-need cemetery merchandise, are deferred until the merchandise is delivered, fulfilling the performance obligation.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Pre-need sales of cemetery services (primarily merchandise delivery and installation fees and burial opening and closing fees), including revenue and costs associated with the sales of pre-need cemetery services, are deferred until the services are performed.</w:t>
      </w:r>
    </w:p>
    <w:p>
      <w:pPr>
        <w:spacing w:after="0" w:line="170" w:lineRule="exact"/>
        <w:rPr>
          <w:sz w:val="20"/>
          <w:szCs w:val="20"/>
          <w:color w:val="auto"/>
        </w:rPr>
      </w:pPr>
    </w:p>
    <w:p>
      <w:pPr>
        <w:jc w:val="both"/>
        <w:spacing w:after="0" w:line="340" w:lineRule="auto"/>
        <w:rPr>
          <w:sz w:val="20"/>
          <w:szCs w:val="20"/>
          <w:color w:val="auto"/>
        </w:rPr>
      </w:pPr>
      <w:r>
        <w:rPr>
          <w:rFonts w:ascii="Arial" w:cs="Arial" w:eastAsia="Arial" w:hAnsi="Arial"/>
          <w:sz w:val="15"/>
          <w:szCs w:val="15"/>
          <w:color w:val="auto"/>
        </w:rPr>
        <w:t>Prearranged funeral and pre-need cemetery customer obtaining costs, including costs incurred related to obtaining new pre-need cemetery and prearranged funeral business are accounted for under the guidance of the provisions of GAAP. Obtaining costs, which include only costs that vary with and are primarily related to the acquisition of new pre-need cemetery and prearranged funeral business, are deferred until the merchandise is delivered or services are performed.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Revenues and costs for at-need sales are recorded when a valid contract exists, the services are performed, collection is reasonably assured, and there are no significant company obligations remaining.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Mortgage fee income consists of origination fees, processing fees, interest income and certain other income related to the origination and sale of mortgage loans. The Company has elected to use fair value accounting for all mortgage loans that are held for sale. Accordingly, all revenues and costs are now recognized when the mortgage loan is funded and any changes in fair value are shown as a component of mortgage fee income.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8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deliver original documents specified by the investor,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existence of misrepresentation or fraud in the origination of the loan,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loan becomes delinquent due to nonpayment during the first several months after it is sold,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Early pay-off of a loan, as defined by the agreements,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Excessive time to settle a loan,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declines purchase,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Discontinued product and expired commitment.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4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reasons for rejection,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additional documents,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Request investor exceptions,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Appeal rejection decision to purchase committee,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 to secondary investors.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purchase commitments have expired and other alternatives to remedy are exhausted, which could be earlier than the six-month time period, the loans are repurchased and transferred to mortgage loans held for investment at the lower of cost or fair value and the previously recorded sales revenue that was to be received from a third-party investor is written off against the loan loss reserve. Any loan that later becomes delinquent is evaluated by the Company at that time and any impairment is adjusted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Determining fair value</w:t>
      </w:r>
      <w:r>
        <w:rPr>
          <w:rFonts w:ascii="Arial" w:cs="Arial" w:eastAsia="Arial" w:hAnsi="Arial"/>
          <w:sz w:val="16"/>
          <w:szCs w:val="16"/>
          <w:color w:val="auto"/>
        </w:rPr>
        <w:t>. Cost for loans held for sale is equal to the amount paid to the warehouse bank and the amount originally funded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 value, while often difficult to determine and may contain significant unobservable inputs, is based on the following guidelines:</w:t>
      </w:r>
    </w:p>
    <w:p>
      <w:pPr>
        <w:spacing w:after="0" w:line="21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that are committed, the Company uses the commitment price.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that are non-committed that have an active market, the Company uses the market price.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that are non-committed where there is no market but there is a similar product, the Company uses the market value for the similar product.</w:t>
      </w:r>
    </w:p>
    <w:p>
      <w:pPr>
        <w:ind w:left="980" w:hanging="324"/>
        <w:spacing w:after="0" w:line="323"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loan interest rate.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The appraised value of the real estate underlying the original mortgage loan adds significance to the Company’s determination of fair value because, if the loan becomes delinquent, the Company has sufficient value to collect the unpaid principal balance or the carrying value of the loan, thus minimizing credit risk.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loans originated are sold to third-party investors. The amounts expected to be sold to investors are shown on the consolidated balance sheets as loans held for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Significant Accounting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and disclosures. It is reasonably possible that actual experience could differ from the estimates and assumptions utilized which could have a material impact on the financial statements. The following is a summary of our significant accounting estimates, and critical issues that impact them: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fair value of a mortgage loan commitment based on the change in estimated fair value of the underlying mortgage loan, quoted mortgage-backed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Acquisition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of deferred policy acquisition costs (“DAC”)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Value of Business Acquired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of business acquired (“VOBA”) is the present value of estimated future profits of the acquired business and is amortized similar to deferred acquisition costs. The critical issues explained for deferred acquisition costs would also apply for value of business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Foreclosed to Real Estate Held for Investment or 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properties are recorded at the lower of cost or fair value upon foreclosure. The Company believes that in an orderly market, fair value approximates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estimated future policy benefits. Accordingly, the fair value determination is generally weighted more heavily toward the rental analysis. The fair value is also estimated by obtaining an independent appraisal, which typically considers area comparable properties and property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Future Policy Benefits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Unearned Premium Reserve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universal life products the Company sells have significant policy initiation fees (front-end load) that are deferred and amortized into revenues over the estimated expected gross profits from surrender charges and investment, mortality and expense margins. The same issues that impact deferred acquisition costs would apply to unearned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 Deficiency and Loss Recognition Testing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 tax net investment earned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Pre-need Cemetery and Funeral Contracts Revenues and Estimated Future Cost of Pre-need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and cost associated with the sales of pre-need cemetery merchandise and funeral services are deferred until the merchandise is delivered or the service is performed.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its cemetery and mortuary operations, provides a guaranteed funeral arrangement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 or 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 Service Rights (“MSR”) arise from contractual agreements between the Company and third-party investors (or their agents) when mortgage loans are sold. Under these contracts, the Company is obligated to retain and provide loan servicing functions on the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 The Company initially accounts for MSRs at fair value and subsequently accounts for them using the amortization method. MSR amortization is determined by amortizing the MSR balance in proportion to, and over the period of the estimated future net servicing income of the underlying financial assets. The Company periodically assesses MSRs accounted for using the amortization method for impairment.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Allowance for Loan Losses and Loan Loss Reserve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for losses on its mortgage loans held for investment through an allowance for loan losses (a contra-asset account) and through the mortgage loan loss reserve (a liability account). The allowance for loan losses is an allowance for losses on the Company’s mortgage loans held for investment.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the allowance for loan losses and the loan loss reserve represent probable loan losses incurred as of the balance sheet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 Assets and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require various estimates and judgments and may be affected favorably or unfavorably by various internal and external factors. These estimates and judgments occur in the calculation of certain deferred tax assets and liabilities that arise from temporary differences in the recognition of revenues and expenses for tax and financial reporting purposes and in estimating the ultimate amount of deferred tax assets recoverable in future periods.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Consolidated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to 2020</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$10,768,000, or 2.2%, to $470,695,000 for 2021 from $481,463,000 for the fiscal year 2020. Contributing to this decrease in total revenues was a $35,515,000 decrease in mortgage fee income. This decrease in total revenues was offset by a $7,234,000 increase in insurance premiums and other considerations, a $7,218,000 increase in other revenues, a $4,339,000 increase in gains on investments and other assets, a $3,690,000 increase in net cemetery and mortuary sales, a $1,935,000 increase in net investment income, and a $331,000 decrease in other than temporary impairments.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fee income decreased by $35,515,000, or 11.9%, to $263,418,000 for 2021, from $298,933,000 for 2020. This decrease was primarily due to a $29,947,000 decrease in the fair value of loans held for sale and loan commitments, a $6,951,000 decrease in loan fees and interest income, and a $1,342,000 decrease in secondary gains from mortgage loans sold to third-party investors into the secondary market. This decrease in mortgage fee income was partially offset by a $2,727,000 decrease in the provision for loan loss reserve.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Insurance premiums and other considerations increased by $7,234,000, or 7.8%, to $100,255,000 for 2021, from $93,021,000 for 2020. This increase was due to an increase of $1,859,000 in renewal premiums due to the growth of the Company in recent years, particularly in whole life products, which resulted in more premium paying policies in force and an increase of $5,375,000 in first year premiums as a result of increased preneed insurance sales.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investment income increased by $1,935,000, or 3.4%, to $58,265,000 for 2021, from $56,330,000 for 2020. This increase was primarily attributable to a $3,086,000 increase in mortgage loan interest, a $1,224,000 increase in insurance assignment income, and a $389,000 increase in rental income from real estate held for investment. This increase was partially offset by a $1,463,000 decrease in fixed maturity securities income, a $835,000 increase in investment expenses, a $196,000 decrease in equity securities income, a $191,000 decrease in interest on cash and cash equivalents, and an $84,000 decrease in policy loan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color w:val="auto"/>
        </w:rPr>
        <w:t>Net mortuary and cemetery sales increased by $3,690,000, or 18.2%, to $23,997,000 for 2021, from $20,307,000 for 2020. This increase was primarily due to a $2,682,000 increase in cemetery pre-need sales, a $518,000 increase in mortuary at-need sales, and a $490,000 increase in cemetery at-need sales.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on investments and other assets increased by $4,339,000, or 225.3%, to $6,265,000 for 2021, from $1,926,000 for 2020. This increase in gains on investments and other assets was primarily due to a $1,940,000 increase in gains on other assets mostly attributable to gains recognized on the sale of mortgage loans held for investment, a $1,922,000 increase in gains on equity securities mostly attributable to increases in the fair value of these equity securities, and a $477,000 increase in gains on fixed maturity securities.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increased by $7,218,000, or 63.8%, to $18,535,000 for 2021 from $11,317,000 for 2020. This increase was primarily attributable to an increase in servicing fee 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Total benefits and expenses were $418,895,000, or 89.0% of total revenues for 2021, as compared to $410,013,000, or 85.2% of total revenues for 2020.</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$7,072,000, or 8.2%, to $93,482,000 for 2021, from $86,410,000 for 2020. This increase was primarily the result of a $4,207,000 increase in death benefits ($2,305,000 for COVID-19 related deaths), a $2,695,000 increase in future policy benefits, and a $170,000 increase in surrender and other policy benefits.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$1,836,000, or 12.8%, to $16,143,000 for 2021, from $14,307,000 for 2020.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increased by $974,000, or 0.3%, to $298,438,000 for 2021, from $297,464,000 for 2020. This increase was primarily the result of a $15,750,000 increase in personnel expenses, a $5,735,000 increase in other expenses, a $1,245,000 increase in advertising expenses, a $664,000 increase in costs related to funding mortgage loans, and a $369,000 increase in rent and rent related expenses. This increase was partially offset by a $16,506,000 decrease in the provision for loan loss reserve, a $6,140,000 decrease in commissions, and a $143,000 decrease in depreciation on property and equipment.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by $1,451,000, or 16.9%, to $7,128,000 for 2021, from $8,579,000 for 2020. This decrease was primarily due to a decrease of $1,281,000 in interest expense on mortgage warehouse lines for loans held for sale.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and services sold of the cemeteries and mortuaries increased by $451,000, or 13.9%, to $3,704,000 for 2021, from $3,253,000 for 2020. This increase was primarily due to a $232,000 increase in cemetery at-need sales, a $151,000 increase in cemetery pre-need sales, and a $68,000 increase in mortuary at-need sales.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decreased by $3,572,000, or 22.5%, to $12,282,000 for 2021, from $15,854,000 for 2020. This decrease was primarily due to a decrease in earnings before income taxes for 2021 compared to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material risks facing the Company and how it mitigates those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Legal and Regulatory Risks</w:t>
      </w:r>
      <w:r>
        <w:rPr>
          <w:rFonts w:ascii="Arial" w:cs="Arial" w:eastAsia="Arial" w:hAnsi="Arial"/>
          <w:sz w:val="17"/>
          <w:szCs w:val="17"/>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aims to mitigate these risks by offering a wide range of products and by diversifying its operations, thus reducing its exposure to any single product or jurisdiction, and also by employing underwriting practices that identify and minimize the adverse impact of such risks.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right="20"/>
        <w:spacing w:after="0" w:line="308" w:lineRule="auto"/>
        <w:rPr>
          <w:sz w:val="20"/>
          <w:szCs w:val="20"/>
          <w:color w:val="auto"/>
        </w:rPr>
      </w:pPr>
      <w:r>
        <w:rPr>
          <w:rFonts w:ascii="Arial" w:cs="Arial" w:eastAsia="Arial" w:hAnsi="Arial"/>
          <w:sz w:val="17"/>
          <w:szCs w:val="17"/>
          <w:u w:val="single" w:color="auto"/>
          <w:color w:val="auto"/>
        </w:rPr>
        <w:t>Mortgage Industry Risks</w:t>
      </w:r>
      <w:r>
        <w:rPr>
          <w:rFonts w:ascii="Arial" w:cs="Arial" w:eastAsia="Arial" w:hAnsi="Arial"/>
          <w:sz w:val="17"/>
          <w:szCs w:val="17"/>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mortgage loan loss reserve is an estimate of probable losses at the balance sheet date that the Company could realize in the future on mortgage loans sold to third-party investors. The Company’s mortgage subsidiaries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twelve months ended December 31, 2021 and 2020 the Company increased its loan loss reserve by $2,211,000 and $4,938,000, respectively, for loan originations, and the charges have been included in mortgage fee income. During the twelve months ended December 31, 2021 and 2020 the Company increased its loan loss reserve by an additional $-0- and $16,506,000, respectively, to account for changes in estimates specific to settlements of loan losses. The estimated liability for indemnification losses is included in other liabilities and accrued expenses and, as of December 31, 2021 and 2020, the balances were $2,447,000 and $20,584,000, respectively. The Company believes the loan loss reserve represent probable loan losses incurred as of December 31, 2021. There is a risk, however, that future loan losses may exceed the loan loss reserve.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the Company’s mortgage loans held for investment portfolio consisted of mortgage loans in an aggregate principal amount of $4,272,000 with delinquencies exceeding 90 days. Of this amount, loans with an aggregate principal amount of $497,000 were in foreclosure proceedings. The Company has not received or recognized any interest income on the $4,272,000 in mortgage loans with delinquencies exceeding 90 days. During the twelve months ended December 31, 2021 and 2020, the Company decreased and increased its allowance for loan losses by $305,000 and by $552,000, respectively, which was charged to bad debt expense and included in selling, general and administrative expenses for the period. The allowances for loan losses on the Company’s held for investment portfolio as of December 31, 2021 and 2020 were $1,700,000 and $2,005,000, respectively.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Fluctuations in interest rates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aims to mitigate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Mortality and Morbidity Risks</w:t>
      </w:r>
      <w:r>
        <w:rPr>
          <w:rFonts w:ascii="Arial" w:cs="Arial" w:eastAsia="Arial" w:hAnsi="Arial"/>
          <w:sz w:val="18"/>
          <w:szCs w:val="18"/>
          <w:color w:val="auto"/>
        </w:rPr>
        <w:t>. The Company’s actuarial assumptions differing from actual mortality and morbidity experienced may mean that the Company’s relevant products sold were underpriced, may require the Company to liquidate insurance or other claims earlier than planned, and have other potentially adverse consequences to the business. The Company aims to minimize this risk through sound underwriting practices, asset and liability duration matching, and sound actuarial practices.</w:t>
      </w:r>
    </w:p>
    <w:p>
      <w:pPr>
        <w:spacing w:after="0" w:line="187" w:lineRule="exact"/>
        <w:rPr>
          <w:sz w:val="20"/>
          <w:szCs w:val="20"/>
          <w:color w:val="auto"/>
        </w:rPr>
      </w:pPr>
    </w:p>
    <w:p>
      <w:pPr>
        <w:jc w:val="both"/>
        <w:spacing w:after="0" w:line="313" w:lineRule="auto"/>
        <w:rPr>
          <w:sz w:val="20"/>
          <w:szCs w:val="20"/>
          <w:color w:val="auto"/>
        </w:rPr>
      </w:pPr>
      <w:r>
        <w:rPr>
          <w:rFonts w:ascii="Arial" w:cs="Arial" w:eastAsia="Arial" w:hAnsi="Arial"/>
          <w:sz w:val="15"/>
          <w:szCs w:val="15"/>
          <w:u w:val="single" w:color="auto"/>
          <w:color w:val="auto"/>
        </w:rPr>
        <w:t>COVID-19</w:t>
      </w:r>
      <w:r>
        <w:rPr>
          <w:rFonts w:ascii="Arial" w:cs="Arial" w:eastAsia="Arial" w:hAnsi="Arial"/>
          <w:sz w:val="15"/>
          <w:szCs w:val="15"/>
          <w:color w:val="auto"/>
        </w:rPr>
        <w:t>. 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the ongoing COVID-19 pandemic and assessing its impact on the Company’s business. The continued uncertainty surrounding the COVID-19 pandemic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Like most businesses, COVID-19 has impacted the Company, including the adoption of work from home arrangements and a restructuring of selling techniques for its products and services. The Company also experienced increased expenses for cleaning services of its offices. Throughout 2021 the Company continued to adapt to the impact of COVID-19.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Estimates</w:t>
      </w:r>
      <w:r>
        <w:rPr>
          <w:rFonts w:ascii="Arial" w:cs="Arial" w:eastAsia="Arial" w:hAnsi="Arial"/>
          <w:sz w:val="17"/>
          <w:szCs w:val="17"/>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on mortgage loans held for sale that are sold to investors. It should be noted that current conditions in the financial markets and economy caused by the COVID-19 pandemic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 months ended December 31, 2021 and 2020, the Company’s operations provided cash of $144,638,000 and used cash of $129,627,000, respectively. This change from cash used in operations to cash from operations was primarily due to the decreased originations of mortgage loans held for sale.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6"/>
          <w:szCs w:val="16"/>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$259,005,000 (at estimated fair value) and $294,384,000 (at estimated fair value) as of December 31, 2021 and 2020, respectively. This represented 31.5% and 38.0% of the total investments as of December 31, 2021, and 2020, respectively. Generally, all bonds owned by the life insurance subsidiaries are rated by the National Association of Insurance Commissioners. Under this rating system, there are six categories used for rating bonds. At December 31, 2021, 3.9% (or $9,991,000) and at December 31, 2020, 4.2% (or $12,418,000) of the Company’s total bond investments were invested in bonds in rating categories three through six, which are considered non-investment grade.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of the Notes to Consolidated Financial Statements for the schedule of the maturity of fixed maturity securities available for sale and for the schedule of principal payments for mortgage loans held for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Consolidated Financial Statements for a description of the Company’s sources of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market conditions were to cause interest rates to change, the fair value of the Company’s fixed income portfolio (of approximately $536,594,000), which includes bonds, preferred stocks and mortgage loans held for investment, could change by the following amounts based on the respective basis point swing (the change in the fair values were calculated using a modeling technique):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-200 bps</w:t>
            </w:r>
          </w:p>
        </w:tc>
        <w:tc>
          <w:tcPr>
            <w:tcW w:w="2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-100 bps</w:t>
            </w:r>
          </w:p>
        </w:tc>
        <w:tc>
          <w:tcPr>
            <w:tcW w:w="24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+100 bps</w:t>
            </w: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+200 bps</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(in thousands)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December 31, 2021 and 2020, the life insurance subsidiaries were in compliance with the regulatory criteria.</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total capitalization of stockholders’ equity, and bank loans and other loans payable was $551,054,000 as of December 31, 2021, as compared to $561,811,000 as of December 31, 2020. Stockholders’ equity as a percent of total capitalization was 54.4% and 47.0% as of December 31, 2021 and December 31, 2020, respectively. Bank loans and other loans payable decreased by $46,537,000 for the twelve months ended December 31, 2021 as compared to December 31, 2020, and stockholders’ equity increased by $35,780,000 for the twelve months ended December 31, 2021 as compared to December 31, 2020, thus causing the increase in the stockholders’ equity percentage.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was 4.8% in 2021 as compared to a rate of 5.9% for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combined statutory capital and surplus of the Company’s life insurance subsidiaries was $82,823,000 and $78,493,000 as of December 31, 2021 and 2020, respectively. The life insurance subsidiaries cannot pay a dividend to their parent company without the approval of state insurance regulatory authorities.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This Annual Report on Form 10-K contains forward-looking statements, together with related data and projections, about the Company’s projected financial results and its future plans and strategies. However, actual results and needs of the Company may vary materially from forward-looking statements and projections made from time to time by the Company on the basis of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December 31, 2021, the Company’s commitments were approximately $329,903,000 for these loans, of which $179,673,000 had been funded. The Company advances funds once the work has been completed and an inspection is made. The maximum loan commitment ranges between 50% and 80% of appraised value. The Company receives fees and interest for these loans and the interest rate is generally fixed 5.50% to 8.00% per annum. Maturities generally range between six and eighteen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the Company’s operations, the Company enters into certain contractual obligations. Such obligations include operating leases for office space, agreements with respect to borrowed funds and future policy benefits. See Notes 7, 22, 24 of the Notes to Consolidated Financial Statements for more information about these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Casualty Insurance Program</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conjunction with the Company’s casualty insurance program, limited equity interests are held in a captive insurance entity. This program permits the Company to self-insure a portion of losses, to gain access to a wide array of safety-related services, to pool insurance risks and resources in order to obtain more competitive pricing for administration and reinsurance and to limit its risk of loss in any particular year. The maximum exposure to loss related to the Company’s involvement with this entity is limited to approximately $443,758, which is collateralized under a standby letter of credit issued on the insurance entity’s behalf. See Note 10, “Reinsurance, Commitments and Contingencies,” for additional discussion of commitments associated with the insurance program. The Company does not expect any material losses to result from the issuance of the standby letter of credit because claims are not expected to exceed premiums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20" w:type="dxa"/>
            <w:vAlign w:val="bottom"/>
          </w:tcPr>
          <w:p>
            <w:pPr>
              <w:spacing w:after="0"/>
              <w:rPr>
                <w:sz w:val="20"/>
                <w:szCs w:val="20"/>
                <w:color w:val="auto"/>
              </w:rPr>
            </w:pPr>
          </w:p>
        </w:tc>
      </w:tr>
      <w:tr>
        <w:trPr>
          <w:trHeight w:val="432"/>
        </w:trPr>
        <w:tc>
          <w:tcPr>
            <w:tcW w:w="10120" w:type="dxa"/>
            <w:vAlign w:val="bottom"/>
            <w:gridSpan w:val="9"/>
          </w:tcPr>
          <w:p>
            <w:pPr>
              <w:spacing w:after="0"/>
              <w:rPr>
                <w:sz w:val="20"/>
                <w:szCs w:val="20"/>
                <w:color w:val="auto"/>
              </w:rPr>
            </w:pPr>
            <w:r>
              <w:rPr>
                <w:rFonts w:ascii="Arial" w:cs="Arial" w:eastAsia="Arial" w:hAnsi="Arial"/>
                <w:sz w:val="18"/>
                <w:szCs w:val="18"/>
                <w:color w:val="auto"/>
              </w:rPr>
              <w:t>INDEX TO CONSOLIDATED FINANCIAL STATEMENTS</w:t>
            </w:r>
          </w:p>
        </w:tc>
        <w:tc>
          <w:tcPr>
            <w:tcW w:w="1120" w:type="dxa"/>
            <w:vAlign w:val="bottom"/>
          </w:tcPr>
          <w:p>
            <w:pPr>
              <w:spacing w:after="0"/>
              <w:rPr>
                <w:sz w:val="24"/>
                <w:szCs w:val="24"/>
                <w:color w:val="auto"/>
              </w:rPr>
            </w:pPr>
          </w:p>
        </w:tc>
      </w:tr>
      <w:tr>
        <w:trPr>
          <w:trHeight w:val="473"/>
        </w:trPr>
        <w:tc>
          <w:tcPr>
            <w:tcW w:w="1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5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 No.</w:t>
            </w:r>
          </w:p>
        </w:tc>
      </w:tr>
      <w:tr>
        <w:trPr>
          <w:trHeight w:val="209"/>
        </w:trPr>
        <w:tc>
          <w:tcPr>
            <w:tcW w:w="101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12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40" w:type="dxa"/>
            <w:vAlign w:val="bottom"/>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18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40" w:type="dxa"/>
            <w:vAlign w:val="bottom"/>
            <w:gridSpan w:val="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 December 31, 2021 and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18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40" w:type="dxa"/>
            <w:vAlign w:val="bottom"/>
            <w:gridSpan w:val="8"/>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Earnings for the Years Ended December 31, 2021 and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6"/>
        </w:trPr>
        <w:tc>
          <w:tcPr>
            <w:tcW w:w="18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40" w:type="dxa"/>
            <w:vAlign w:val="bottom"/>
            <w:gridSpan w:val="8"/>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Comprehensive Income for the Years Ended December 31, 2021 and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18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40" w:type="dxa"/>
            <w:vAlign w:val="bottom"/>
            <w:gridSpan w:val="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Stockholders’ Equity for the Years Ended December 31, 2021 and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18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40" w:type="dxa"/>
            <w:vAlign w:val="bottom"/>
            <w:gridSpan w:val="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 for the Years Ended December 31, 2021 and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6"/>
        </w:trPr>
        <w:tc>
          <w:tcPr>
            <w:tcW w:w="18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Notes to Consolidated Financial Statements</w:t>
              </w:r>
            </w:hyperlink>
          </w:p>
        </w:tc>
        <w:tc>
          <w:tcPr>
            <w:tcW w:w="67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439"/>
        </w:trPr>
        <w:tc>
          <w:tcPr>
            <w:tcW w:w="65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4" w:name="page35"/>
    <w:bookmarkEnd w:id="3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Security National Financial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Security National Financial Corporation and subsidiaries (the “Company”) as of December 31, 2021 and 2020, the related consolidated statements of income, comprehensive income, stockholders’ equity, and cash flows for each of the years then ended, and the related notes and the schedules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right="20"/>
        <w:spacing w:after="0" w:line="282" w:lineRule="auto"/>
        <w:rPr>
          <w:sz w:val="20"/>
          <w:szCs w:val="20"/>
          <w:color w:val="auto"/>
        </w:rPr>
      </w:pPr>
      <w:r>
        <w:rPr>
          <w:rFonts w:ascii="Arial" w:cs="Arial" w:eastAsia="Arial" w:hAnsi="Arial"/>
          <w:sz w:val="18"/>
          <w:szCs w:val="18"/>
          <w:b w:val="1"/>
          <w:bCs w:val="1"/>
          <w:color w:val="auto"/>
        </w:rPr>
        <w:t>Future Policy Benefits and Amortization of Deferred Policy Acquisition Costs for Insurance Contracts and Value of Business Acquired - Refer to Notes 1 and 22 to the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sets assumptions in (1) estimating a liability for policy benefit payments that will be made in the future (future policy benefits) and (2) determining amortization of deferred policy acquisition costs for insurance contracts and value of business acquired. The most significant assumptions include mortality, lapse, and projected investment yield. Assumptions are determined based upon analysis of Company specific experience, industry standards, adjusted for changes in exposure and other relevant factors. Given the inherent uncertainty of these significant assumptions, auditing the development of such assumptions involved especially subjective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audit procedures related to management’s judgments regarding the assumptions used in the development of future policy benefits and the amortization of deferred policy acquisition costs for insurance contracts and value of business acquired, included the following, among others:</w:t>
      </w:r>
    </w:p>
    <w:p>
      <w:pPr>
        <w:spacing w:after="0" w:line="146" w:lineRule="exact"/>
        <w:rPr>
          <w:sz w:val="20"/>
          <w:szCs w:val="20"/>
          <w:color w:val="auto"/>
        </w:rPr>
      </w:pPr>
    </w:p>
    <w:p>
      <w:pPr>
        <w:ind w:firstLine="8"/>
        <w:spacing w:after="0" w:line="277"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tested the design and implementation of controls over the assumption development process, the valuation of future policy benefits, and the amortization of deferred policy acquisition costs for insurance contracts and value of business acquired.</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management’s selected actuarial assumptions, including testing the accuracy and completeness of the supporting experience studies,</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management’s judgments regarding the assumptions used in the development of future policy benefits and the amortization of deferred policy acquisition costs and value of business acquired,</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results of the Company’s annual premium deficiency tests.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securities, available for sale, at estimated fair value (amortized cost of</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$236,303,310 and $265,150,484 for 2021 and 2020)</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259,287,603</w:t>
            </w:r>
          </w:p>
        </w:tc>
        <w:tc>
          <w:tcPr>
            <w:tcW w:w="5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294,656,679</w:t>
            </w:r>
          </w:p>
        </w:tc>
        <w:tc>
          <w:tcPr>
            <w:tcW w:w="80" w:type="dxa"/>
            <w:vAlign w:val="bottom"/>
            <w:shd w:val="clear" w:color="auto" w:fill="CCEEFF"/>
          </w:tcPr>
          <w:p>
            <w:pPr>
              <w:spacing w:after="0"/>
              <w:rPr>
                <w:sz w:val="20"/>
                <w:szCs w:val="20"/>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6"/>
              </w:rPr>
              <w:t>Equity securities at estimated fair value (cost of $8,275,772 and $9,698,490 for 2021 and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11,596,414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11,324,239</w:t>
            </w:r>
          </w:p>
        </w:tc>
        <w:tc>
          <w:tcPr>
            <w:tcW w:w="80" w:type="dxa"/>
            <w:vAlign w:val="bottom"/>
          </w:tcPr>
          <w:p>
            <w:pPr>
              <w:spacing w:after="0"/>
              <w:rPr>
                <w:sz w:val="20"/>
                <w:szCs w:val="20"/>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Mortgage loans held for investment (net of allowances for loan losses of $1,699,902 and</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$2,005,127 for 2021 and 2020)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277,306,046</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249,343,936</w:t>
            </w:r>
          </w:p>
        </w:tc>
        <w:tc>
          <w:tcPr>
            <w:tcW w:w="80" w:type="dxa"/>
            <w:vAlign w:val="bottom"/>
            <w:shd w:val="clear" w:color="auto" w:fill="CCEEFF"/>
          </w:tcPr>
          <w:p>
            <w:pPr>
              <w:spacing w:after="0"/>
              <w:rPr>
                <w:sz w:val="20"/>
                <w:szCs w:val="20"/>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Real estate held for investment (net of accumulated depreciation of $17,692,038 and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$13,800,973 for 2021 and 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197,365,797</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131,684,453</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3,731,300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7,878,807</w:t>
            </w:r>
          </w:p>
        </w:tc>
        <w:tc>
          <w:tcPr>
            <w:tcW w:w="80" w:type="dxa"/>
            <w:vAlign w:val="bottom"/>
            <w:shd w:val="clear" w:color="auto" w:fill="CCEEFF"/>
          </w:tcPr>
          <w:p>
            <w:pPr>
              <w:spacing w:after="0"/>
              <w:rPr>
                <w:sz w:val="18"/>
                <w:szCs w:val="18"/>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5"/>
              </w:rPr>
              <w:t>Other investments and policy loans (net of allowances for doubtful accounts of $1,686,218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and $1,645,475 for 2021 and 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67,955,155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73,696,661</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6,313,012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5,360,523</w:t>
            </w:r>
          </w:p>
        </w:tc>
        <w:tc>
          <w:tcPr>
            <w:tcW w:w="80" w:type="dxa"/>
            <w:vAlign w:val="bottom"/>
            <w:shd w:val="clear" w:color="auto" w:fill="CCEEFF"/>
          </w:tcPr>
          <w:p>
            <w:pPr>
              <w:spacing w:after="0"/>
              <w:rPr>
                <w:sz w:val="18"/>
                <w:szCs w:val="18"/>
                <w:color w:val="auto"/>
              </w:rPr>
            </w:pPr>
          </w:p>
        </w:tc>
      </w:tr>
      <w:tr>
        <w:trPr>
          <w:trHeight w:val="209"/>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823,555,327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773,945,298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131,354,470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106,219,429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Loans held for sale at estimated fair value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302,776,827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422,772,418</w:t>
            </w:r>
          </w:p>
        </w:tc>
        <w:tc>
          <w:tcPr>
            <w:tcW w:w="80" w:type="dxa"/>
            <w:vAlign w:val="bottom"/>
          </w:tcPr>
          <w:p>
            <w:pPr>
              <w:spacing w:after="0"/>
              <w:rPr>
                <w:sz w:val="18"/>
                <w:szCs w:val="18"/>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Receivables (net of allowances for doubtful accounts of $1,800,725 and $1,685,382 for 2021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and 2020)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18,316,116</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10,899,207</w:t>
            </w:r>
          </w:p>
        </w:tc>
        <w:tc>
          <w:tcPr>
            <w:tcW w:w="80" w:type="dxa"/>
            <w:vAlign w:val="bottom"/>
            <w:shd w:val="clear" w:color="auto" w:fill="CCEEFF"/>
          </w:tcPr>
          <w:p>
            <w:pPr>
              <w:spacing w:after="0"/>
              <w:rPr>
                <w:sz w:val="20"/>
                <w:szCs w:val="20"/>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3"/>
              </w:rPr>
              <w:t>Restricted assets (including $5,205,510 and $3,989,415 for 2021 and 2020 at estimated fair</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16,938,122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16,150,036</w:t>
            </w:r>
          </w:p>
        </w:tc>
        <w:tc>
          <w:tcPr>
            <w:tcW w:w="80" w:type="dxa"/>
            <w:vAlign w:val="bottom"/>
          </w:tcPr>
          <w:p>
            <w:pPr>
              <w:spacing w:after="0"/>
              <w:rPr>
                <w:sz w:val="20"/>
                <w:szCs w:val="20"/>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Cemetery perpetual care trust investments (including $4,087,245 and $2,810,070 for 2021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and 2020 at estimated fair value)</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7,835,721</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6,413,167</w:t>
            </w:r>
          </w:p>
        </w:tc>
        <w:tc>
          <w:tcPr>
            <w:tcW w:w="80" w:type="dxa"/>
            <w:vAlign w:val="bottom"/>
            <w:shd w:val="clear" w:color="auto" w:fill="CCEEFF"/>
          </w:tcPr>
          <w:p>
            <w:pPr>
              <w:spacing w:after="0"/>
              <w:rPr>
                <w:sz w:val="20"/>
                <w:szCs w:val="20"/>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Receivable from reinsurers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14,850,608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15,569,156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Cemetery land and improvements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8,977,877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8,761,436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105,049,983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100,075,276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53,060,455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35,210,516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21,517,598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12,473,345</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8,421,432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8,955,249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5,253,783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3,519,588</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29,684,987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27,976,357</w:t>
            </w:r>
          </w:p>
        </w:tc>
        <w:tc>
          <w:tcPr>
            <w:tcW w:w="8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1,547,593,306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1,548,940,478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863,274,693</w:t>
            </w:r>
          </w:p>
        </w:tc>
        <w:tc>
          <w:tcPr>
            <w:tcW w:w="5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844,790,087</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3,060,738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3,328,623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251,286,927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297,824,368</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14,508,022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13,080,179</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4,915,285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4,087,704</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10,166,573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8,932,683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69,578,138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87,650,981</w:t>
            </w:r>
          </w:p>
        </w:tc>
        <w:tc>
          <w:tcPr>
            <w:tcW w:w="80" w:type="dxa"/>
            <w:vAlign w:val="bottom"/>
            <w:shd w:val="clear" w:color="auto" w:fill="CCEEFF"/>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31,036,096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25,258,800</w:t>
            </w:r>
          </w:p>
        </w:tc>
        <w:tc>
          <w:tcPr>
            <w:tcW w:w="80" w:type="dxa"/>
            <w:vAlign w:val="bottom"/>
          </w:tcPr>
          <w:p>
            <w:pPr>
              <w:spacing w:after="0"/>
              <w:rPr>
                <w:sz w:val="19"/>
                <w:szCs w:val="19"/>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1,247,826,472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1,284,953,425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4"/>
              </w:rPr>
              <w:t>Preferred stock - non-voting-$1.00 par value; 5,000,000 shares authorized; none issued or</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2"/>
              </w:rPr>
              <w:t>Class A: common stock - $2.00 par value; 20,000,000 shares authorized; issued 17,642,722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shares in 2021 and 16,595,783 shares in 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35,285,444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33,191,566</w:t>
            </w:r>
          </w:p>
        </w:tc>
        <w:tc>
          <w:tcPr>
            <w:tcW w:w="80" w:type="dxa"/>
            <w:vAlign w:val="bottom"/>
          </w:tcPr>
          <w:p>
            <w:pPr>
              <w:spacing w:after="0"/>
              <w:rPr>
                <w:sz w:val="20"/>
                <w:szCs w:val="20"/>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B: non-voting common stock - $1.00 par value; 5,000,000 shares authorized; none</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issued or outstanding</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3"/>
              </w:rPr>
              <w:t>Class C: convertible common stock - $2.00 par value; 3,000,000 shares authorized; issued</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2,866,565 shares in 2021 and 2,679,603 shares in 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5,733,130</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5,359,206</w:t>
            </w:r>
          </w:p>
        </w:tc>
        <w:tc>
          <w:tcPr>
            <w:tcW w:w="8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57,985,947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50,287,253</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Accumulated other comprehensive income, net of taxes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18,070,448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23,243,133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184,537,489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153,739,167</w:t>
            </w:r>
          </w:p>
        </w:tc>
        <w:tc>
          <w:tcPr>
            <w:tcW w:w="80" w:type="dxa"/>
            <w:vAlign w:val="bottom"/>
            <w:shd w:val="clear" w:color="auto" w:fill="CCEEFF"/>
          </w:tcPr>
          <w:p>
            <w:pPr>
              <w:spacing w:after="0"/>
              <w:rPr>
                <w:sz w:val="18"/>
                <w:szCs w:val="18"/>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8"/>
              </w:rPr>
              <w:t>Treasury stock, at cost - 108,079 Class A shares and 109,193 Class C shares in 2021;</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6780" w:type="dxa"/>
            <w:vAlign w:val="bottom"/>
          </w:tcPr>
          <w:p>
            <w:pPr>
              <w:spacing w:after="0"/>
              <w:rPr>
                <w:sz w:val="20"/>
                <w:szCs w:val="20"/>
                <w:color w:val="auto"/>
              </w:rPr>
            </w:pPr>
            <w:r>
              <w:rPr>
                <w:rFonts w:ascii="Arial" w:cs="Arial" w:eastAsia="Arial" w:hAnsi="Arial"/>
                <w:sz w:val="18"/>
                <w:szCs w:val="18"/>
                <w:color w:val="auto"/>
              </w:rPr>
              <w:t>227,852 Class A shares and 10,985 Class C shares in 2020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(1,845,624)</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(1,833,272)</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299,766,834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263,987,053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1,547,593,306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1,548,940,478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EARNINGS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gridSpan w:val="5"/>
          </w:tcPr>
          <w:p>
            <w:pPr>
              <w:jc w:val="right"/>
              <w:ind w:right="97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Pr>
          <w:p>
            <w:pPr>
              <w:spacing w:after="0"/>
              <w:rPr>
                <w:sz w:val="19"/>
                <w:szCs w:val="19"/>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Mortgage fee income</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263,418,230</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298,933,110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100,254,573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93,020,617</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58,264,683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56,329,803</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23,997,313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20,307,435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6,265,134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1,925,850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 on investments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(370,975)</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18,535,111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11,317,482</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470,695,542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481,463,322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and expenses: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Death benefits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63,247,616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59,040,130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Surrenders and other policy benefits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3,970,839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3,801,230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Increase in future policy benefits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26,263,312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23,568,650</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deferred policy and pre-need acquisition costs and value of business</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acquired</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16,142,970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14,307,425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118,286,469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124,426,297</w:t>
            </w: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Personnel</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100,740,161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84,989,971</w:t>
            </w: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6,626,418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5,380,896</w:t>
            </w: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Rent and rent related</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7,242,287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6,873,561</w:t>
            </w: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1,935,613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2,078,738</w:t>
            </w: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Provision for loan loss reserve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16,506,030</w:t>
            </w: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related to funding mortgage loans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10,541,570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9,877,700</w:t>
            </w: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53,065,982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47,331,102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7,127,516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8,578,810</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Cost of goods and services sold – cemeteries and mortuaries</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3,704,014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3,252,655</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418,894,767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410,013,195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51,800,775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71,450,127</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(12,281,785)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(15,853,514)</w:t>
            </w: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39,518,990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Class A equivalent common share (1)</w:t>
            </w: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Class A equivalent common share - assuming dilution (1)</w:t>
            </w: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Class A equivalent common shares outstanding (1)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20,154,878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19,788,984</w:t>
            </w:r>
          </w:p>
        </w:tc>
      </w:t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Class A equivalent common shares outstanding-assuming dilution (1)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20,929,084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20,254,407</w:t>
            </w:r>
          </w:p>
        </w:tc>
      </w:tr>
    </w:tbl>
    <w:p>
      <w:pPr>
        <w:spacing w:after="0" w:line="202" w:lineRule="exact"/>
        <w:rPr>
          <w:sz w:val="20"/>
          <w:szCs w:val="20"/>
          <w:color w:val="auto"/>
        </w:rPr>
      </w:pPr>
    </w:p>
    <w:p>
      <w:pPr>
        <w:jc w:val="both"/>
        <w:ind w:left="220" w:hanging="209"/>
        <w:spacing w:after="0" w:line="263" w:lineRule="auto"/>
        <w:rPr>
          <w:sz w:val="20"/>
          <w:szCs w:val="20"/>
          <w:color w:val="auto"/>
        </w:rPr>
      </w:pPr>
      <w:r>
        <w:rPr>
          <w:rFonts w:ascii="Arial" w:cs="Arial" w:eastAsia="Arial" w:hAnsi="Arial"/>
          <w:sz w:val="18"/>
          <w:szCs w:val="18"/>
          <w:color w:val="auto"/>
        </w:rPr>
        <w:t>(1)Earnings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16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6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8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39,518,990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fixed maturity securities available for sale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(6,517,731)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12,013,692</w:t>
            </w: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Unrealized gains (losses) on restricted assets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(23,250)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41,225</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losses on cemetery perpetual care trust investments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(11,114)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(6,817)</w:t>
            </w: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09"/>
        </w:trPr>
        <w:tc>
          <w:tcPr>
            <w:tcW w:w="6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income tax</w:t>
            </w:r>
          </w:p>
        </w:tc>
        <w:tc>
          <w:tcPr>
            <w:tcW w:w="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(6,549,260)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12,048,054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1,376,575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(2,531,435)</w:t>
            </w:r>
          </w:p>
        </w:tc>
      </w:tr>
      <w:tr>
        <w:trPr>
          <w:trHeight w:val="209"/>
        </w:trPr>
        <w:tc>
          <w:tcPr>
            <w:tcW w:w="6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income tax</w:t>
            </w:r>
          </w:p>
        </w:tc>
        <w:tc>
          <w:tcPr>
            <w:tcW w:w="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(5,172,685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8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34,346,305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65,113,232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 C</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Paid-in</w:t>
            </w:r>
          </w:p>
        </w:tc>
        <w:tc>
          <w:tcPr>
            <w:tcW w:w="14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Retained</w:t>
            </w:r>
          </w:p>
        </w:tc>
        <w:tc>
          <w:tcPr>
            <w:tcW w:w="11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Earnings</w:t>
            </w:r>
          </w:p>
        </w:tc>
        <w:tc>
          <w:tcPr>
            <w:tcW w:w="11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32,215,558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5,001,774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46,091,112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13,726,514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101,256,229</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(1,580,582)</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196,710,605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55,596,613</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55,596,613</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9,516,619</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9,516,619</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358,878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358,878</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137,940</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261,640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432,572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832,152</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1,224,877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2,715,071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3,939,948</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(2,967,761)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(2,967,761)</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810,420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123,440</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2,179,814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(3,113,675)</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272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27,648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(27,648)</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33,191,566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5,359,206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50,287,253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23,243,133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153,739,167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(1,833,272)</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263,987,053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39,518,990</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39,518,990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(5,172,685)</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(5,172,685)</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118,384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118,384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320,564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209,312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547,549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1,077,425</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5,757,383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6,007,402</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(5,769,735)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(5,769,735)</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1,674,820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263,106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6,782,742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(8,720,668)</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98,494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(98,494)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35,285,444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$ 5,733,130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57,985,947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18,070,448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$ 184,537,489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(1,845,624</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$ 299,766,834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81"/>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39,518,990</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55,596,613</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Gains on investments and other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(6,265,134)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(1,925,850)</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than temporary impairments on investments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370,975</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5,540,672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5,447,363</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 and doubtful accounts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965,736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1,577,370</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Net amortization of deferred fees and costs, premiums and discounts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(1,154,604)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(1,227,773)</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deferred income taxes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11,308,436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2,854,669</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Policy and pre-need acquisition costs deferred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(19,985,257)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(18,909,921)</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Policy and pre-need acquisition costs amortized</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15,027,841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13,520,600</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Value of business acquired amortized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1,115,129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786,825</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servicing rights, additions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(32,701,819)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(29,896,465)</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14,851,880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11,841,478</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 expense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118,384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358,878</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Benefit plans funded with treasury stock</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6,007,402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3,939,948</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8,783,376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(10,413,492)</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Originations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(5,611,189,587)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(5,627,013,749)</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5,900,076,766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5,600,045,285</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Net gains on sales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(177,876,915)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(188,893,379)</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Land and improvements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441,839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758,514</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policy benefits and unpaid claims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22,104,116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25,804,740</w:t>
            </w:r>
          </w:p>
        </w:tc>
      </w:tr>
      <w:tr>
        <w:trPr>
          <w:trHeight w:val="229"/>
        </w:trPr>
        <w:tc>
          <w:tcPr>
            <w:tcW w:w="6780" w:type="dxa"/>
            <w:vAlign w:val="bottom"/>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(32,088,511)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25,750,164</w:t>
            </w:r>
          </w:p>
        </w:tc>
      </w:tr>
      <w:tr>
        <w:trPr>
          <w:trHeight w:val="210"/>
        </w:trPr>
        <w:tc>
          <w:tcPr>
            <w:tcW w:w="67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144,638,242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(129,627,207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fixed maturity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(18,857,131)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(58,493,147)</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Sales, calls and maturities of fixed maturity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48,015,753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131,269,730</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(1,950,554)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(6,991,832)</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Sales of equity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3,868,061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3,902,835</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changes in restricted assets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473,156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(1,954,437)</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changes in cemetery perpetual care trust investments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(143,379)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(2,755,856)</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(838,524,150)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(682,170,126)</w:t>
            </w:r>
          </w:p>
        </w:tc>
      </w:tr>
      <w:tr>
        <w:trPr>
          <w:trHeight w:val="202"/>
        </w:trPr>
        <w:tc>
          <w:tcPr>
            <w:tcW w:w="6780" w:type="dxa"/>
            <w:vAlign w:val="bottom"/>
          </w:tcPr>
          <w:p>
            <w:pPr>
              <w:ind w:left="180"/>
              <w:spacing w:after="0" w:line="201" w:lineRule="exact"/>
              <w:rPr>
                <w:sz w:val="20"/>
                <w:szCs w:val="20"/>
                <w:color w:val="auto"/>
              </w:rPr>
            </w:pPr>
            <w:r>
              <w:rPr>
                <w:rFonts w:ascii="Arial" w:cs="Arial" w:eastAsia="Arial" w:hAnsi="Arial"/>
                <w:sz w:val="18"/>
                <w:szCs w:val="18"/>
                <w:color w:val="auto"/>
                <w:w w:val="93"/>
              </w:rPr>
              <w:t>Payments received for mortgage loans held for investment, other investments and policy</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818,108,666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672,544,708</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(5,219,928)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(1,630,734)</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Sales of property and equipment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194,955</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real estate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(92,403,534)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(40,190,471)</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Sales of real estate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35,644,576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22,418,816</w:t>
            </w:r>
          </w:p>
        </w:tc>
      </w:tr>
      <w:tr>
        <w:trPr>
          <w:trHeight w:val="23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purchase of subsidiaries, net of cash acquired</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(12,625,142)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(63,613,606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36,144,441</w:t>
            </w:r>
          </w:p>
        </w:tc>
        <w:tc>
          <w:tcPr>
            <w:tcW w:w="100" w:type="dxa"/>
            <w:vAlign w:val="bottom"/>
          </w:tcPr>
          <w:p>
            <w:pPr>
              <w:spacing w:after="0"/>
              <w:rPr>
                <w:sz w:val="18"/>
                <w:szCs w:val="18"/>
                <w:color w:val="auto"/>
              </w:rPr>
            </w:pPr>
          </w:p>
        </w:tc>
      </w:tr>
      <w:tr>
        <w:trPr>
          <w:trHeight w:val="460"/>
        </w:trPr>
        <w:tc>
          <w:tcPr>
            <w:tcW w:w="678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81"/>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Investment contract receipts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11,481,349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11,511,118</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contract withdrawals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(15,244,629)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(18,235,107)</w:t>
            </w: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1,077,425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832,152</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(5,769,735)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(2,967,761)</w:t>
            </w: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Repayment of bank loans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(69,039,725)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(174,865,813)</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bank loans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106,995,930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164,586,365</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Net change in warehouse line borrowings for loans held for sale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(84,576,055)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90,351,225</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(55,075,440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71,212,179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1"/>
              </w:rPr>
              <w:t>Net change in cash, cash equivalents, restricted cash and restricted cash equivalents</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25,949,196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(22,270,587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cash equivalents, restricted cash and restricted cash equivalents at beginning of year</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115,465,086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137,735,673</w:t>
            </w:r>
          </w:p>
        </w:tc>
        <w:tc>
          <w:tcPr>
            <w:tcW w:w="100" w:type="dxa"/>
            <w:vAlign w:val="bottom"/>
            <w:shd w:val="clear" w:color="auto" w:fill="CCEEFF"/>
          </w:tcPr>
          <w:p>
            <w:pPr>
              <w:spacing w:after="0"/>
              <w:rPr>
                <w:sz w:val="18"/>
                <w:szCs w:val="18"/>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1"/>
              </w:rPr>
              <w:t>Cash, cash equivalents, restricted cash and restricted cash equivalents at end of year</w:t>
            </w:r>
          </w:p>
        </w:tc>
        <w:tc>
          <w:tcPr>
            <w:tcW w:w="2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141,414,282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115,465,086</w:t>
            </w:r>
          </w:p>
        </w:tc>
        <w:tc>
          <w:tcPr>
            <w:tcW w:w="100" w:type="dxa"/>
            <w:vAlign w:val="bottom"/>
            <w:tcBorders>
              <w:bottom w:val="single" w:sz="8" w:color="CCEEFF"/>
            </w:tcBorders>
          </w:tcPr>
          <w:p>
            <w:pPr>
              <w:spacing w:after="0"/>
              <w:rPr>
                <w:sz w:val="22"/>
                <w:szCs w:val="22"/>
                <w:color w:val="auto"/>
              </w:rPr>
            </w:pPr>
          </w:p>
        </w:tc>
      </w:tr>
      <w:tr>
        <w:trPr>
          <w:trHeight w:val="197"/>
        </w:trPr>
        <w:tc>
          <w:tcPr>
            <w:tcW w:w="6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Interest (net of amount capitalized)</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7,290,867</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8,385,270</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5,127,913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11,813,120</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5,216,048</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5,631,193</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real estate construction costs and retainage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4,400,320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6,365,534</w:t>
            </w: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Transfer of property and equipment to real estate held for investment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3,108,681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1,516,700</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loans held for investment foreclosed into real estate held for investment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931,079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686,124</w:t>
            </w: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201,951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16,960,549</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8,494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Note 20 regarding non cash transactions included in the acquisitions of Rivera Funerals, Cremations and Memorial Gardens and Holbrook Mortuary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consolidated statements of cash flows is presented in the table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gridSpan w:val="5"/>
          </w:tcPr>
          <w:p>
            <w:pPr>
              <w:jc w:val="right"/>
              <w:ind w:right="97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gridSpan w:val="2"/>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131,354,470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106,219,429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Restricted assets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9,000,293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8,842,744</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1,059,519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402,913</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141,414,282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115,465,086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 of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annuity products and accident and health insurance marketed primarily in the states located in western, mid-western and southern regions of the United States. The cemetery and mortuary segment of the Company consists of eleven mortuaries and five cemeteries in Utah, one cemetery in California, and four mortuaries and one cemetery in New Mexico. The mortgage segment is an approved government and conventional lender that originates and underwrites residential and commercial loans for new construction, existing homes and real estate projects primarily in Florida, Nevada, Texas, and Utah.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consolidated financial statements include the financial statements of the Company and its majority owned subsidiaries. All intercompany transactions and accounts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of the Company has made a number of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Fixed maturity securities available for sale</w:t>
      </w:r>
      <w:r>
        <w:rPr>
          <w:rFonts w:ascii="Arial" w:cs="Arial" w:eastAsia="Arial" w:hAnsi="Arial"/>
          <w:sz w:val="18"/>
          <w:szCs w:val="18"/>
          <w:color w:val="auto"/>
        </w:rPr>
        <w:t xml:space="preserve"> are carried at estimated fair value. Changes in fair values are reported as unrealized gains or losses and are recorded in accumulated other comprehensive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Equity securities</w:t>
      </w:r>
      <w:r>
        <w:rPr>
          <w:rFonts w:ascii="Arial" w:cs="Arial" w:eastAsia="Arial" w:hAnsi="Arial"/>
          <w:sz w:val="18"/>
          <w:szCs w:val="18"/>
          <w:color w:val="auto"/>
        </w:rPr>
        <w:t xml:space="preserve"> are carried at estimated fair value. Changes in fair values are reported as unrealized gains or losses and are recorded through net earnings as a component of gains on investments and other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Mortgage loans held for investment</w:t>
      </w:r>
      <w:r>
        <w:rPr>
          <w:rFonts w:ascii="Arial" w:cs="Arial" w:eastAsia="Arial" w:hAnsi="Arial"/>
          <w:sz w:val="17"/>
          <w:szCs w:val="17"/>
          <w:color w:val="auto"/>
        </w:rPr>
        <w:t xml:space="preserve"> are carried at their unpaid principal balances adjusted for net deferred fees, net discounts, charge-offs and the related allowance for loan losses. Interest income is included in net investment income on the consolidated statements of earnings and is recognized when earned. The Company defers related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Real estate held for investment</w:t>
      </w:r>
      <w:r>
        <w:rPr>
          <w:rFonts w:ascii="Arial" w:cs="Arial" w:eastAsia="Arial" w:hAnsi="Arial"/>
          <w:sz w:val="18"/>
          <w:szCs w:val="18"/>
          <w:color w:val="auto"/>
        </w:rPr>
        <w:t xml:space="preserve"> is carried at cost, less accumulated depreciation provided on a straight-line basis over the estimated useful lives of the properties, or is adjusted to a new basis for impairment in value, if any. Included are foreclosed properties which the Company intends to hold for investment purposes. These properties are recorded at the lower of cost or fair value upon foreclosure. Also, included are residential subdivision land developments which are carried at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held for sale</w:t>
      </w:r>
      <w:r>
        <w:rPr>
          <w:rFonts w:ascii="Arial" w:cs="Arial" w:eastAsia="Arial" w:hAnsi="Arial"/>
          <w:sz w:val="18"/>
          <w:szCs w:val="18"/>
          <w:color w:val="auto"/>
        </w:rPr>
        <w:t xml:space="preserve"> is carried at lower of cost or fair value. Depreciation is not recognized on real estate classified as held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 and policy loans</w:t>
      </w:r>
      <w:r>
        <w:rPr>
          <w:rFonts w:ascii="Arial" w:cs="Arial" w:eastAsia="Arial" w:hAnsi="Arial"/>
          <w:sz w:val="18"/>
          <w:szCs w:val="18"/>
          <w:color w:val="auto"/>
        </w:rPr>
        <w:t xml:space="preserve"> are carried at the aggregate unpaid balances, less allowances for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Accrued investment income</w:t>
      </w:r>
      <w:r>
        <w:rPr>
          <w:rFonts w:ascii="Arial" w:cs="Arial" w:eastAsia="Arial" w:hAnsi="Arial"/>
          <w:sz w:val="18"/>
          <w:szCs w:val="18"/>
          <w:color w:val="auto"/>
        </w:rPr>
        <w:t xml:space="preserve"> refers to earned income from investments that has not yet been received by 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Gains and losses on investments (except for equity securities carried at fair value through net earnings)</w:t>
      </w:r>
      <w:r>
        <w:rPr>
          <w:rFonts w:ascii="Arial" w:cs="Arial" w:eastAsia="Arial" w:hAnsi="Arial"/>
          <w:sz w:val="18"/>
          <w:szCs w:val="18"/>
          <w:color w:val="auto"/>
        </w:rPr>
        <w:t xml:space="preserve"> arise when investments are sold (as determined on a specific identification basis) or are other than temporarily impaired. If in management’s judgment a decline in the value of an investment below cost is other than temporary, the cost of the investment is written down to fair value with a corresponding charge to earnings. Factors considered in judging whether an impairment is other than temporary include: the financial condition, business prospects and credit worthiness of the issuer, the length of time that fair value has been less than cost, the relative amount of the decline, and the Company’s ability and intent to hold the investment until the fair value recovers, which is not assured.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 See Note 3 and Note 17 to Consolidated Financial Statements for additional disclosures regarding loans held for sale.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Fee Income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Mortgage fee income consists of origination fees, processing fees, interest income and certain other income related to the origination of mortgage loans held for sale. All revenues and costs are recognized when the mortgage loan is funded and any changes in fair value are shown as a component of mortgage fee income. See Note 3 and Note 17 to Consolidated Financial Statements for additional disclosures regarding loans held for sale.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8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deliver original documents specified by the investor,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existence of misrepresentation or fraud in the origination of the loan,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 becomes delinquent due to nonpayment during the first several months after it is sold,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Early pay-off of a loan, as defined by the agreements,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Excessive time to settle a loan,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declines purchase,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Discontinued product and expired commitment.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4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reasons for rejection,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additional documents,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Request investor exceptions,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Appeal rejection decision to purchase committee,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 to secondary investors.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purchase commitments have expired and other alternatives to remedy are exhausted, which could be earlier than the six-month time period, the loans are repurchased and transferred to the long-term investment portfolio at the lower of cost or fair value and previously recorded mortgage fee income that was to be received from a third-party investor is written off against the loan loss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for loans held for sale is equal to the amount paid to the warehouse bank and the amount originally funded by the Company. Fair value is often difficult to determine and may contain significant unobservable inputs, but is based on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loans that are committed, the Company uses the commitment price.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loans that are non-committed that have an active market, the Company uses the market price.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loans that are non-committed where there is no market but there is a similar product, the Company uses the market value for the similar product.</w:t>
      </w:r>
    </w:p>
    <w:p>
      <w:pPr>
        <w:jc w:val="both"/>
        <w:ind w:left="980" w:hanging="324"/>
        <w:spacing w:after="0" w:line="323"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the loan interest rate.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loans originated are sold to third-party investors. The amounts expected to be sold to investors are shown on the consolidated balance sheets as loans held for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Reserve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loan loss reserve is an estimate of probable losses at the balance sheet date that the Company will realize in the future on loans sold.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completion of a transfer that satisfies the conditions to be accounted for as a sale, the Company initially measures at fair value liabilities incurred in a sale relating to any guarantee or recourse provisions.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Make whole demand </w:t>
      </w:r>
      <w:r>
        <w:rPr>
          <w:rFonts w:ascii="Arial" w:cs="Arial" w:eastAsia="Arial" w:hAnsi="Arial"/>
          <w:sz w:val="18"/>
          <w:szCs w:val="18"/>
          <w:color w:val="auto"/>
        </w:rPr>
        <w:t>— A make whole demand occurs when an investor forecloses on a property and then sells the property. The make whole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is calculated as the difference between the original unpaid principal balance, payments received, accrued interest and fees, less the sale proceeds.</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Repurchase demand </w:t>
      </w:r>
      <w:r>
        <w:rPr>
          <w:rFonts w:ascii="Arial" w:cs="Arial" w:eastAsia="Arial" w:hAnsi="Arial"/>
          <w:sz w:val="18"/>
          <w:szCs w:val="18"/>
          <w:color w:val="auto"/>
        </w:rPr>
        <w:t>— A repurchase demand usually occurs when there is a significant payment default, error in underwriting or detected loan</w:t>
      </w:r>
      <w:r>
        <w:rPr>
          <w:rFonts w:ascii="Arial" w:cs="Arial" w:eastAsia="Arial" w:hAnsi="Arial"/>
          <w:sz w:val="18"/>
          <w:szCs w:val="18"/>
          <w:i w:val="1"/>
          <w:iCs w:val="1"/>
          <w:color w:val="auto"/>
        </w:rPr>
        <w:t xml:space="preserve"> </w:t>
      </w:r>
      <w:r>
        <w:rPr>
          <w:rFonts w:ascii="Arial" w:cs="Arial" w:eastAsia="Arial" w:hAnsi="Arial"/>
          <w:sz w:val="18"/>
          <w:szCs w:val="18"/>
          <w:color w:val="auto"/>
        </w:rPr>
        <w:t>fraud.</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Indemnification demand </w:t>
      </w:r>
      <w:r>
        <w:rPr>
          <w:rFonts w:ascii="Arial" w:cs="Arial" w:eastAsia="Arial" w:hAnsi="Arial"/>
          <w:sz w:val="18"/>
          <w:szCs w:val="18"/>
          <w:color w:val="auto"/>
        </w:rPr>
        <w:t>— On certain loans the Company has negotiated a set fee that is to be paid in lieu of repurchase. The fee varies by</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and by loan product type.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the allowance for loan losses and the loan loss reserve represent probable loan losses incurred as of the balance sheet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the Loan Loss Reserve is included in Note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Restricted assets are assets held in a trust account for future mortuary services and merchandise and consist of cash and cash equivalents; participations in mortgage loans held for investment with Security National Life Insurance Company (“Security National Life”); mutual funds carried at estimated fair value; equity securities carried at estimated fair value; and a surplus note with Security National Life (which is eliminated in consolidation). Restricted assets also include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Perpetual Care Trust Investments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Cemetery endowment care trusts have been set up for five of the seven cemeteries owned by the Company. Under endowment care arrangements a portion of the price for each lot sold is withheld and invested in a portfolio of investments similar to those described in the prior paragraph. The earnings stream from the investments is designed to fund future maintenance and upkeep of the cemetery.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Land and Improvements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 and Value of Business Acquired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written-off. Modifications that result in a contract that is substantially unchanged from the replaced contract are accounted for as a continuation of the replaced contract.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of business acquired (“VOBA”) is the present value of estimated future profits of the acquired business and is amortized similar to deferred policy acquisition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right="7560" w:firstLine="8"/>
        <w:spacing w:after="0" w:line="563" w:lineRule="auto"/>
        <w:tabs>
          <w:tab w:leader="none" w:pos="19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Premium Deficiency and Loss Recognition Testing</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 tax net investment earned 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Mortgage Servicing Rights (“MSR”) arise from contractual agreements between the Company and third-party investors (or their agents) when mortgage loans are sold. Under these contracts, the Company is obligated to retain and provide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0.250%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subsequent accounting for MSRs is based on the class of MSRs. The Company has identified two classes of MSRs: MSRs backed by mortgage loans with initial term of 30 years and MSRs backed by mortgage loans with initial term of 15 years. The Company distinguishes between these classes of MSRs due to their differing sensitivities to change in value as the result of changes in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No impairment of long-lived assets has been recognized in the accompanying financial statements except for certain impairments of real estate held for investment as disclosed in Note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Mortgage Banking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 Commitments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Call and Put Option Derivatives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 and Loan Losses and Impaired Loans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an allowance and recognizes an expense for potential losses from mortgage loans held for investment, other investments and receivables in accordance with GAAP.</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As a practical expedient, upon determining impairment, the Company establishes an individual impairment allowance based upon an assessment of the fair value of the underlying collateral. See the schedules in Note 2 for additional information.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and second mortgages on the unit. The borrower’s ability to repay is sensitive to the life events and general economic condition of the region. Where loan to values exceed 80%, the loan is generally guaranteed by private mortgage insurance, FHA or VA.</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Policy Benefits and Unpaid Claims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Future policy benefit reserves for traditional life insurance are computed using a net level method, including assumptions as to investment yields, mortality, morbidity, withdrawals, and other assumptions based on the life insurance subsidiaries’ experience, modified as necessary to give effect to anticipated trends and to include provisions for possible unfavorable deviations. Such liabilities are, for some plans, graded to equal statutory values or cash values at or prior to maturity, which are deemed a reasonable equivalent for GAAP.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3% to 6.5%.</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Insurance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Participating business constituted 2% of insurance in force for the years ended 2021 and 2020. The provision for policyholders’ dividends included in policyholder obligations is based on dividend scales anticipated by management. Amounts to be paid are determined by the Board of Directors.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Insurance Premiums and Other Considerations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Premiums and other consideration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recognized when earned and consist of amounts assessed against policyholder account balances during the period for policy administration charges and surrender charges.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follows the procedure of reinsuring risks in excess of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Pre-need Sales and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Pre-need contract sales of funeral services and caskets</w:t>
      </w:r>
      <w:r>
        <w:rPr>
          <w:rFonts w:ascii="Arial" w:cs="Arial" w:eastAsia="Arial" w:hAnsi="Arial"/>
          <w:sz w:val="18"/>
          <w:szCs w:val="18"/>
          <w:color w:val="auto"/>
        </w:rPr>
        <w:t xml:space="preserve"> - revenue and costs associated with the sales of pre-need funeral services and caskets are deferred until the performance obligations are fulfilled (services are performed or the caskets are delivered).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Sales of cemetery interment rights (cemetery burial property)</w:t>
      </w:r>
      <w:r>
        <w:rPr>
          <w:rFonts w:ascii="Arial" w:cs="Arial" w:eastAsia="Arial" w:hAnsi="Arial"/>
          <w:sz w:val="18"/>
          <w:szCs w:val="18"/>
          <w:color w:val="auto"/>
        </w:rPr>
        <w:t xml:space="preserve"> - revenue and costs associated with the sale of cemetery interment rights are deferred until 10% of the sales price has been collected.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Pre-need contract sales of cemetery merchandise (primarily markers and vaults)</w:t>
      </w:r>
      <w:r>
        <w:rPr>
          <w:rFonts w:ascii="Arial" w:cs="Arial" w:eastAsia="Arial" w:hAnsi="Arial"/>
          <w:sz w:val="18"/>
          <w:szCs w:val="18"/>
          <w:color w:val="auto"/>
        </w:rPr>
        <w:t xml:space="preserve"> - revenue and costs associated with the sale of pre-need cemetery merchandise is deferred until the merchandise is delivered to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Pre-need contract sales of cemetery services (primarily merchandise delivery, installation fees and burial opening and closing fees)</w:t>
      </w:r>
      <w:r>
        <w:rPr>
          <w:rFonts w:ascii="Arial" w:cs="Arial" w:eastAsia="Arial" w:hAnsi="Arial"/>
          <w:sz w:val="18"/>
          <w:szCs w:val="18"/>
          <w:color w:val="auto"/>
        </w:rPr>
        <w:t xml:space="preserve"> - revenue and costs associated with the sales of pre-need cemetery services are deferred until the services are performed.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Prearranged funeral and pre-need cemetery customer acquisition costs</w:t>
      </w:r>
      <w:r>
        <w:rPr>
          <w:rFonts w:ascii="Arial" w:cs="Arial" w:eastAsia="Arial" w:hAnsi="Arial"/>
          <w:sz w:val="18"/>
          <w:szCs w:val="18"/>
          <w:color w:val="auto"/>
        </w:rPr>
        <w:t xml:space="preserve"> - costs incurred related to obtaining new pre-need contract cemetery and prearranged funeral services, which include only costs that vary with and are primarily related to the acquisition of new pre-need cemetery and prearranged funeral services, are deferred until the merchandise is delivered or services are performed.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and costs for at-need sales are recorded when a valid contract exists, the services are performed, collection is reasonably assured and there are no significant performance obligations remaining.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 No impairment of goodwill has been recognized in the accompanying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engages a third-party valuation firm to analyze the value of the intangible assets that result from significant acquisitions. The value of the intangible assets that result from these acquisitions are included in Other Assets and are determined using the income approach, relying on a relief from the royalty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are established for uncertain tax positions expected to be taken in income tax returns when such positions are judged to meet the “more-likely-than-not” threshold based on the technical merits of the positions. Estimated interest and penalties related to uncertain tax penalties are included as a component of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computes earnings per share which requires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Basic and diluted earnings per share amounts have been adjusted retroactively for the effect of annual stock dividends.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concentration risk regarding available for sale debt securities, mortgage loans held for investment and real estate held for investment, refer to Note 2 of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advertising costs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2016-13: “Financial Instruments – Credit Losses (Topic 326)”</w:t>
      </w:r>
      <w:r>
        <w:rPr>
          <w:rFonts w:ascii="Arial" w:cs="Arial" w:eastAsia="Arial" w:hAnsi="Arial"/>
          <w:sz w:val="17"/>
          <w:szCs w:val="17"/>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ASU No. 2018-12: “Financial Services – Insurance (Topic 944): Targeted Improvements to the Accounting for Long-Duration Contracts”</w:t>
      </w:r>
      <w:r>
        <w:rPr>
          <w:rFonts w:ascii="Arial" w:cs="Arial" w:eastAsia="Arial" w:hAnsi="Arial"/>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2021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Gross Unrealized</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Estimated Fair</w:t>
            </w:r>
          </w:p>
        </w:tc>
      </w:tr>
      <w:tr>
        <w:trPr>
          <w:trHeight w:val="230"/>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Gains</w:t>
            </w:r>
          </w:p>
        </w:tc>
        <w:tc>
          <w:tcPr>
            <w:tcW w:w="2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December 31, 2021:</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22,307,736</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578,567</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22,886,303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212,803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4,860,731</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174,711,061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21,791,370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196,148,763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34,365,382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905,159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35,109,209</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13,383</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282,597</w:t>
            </w: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236,303,310</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23,501,282</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(516,989)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259,287,603</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8,275,772</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3,626,444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(305,802)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11,596,414</w:t>
            </w: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8,275,772</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3,626,444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(305,802)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11,596,414</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53,533,712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175,117,783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51,683,022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(918,586)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Less: Allowance for loan losses</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(1,699,902)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Less: Net discounts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277,306,046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41,972,462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155,393,335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197,365,797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1,190,602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2,540,698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3,731,300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Policy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13,478,214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48,632,808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Federal Home Loan Bank stock (1)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2,547,100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(1,686,218)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policy loans and other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67,955,155</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6,313,012</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823,555,327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92" w:right="339" w:bottom="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(1)Includes $905,700 of Membership stock and $1,641,400 of Activity stock due to short-term advances and letters of credit.</w:t>
      </w:r>
    </w:p>
    <w:p>
      <w:pPr>
        <w:sectPr>
          <w:pgSz w:w="11900" w:h="16838" w:orient="portrait"/>
          <w:cols w:equalWidth="0" w:num="1">
            <w:col w:w="10139"/>
          </w:cols>
          <w:pgMar w:left="320" w:top="341"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57" w:name="page58"/>
    <w:bookmarkEnd w:id="57"/>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2020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Gross Unrealized</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Estimated Fair</w:t>
            </w:r>
          </w:p>
        </w:tc>
      </w:tr>
      <w:tr>
        <w:trPr>
          <w:trHeight w:val="230"/>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Gains</w:t>
            </w:r>
          </w:p>
        </w:tc>
        <w:tc>
          <w:tcPr>
            <w:tcW w:w="2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December 31, 2020:</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42,381,805</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1,358,562</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43,740,367</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5,383,762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312,214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5,694,715</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186,067,912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27,216,496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212,602,930</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31,047,791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1,565,377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32,346,062</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269,214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272,605</w:t>
            </w: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265,150,484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30,456,040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(949,845)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294,656,679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9,698,490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2,376,156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(750,407)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9,698,490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2,376,156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(750,407)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95,822,448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111,111,777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46,836,866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(1,161,132)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Less: Allowance for loan losses</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(2,005,127)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Less: Net discounts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(1,260,896)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249,343,936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24,843,743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106,840,710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131,684,453</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3,478,254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4,400,553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7,878,807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Policy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14,171,589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53,231,131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Federal Home Loan Bank stock (1)</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2,506,600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5,432,816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(1,645,475)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gridSpan w:val="2"/>
          </w:tcPr>
          <w:p>
            <w:pPr>
              <w:spacing w:after="0"/>
              <w:rPr>
                <w:sz w:val="20"/>
                <w:szCs w:val="20"/>
                <w:color w:val="auto"/>
              </w:rPr>
            </w:pPr>
            <w:r>
              <w:rPr>
                <w:rFonts w:ascii="Arial" w:cs="Arial" w:eastAsia="Arial" w:hAnsi="Arial"/>
                <w:sz w:val="18"/>
                <w:szCs w:val="18"/>
                <w:color w:val="auto"/>
              </w:rPr>
              <w:t>Total policy loans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73,696,661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5,360,523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773,945,298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905" w:orient="portrait"/>
          <w:cols w:equalWidth="0" w:num="1">
            <w:col w:w="11240"/>
          </w:cols>
          <w:pgMar w:left="320" w:top="908" w:right="339" w:bottom="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3208655</wp:posOffset>
            </wp:positionH>
            <wp:positionV relativeFrom="page">
              <wp:posOffset>88900</wp:posOffset>
            </wp:positionV>
            <wp:extent cx="8655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106045</wp:posOffset>
            </wp:positionV>
            <wp:extent cx="8655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8255"/>
                    </a:xfrm>
                    <a:prstGeom prst="rect">
                      <a:avLst/>
                    </a:prstGeom>
                    <a:noFill/>
                  </pic:spPr>
                </pic:pic>
              </a:graphicData>
            </a:graphic>
          </wp:anchor>
        </w:drawing>
        <w:t>(1)Includes $866,900 of Membership stock and $1,639,700 of Activity stock due to short-term advances and letters of credit.</w:t>
      </w:r>
    </w:p>
    <w:p>
      <w:pPr>
        <w:sectPr>
          <w:pgSz w:w="11900" w:h="16838" w:orient="portrait"/>
          <w:cols w:equalWidth="0" w:num="1">
            <w:col w:w="10139"/>
          </w:cols>
          <w:pgMar w:left="320" w:top="382"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summarize unrealized losses on fixed maturities securities that were carried at estimated fair value at December 31, 2021 and at December 31, 2020. The unrealized losses were primarily related to interest rate fluctuations and uncertainties relating to COVID-19. The tables set forth unrealized losses by duration with the fair value of the related fixed maturity securities: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Losses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Losses for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Less than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More than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Twelve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Twelve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Months</w:t>
            </w: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Months</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Loss</w:t>
            </w: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Fair Value</w:t>
            </w:r>
          </w:p>
        </w:tc>
      </w:tr>
      <w:tr>
        <w:trPr>
          <w:trHeight w:val="169"/>
        </w:trPr>
        <w:tc>
          <w:tcPr>
            <w:tcW w:w="448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At December 31, 2021</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548,715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548,715</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73,507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4,638,750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280,161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3,771,813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353,668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8,410,563</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Mortgage and other asset-backed securities</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72,952</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7,934,760</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88,380</w:t>
            </w: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1,582,804</w:t>
            </w:r>
          </w:p>
        </w:tc>
        <w:tc>
          <w:tcPr>
            <w:tcW w:w="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161,332</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9,517,564</w:t>
            </w:r>
          </w:p>
        </w:tc>
      </w:tr>
      <w:tr>
        <w:trPr>
          <w:trHeight w:val="223"/>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13,122,225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5,354,617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516,989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18,476,842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4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At December 31, 2020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206,812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206,812</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242,596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9,919,298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438,882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2,593,026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681,478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12,512,324</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Mortgage and other asset-backed securities</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266,522</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3,455,574</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51,961</w:t>
            </w:r>
          </w:p>
        </w:tc>
        <w:tc>
          <w:tcPr>
            <w:tcW w:w="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267,106</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3,507,535</w:t>
            </w:r>
          </w:p>
        </w:tc>
      </w:tr>
      <w:tr>
        <w:trPr>
          <w:trHeight w:val="223"/>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510,379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13,581,684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2,644,987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949,845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16,226,671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55 securities with fair value of 97.3% of amortized cost at December 31, 2021. There were 63 securities with fair value of 94.7% of amortized cost at December 31, 2020. Credit losses of $39,502 and $370,975 have been recognized for the years ended December 31, 2021 and 2020, respectively.</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 quarterly basis, the Company evaluates its fixed maturity securities classified as available for sale. This evaluation includes a review of current ratings by the National Association of Insurance Commissions (“NAIC”). Securities with a rating of 1 or 2 are considered investment grade and are not reviewed for impairment, unless current market or recent company news could lead to a credit downgrade.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rollforward of the Company’s cumulative other than temporary credit impairments (“OTTI”) recognized in earnings on fixed maturity securities available for sale.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of credit-related OTTI at January 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370,975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credit impairments recognized 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Securities not previously impaired</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39,502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370,975</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previously impaired</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credit impairments previously recognized 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Securities that matured or were sold during the period (realized)</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(145,500)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due to an increase in expected cash flows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of credit-related OTTI at December 31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264,977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370,975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amortized cost and estimated fair value of fixed maturity securities available for sale at December 31, 2021, by contractual maturity. Expected maturities may differ from contractual maturities because certain borrowers may have the right to call or prepay obligations with or without call or prepayment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 Fair</w:t>
            </w:r>
          </w:p>
        </w:tc>
      </w:tr>
      <w:tr>
        <w:trPr>
          <w:trHeight w:val="230"/>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1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Due in 2-5 years</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62,958,696</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65,605,915</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70,740,783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77,346,448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67,900,269</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80,873,410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34,365,382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35,109,209</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269,214</w:t>
            </w: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282,597</w:t>
            </w:r>
          </w:p>
        </w:tc>
      </w:tr>
      <w:tr>
        <w:trPr>
          <w:trHeight w:val="223"/>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236,303,310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259,287,603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member of the Federal Home Loan Bank of Des Moines and Dallas (“FHLB”). The Company pledged a total of $28,993,126, at estimated fair value, of fixed maturity securities with the FHLB at December 31, 2021. These securities are used as collateral on any cash borrowings from the FHLB. As of December 31, 2021, the Company owed $-0- to the FHLB and its estimated maximum borrowing capacity was $27,054,347.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presents the net realized gains and losses from sales, calls, and maturities, unrealized gains and losses on equity securities, and other than temporary impairments from investments and other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6"/>
          </w:tcPr>
          <w:p>
            <w:pPr>
              <w:jc w:val="right"/>
              <w:ind w:right="560"/>
              <w:spacing w:after="0"/>
              <w:rPr>
                <w:sz w:val="20"/>
                <w:szCs w:val="20"/>
                <w:color w:val="auto"/>
              </w:rPr>
            </w:pPr>
            <w:r>
              <w:rPr>
                <w:rFonts w:ascii="Arial" w:cs="Arial" w:eastAsia="Arial" w:hAnsi="Arial"/>
                <w:sz w:val="18"/>
                <w:szCs w:val="18"/>
                <w:color w:val="auto"/>
                <w:w w:val="96"/>
              </w:rPr>
              <w:t>Years Ended December 31</w:t>
            </w:r>
          </w:p>
        </w:tc>
      </w:tr>
      <w:tr>
        <w:trPr>
          <w:trHeight w:val="223"/>
        </w:trPr>
        <w:tc>
          <w:tcPr>
            <w:tcW w:w="46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984,740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445,749</w:t>
            </w: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(77,546)</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Other than temporary impairments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(39,502)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(370,975)</w:t>
            </w:r>
          </w:p>
        </w:tc>
      </w:tr>
      <w:tr>
        <w:trPr>
          <w:trHeight w:val="216"/>
        </w:trPr>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securities sold</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390,597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74,836</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w w:val="94"/>
              </w:rPr>
              <w:t>Unrealized gains on securities held at the end of the period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2,732,130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1,125,304</w:t>
            </w:r>
          </w:p>
        </w:tc>
      </w:tr>
      <w:tr>
        <w:trPr>
          <w:trHeight w:val="216"/>
        </w:trPr>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4,786,535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2,342,418</w:t>
            </w: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(2,489,140)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(1,984,911)</w:t>
            </w:r>
          </w:p>
        </w:tc>
      </w:tr>
      <w:tr>
        <w:trPr>
          <w:trHeight w:val="223"/>
        </w:trPr>
        <w:tc>
          <w:tcPr>
            <w:tcW w:w="4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6,225,632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1,554,875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4"/>
          </w:tcPr>
          <w:p>
            <w:pPr>
              <w:jc w:val="right"/>
              <w:ind w:right="270"/>
              <w:spacing w:after="0"/>
              <w:rPr>
                <w:sz w:val="20"/>
                <w:szCs w:val="20"/>
                <w:color w:val="auto"/>
              </w:rPr>
            </w:pPr>
            <w:r>
              <w:rPr>
                <w:rFonts w:ascii="Arial" w:cs="Arial" w:eastAsia="Arial" w:hAnsi="Arial"/>
                <w:sz w:val="18"/>
                <w:szCs w:val="18"/>
                <w:color w:val="auto"/>
                <w:w w:val="92"/>
              </w:rPr>
              <w:t>Years Ended December 31</w:t>
            </w:r>
          </w:p>
        </w:tc>
        <w:tc>
          <w:tcPr>
            <w:tcW w:w="450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4500" w:type="dxa"/>
            <w:vAlign w:val="bottom"/>
          </w:tcPr>
          <w:p>
            <w:pPr>
              <w:spacing w:after="0"/>
              <w:rPr>
                <w:sz w:val="19"/>
                <w:szCs w:val="19"/>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5,477,438</w:t>
            </w:r>
          </w:p>
        </w:tc>
        <w:tc>
          <w:tcPr>
            <w:tcW w:w="450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208,698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358,236</w:t>
            </w:r>
          </w:p>
        </w:tc>
        <w:tc>
          <w:tcPr>
            <w:tcW w:w="45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(4,046)</w:t>
            </w: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4500" w:type="dxa"/>
            <w:vAlign w:val="bottom"/>
          </w:tcPr>
          <w:p>
            <w:pPr>
              <w:spacing w:after="0"/>
              <w:rPr>
                <w:sz w:val="18"/>
                <w:szCs w:val="18"/>
                <w:color w:val="auto"/>
              </w:rPr>
            </w:pPr>
          </w:p>
        </w:tc>
      </w:tr>
      <w:tr>
        <w:trPr>
          <w:trHeight w:val="439"/>
        </w:trPr>
        <w:tc>
          <w:tcPr>
            <w:tcW w:w="4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57</w:t>
            </w:r>
          </w:p>
        </w:tc>
        <w:tc>
          <w:tcPr>
            <w:tcW w:w="9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Arial" w:cs="Arial" w:eastAsia="Arial" w:hAnsi="Arial"/>
                <w:sz w:val="18"/>
                <w:szCs w:val="18"/>
                <w:color w:val="auto"/>
              </w:rPr>
              <w:t>2) Investments (Continued)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600" w:type="dxa"/>
            <w:vAlign w:val="bottom"/>
            <w:gridSpan w:val="3"/>
          </w:tcPr>
          <w:p>
            <w:pPr>
              <w:spacing w:after="0"/>
              <w:rPr>
                <w:sz w:val="20"/>
                <w:szCs w:val="20"/>
                <w:color w:val="auto"/>
              </w:rPr>
            </w:pPr>
            <w:r>
              <w:rPr>
                <w:rFonts w:ascii="Arial" w:cs="Arial" w:eastAsia="Arial" w:hAnsi="Arial"/>
                <w:sz w:val="18"/>
                <w:szCs w:val="18"/>
                <w:color w:val="auto"/>
                <w:w w:val="97"/>
              </w:rPr>
              <w:t>Major categories of net investment income were as follows: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jc w:val="right"/>
              <w:ind w:right="560"/>
              <w:spacing w:after="0"/>
              <w:rPr>
                <w:sz w:val="20"/>
                <w:szCs w:val="20"/>
                <w:color w:val="auto"/>
              </w:rPr>
            </w:pPr>
            <w:r>
              <w:rPr>
                <w:rFonts w:ascii="Arial" w:cs="Arial" w:eastAsia="Arial" w:hAnsi="Arial"/>
                <w:sz w:val="18"/>
                <w:szCs w:val="18"/>
                <w:color w:val="auto"/>
                <w:w w:val="97"/>
              </w:rPr>
              <w:t>Years Ended December 31</w:t>
            </w:r>
          </w:p>
        </w:tc>
      </w:tr>
      <w:tr>
        <w:trPr>
          <w:trHeight w:val="223"/>
        </w:trPr>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09"/>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12,233,394</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446,337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642,433</w:t>
            </w: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28,758,614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25,672,746</w:t>
            </w: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Real estate held for investment and sale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12,334,989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11,945,401</w:t>
            </w: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940,890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1,025,179</w:t>
            </w: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Insurance assignments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19,062,052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17,837,578</w:t>
            </w: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126,013</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235,470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426,623</w:t>
            </w:r>
          </w:p>
        </w:tc>
      </w:tr>
      <w:tr>
        <w:trPr>
          <w:trHeight w:val="209"/>
        </w:trPr>
        <w:tc>
          <w:tcPr>
            <w:tcW w:w="46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72,679,476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69,909,367</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4600" w:type="dxa"/>
            <w:vAlign w:val="bottom"/>
            <w:gridSpan w:val="3"/>
          </w:tcPr>
          <w:p>
            <w:pPr>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(14,414,793)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(13,579,564)</w:t>
            </w:r>
          </w:p>
        </w:tc>
      </w:tr>
      <w:tr>
        <w:trPr>
          <w:trHeight w:val="223"/>
        </w:trPr>
        <w:tc>
          <w:tcPr>
            <w:tcW w:w="4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58,264,683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56,329,803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investment income includes income earned by the restricted assets of the cemeteries and mortuaries of $1,472,295 and $676,313 for the years ended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Securities on deposit for regulatory authorities as required by law amounted to $101,681,853 and $9,684,409 at December 31,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securities are included in various assets under investments on the accompanying consolidated balance sheets.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investments, aggregated by issuer, in excess of 10% of shareholders’ equity (before net unrealized gains and losses) at December 31, 2021, other than investments issued or guaranteed by the United States Government.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 and Held for Sale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strategically deploys resources into real estate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third-party property managers when the geographic boundary does not warrant full-time staff or through strategic lease-up periods. The Company generally looks to acquire assets in regions that are high growth regions for employment and population and assets that provide operational efficiencies.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owns and operates 11 commercial properties in 5 states. These properties include office buildings, flex office space, and includes the redevelopment and expansion of its corporate campus (“Center53”) in Salt Lake City, Utah. The Company does use debt in strategic cases to leverage established yields or to acquire a higher quality or different class of asset.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aggregated net ending balance of commercial real estate that serves as collateral for bank loans was $134,251,205 and $71,517,902 as of December 31, 2021 and 2020, respectively. The associated bank loan carrying values totaled $85,663,148 and $46,153,283 as of December 31, 2021 and 2020, respectively.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years ended December 31, 2021 and 2020, the Company recorded impairment losses on commercial real estate held for sale of $2,028,378 and $897,980, respectively. These impairment losses relate to a funeral home and an office building held by the life insurance segment. The funeral home was subsequently sold. Impairment losses are included in gains (losses) on investments and other assets on the consolidated statements of earnings.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investment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Net Ending Balance</w:t>
            </w:r>
          </w:p>
        </w:tc>
        <w:tc>
          <w:tcPr>
            <w:tcW w:w="192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Total Square Footage</w:t>
            </w:r>
          </w:p>
        </w:tc>
      </w:tr>
      <w:tr>
        <w:trPr>
          <w:trHeight w:val="230"/>
        </w:trPr>
        <w:tc>
          <w:tcPr>
            <w:tcW w:w="2460" w:type="dxa"/>
            <w:vAlign w:val="bottom"/>
          </w:tcPr>
          <w:p>
            <w:pPr>
              <w:spacing w:after="0"/>
              <w:rPr>
                <w:sz w:val="20"/>
                <w:szCs w:val="20"/>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December 31</w:t>
            </w:r>
          </w:p>
        </w:tc>
        <w:tc>
          <w:tcPr>
            <w:tcW w:w="192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December 31</w:t>
            </w:r>
          </w:p>
        </w:tc>
      </w:tr>
      <w:tr>
        <w:trPr>
          <w:trHeight w:val="223"/>
        </w:trPr>
        <w:tc>
          <w:tcPr>
            <w:tcW w:w="246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9"/>
                <w:szCs w:val="19"/>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 (1)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$150,105,948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$100,927,528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675,920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Louisiana</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2,426,612</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2,998,684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31,778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84,841</w:t>
            </w: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2,860,775</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2,914,498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19,694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21,521</w:t>
            </w:r>
          </w:p>
        </w:tc>
      </w:tr>
      <w:tr>
        <w:trPr>
          <w:trHeight w:val="210"/>
        </w:trPr>
        <w:tc>
          <w:tcPr>
            <w:tcW w:w="2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4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155,393,335</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106,840,710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727,392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485,428</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(1)Includes Center53 phase 1 and phase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Net Ending Balance</w:t>
            </w:r>
          </w:p>
        </w:tc>
        <w:tc>
          <w:tcPr>
            <w:tcW w:w="1920" w:type="dxa"/>
            <w:vAlign w:val="bottom"/>
            <w:gridSpan w:val="5"/>
          </w:tcPr>
          <w:p>
            <w:pPr>
              <w:jc w:val="center"/>
              <w:ind w:right="60"/>
              <w:spacing w:after="0"/>
              <w:rPr>
                <w:sz w:val="20"/>
                <w:szCs w:val="20"/>
                <w:color w:val="auto"/>
              </w:rPr>
            </w:pPr>
            <w:r>
              <w:rPr>
                <w:rFonts w:ascii="Arial" w:cs="Arial" w:eastAsia="Arial" w:hAnsi="Arial"/>
                <w:sz w:val="18"/>
                <w:szCs w:val="18"/>
                <w:color w:val="auto"/>
                <w:w w:val="88"/>
              </w:rPr>
              <w:t>Total Square Footage</w:t>
            </w:r>
          </w:p>
        </w:tc>
      </w:tr>
      <w:tr>
        <w:trPr>
          <w:trHeight w:val="230"/>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6"/>
          </w:tcPr>
          <w:p>
            <w:pPr>
              <w:jc w:val="center"/>
              <w:ind w:right="340"/>
              <w:spacing w:after="0"/>
              <w:rPr>
                <w:sz w:val="20"/>
                <w:szCs w:val="20"/>
                <w:color w:val="auto"/>
              </w:rPr>
            </w:pPr>
            <w:r>
              <w:rPr>
                <w:rFonts w:ascii="Arial" w:cs="Arial" w:eastAsia="Arial" w:hAnsi="Arial"/>
                <w:sz w:val="18"/>
                <w:szCs w:val="18"/>
                <w:color w:val="auto"/>
                <w:w w:val="88"/>
              </w:rPr>
              <w:t>December 31</w:t>
            </w:r>
          </w:p>
        </w:tc>
        <w:tc>
          <w:tcPr>
            <w:tcW w:w="1920" w:type="dxa"/>
            <w:vAlign w:val="bottom"/>
            <w:gridSpan w:val="5"/>
          </w:tcPr>
          <w:p>
            <w:pPr>
              <w:jc w:val="center"/>
              <w:ind w:right="40"/>
              <w:spacing w:after="0"/>
              <w:rPr>
                <w:sz w:val="20"/>
                <w:szCs w:val="20"/>
                <w:color w:val="auto"/>
              </w:rPr>
            </w:pPr>
            <w:r>
              <w:rPr>
                <w:rFonts w:ascii="Arial" w:cs="Arial" w:eastAsia="Arial" w:hAnsi="Arial"/>
                <w:sz w:val="18"/>
                <w:szCs w:val="18"/>
                <w:color w:val="auto"/>
                <w:w w:val="88"/>
              </w:rPr>
              <w:t>December 31</w:t>
            </w:r>
          </w:p>
        </w:tc>
      </w:tr>
      <w:tr>
        <w:trPr>
          <w:trHeight w:val="223"/>
        </w:trPr>
        <w:tc>
          <w:tcPr>
            <w:tcW w:w="25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Kansas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4,000,000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Louisiana</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389,145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2,872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Mississippi (1)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151,553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12,300</w:t>
            </w:r>
          </w:p>
        </w:tc>
        <w:tc>
          <w:tcPr>
            <w:tcW w:w="20" w:type="dxa"/>
            <w:vAlign w:val="bottom"/>
            <w:shd w:val="clear" w:color="auto" w:fill="CCEEFF"/>
          </w:tcPr>
          <w:p>
            <w:pPr>
              <w:spacing w:after="0"/>
              <w:rPr>
                <w:sz w:val="18"/>
                <w:szCs w:val="18"/>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Texas (2)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249,000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0"/>
        </w:trPr>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43"/>
        </w:trPr>
        <w:tc>
          <w:tcPr>
            <w:tcW w:w="25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2,540,698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4,400,553</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225,551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234,979</w:t>
            </w:r>
          </w:p>
        </w:tc>
        <w:tc>
          <w:tcPr>
            <w:tcW w:w="20" w:type="dxa"/>
            <w:vAlign w:val="bottom"/>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(1)Approximately 93 acres of undeveloped land, in 2021, the existing building was removed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(2)Improved commercial pad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 and Held for Sale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4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years ended December 31, 2021 and 2020, the Company recorded impairment losses on residential real estate held for sale of $-0- and $43,394, respectively. These impairment losses are included in gains (losses) on investments and other assets on the consolidated statements of earnings.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or sale is $1,190,602 and $4,327,079 as of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investment is summarized as follows:</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Net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1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14141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 w:lineRule="exact"/>
        <w:rPr>
          <w:sz w:val="20"/>
          <w:szCs w:val="20"/>
          <w:color w:val="auto"/>
        </w:rPr>
      </w:pPr>
    </w:p>
    <w:p>
      <w:pPr>
        <w:ind w:left="4800"/>
        <w:spacing w:after="0"/>
        <w:tabs>
          <w:tab w:leader="none" w:pos="59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r>
      <w:tr>
        <w:trPr>
          <w:trHeight w:val="192"/>
        </w:trPr>
        <w:tc>
          <w:tcPr>
            <w:tcW w:w="446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Utah (1)</w:t>
            </w: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w w:val="93"/>
              </w:rPr>
              <w:t>41,686,281</w:t>
            </w:r>
          </w:p>
        </w:tc>
        <w:tc>
          <w:tcPr>
            <w:tcW w:w="24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5"/>
              </w:rPr>
              <w:t>24,557,562</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Washington (2)</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286,181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286,181</w:t>
            </w:r>
          </w:p>
        </w:tc>
      </w:tr>
      <w:tr>
        <w:trPr>
          <w:trHeight w:val="223"/>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41,972,462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24,843,743</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(1)Including subdivision land developments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(2)Improved residential lots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the Company’s subdivision land developments in Utah.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2020</w:t>
            </w:r>
          </w:p>
        </w:tc>
        <w:tc>
          <w:tcPr>
            <w:tcW w:w="3380" w:type="dxa"/>
            <w:vAlign w:val="bottom"/>
          </w:tcPr>
          <w:p>
            <w:pPr>
              <w:spacing w:after="0"/>
              <w:rPr>
                <w:sz w:val="19"/>
                <w:szCs w:val="19"/>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Lots available for sale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3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Lots to be developed</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33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41,479,434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23,777,478</w:t>
            </w:r>
          </w:p>
        </w:tc>
        <w:tc>
          <w:tcPr>
            <w:tcW w:w="3380" w:type="dxa"/>
            <w:vAlign w:val="bottom"/>
          </w:tcPr>
          <w:p>
            <w:pPr>
              <w:spacing w:after="0"/>
              <w:rPr>
                <w:sz w:val="18"/>
                <w:szCs w:val="18"/>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7"/>
          </w:tcPr>
          <w:p>
            <w:pPr>
              <w:jc w:val="center"/>
              <w:ind w:right="240"/>
              <w:spacing w:after="0"/>
              <w:rPr>
                <w:sz w:val="20"/>
                <w:szCs w:val="20"/>
                <w:color w:val="auto"/>
              </w:rPr>
            </w:pPr>
            <w:r>
              <w:rPr>
                <w:rFonts w:ascii="Arial" w:cs="Arial" w:eastAsia="Arial" w:hAnsi="Arial"/>
                <w:sz w:val="18"/>
                <w:szCs w:val="18"/>
                <w:color w:val="auto"/>
                <w:w w:val="90"/>
              </w:rPr>
              <w:t>Net Ending Balance</w:t>
            </w:r>
          </w:p>
        </w:tc>
      </w:t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7"/>
          </w:tcPr>
          <w:p>
            <w:pPr>
              <w:jc w:val="center"/>
              <w:ind w:right="240"/>
              <w:spacing w:after="0"/>
              <w:rPr>
                <w:sz w:val="20"/>
                <w:szCs w:val="20"/>
                <w:color w:val="auto"/>
              </w:rPr>
            </w:pPr>
            <w:r>
              <w:rPr>
                <w:rFonts w:ascii="Arial" w:cs="Arial" w:eastAsia="Arial" w:hAnsi="Arial"/>
                <w:sz w:val="18"/>
                <w:szCs w:val="18"/>
                <w:color w:val="auto"/>
                <w:w w:val="88"/>
              </w:rPr>
              <w:t>December 31</w:t>
            </w:r>
          </w:p>
        </w:tc>
      </w:tr>
      <w:tr>
        <w:trPr>
          <w:trHeight w:val="223"/>
        </w:trPr>
        <w:tc>
          <w:tcPr>
            <w:tcW w:w="4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Texas</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200,962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744,322</w:t>
            </w:r>
          </w:p>
        </w:tc>
        <w:tc>
          <w:tcPr>
            <w:tcW w:w="20" w:type="dxa"/>
            <w:vAlign w:val="bottom"/>
          </w:tcPr>
          <w:p>
            <w:pPr>
              <w:spacing w:after="0"/>
              <w:rPr>
                <w:sz w:val="18"/>
                <w:szCs w:val="18"/>
                <w:color w:val="auto"/>
              </w:rPr>
            </w:pPr>
          </w:p>
        </w:tc>
      </w:tr>
      <w:tr>
        <w:trPr>
          <w:trHeight w:val="22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1,744,292</w:t>
            </w:r>
          </w:p>
        </w:tc>
        <w:tc>
          <w:tcPr>
            <w:tcW w:w="20" w:type="dxa"/>
            <w:vAlign w:val="bottom"/>
            <w:shd w:val="clear" w:color="auto" w:fill="CCEEFF"/>
          </w:tcPr>
          <w:p>
            <w:pPr>
              <w:spacing w:after="0"/>
              <w:rPr>
                <w:sz w:val="19"/>
                <w:szCs w:val="19"/>
                <w:color w:val="auto"/>
              </w:rPr>
            </w:pPr>
          </w:p>
        </w:tc>
      </w:tr>
      <w:tr>
        <w:trPr>
          <w:trHeight w:val="223"/>
        </w:trPr>
        <w:tc>
          <w:tcPr>
            <w:tcW w:w="4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1,190,602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3,478,254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primary business units of the Company occupy a portion of the commercial real estate owned by the Company. As of December 31, 2021, real estate owned and occupied by the Company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Approximate Square</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Occupied by the</w:t>
            </w: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Business Segment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Footage</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Company</w:t>
            </w:r>
          </w:p>
        </w:tc>
      </w:tr>
      <w:tr>
        <w:trPr>
          <w:trHeight w:val="195"/>
        </w:trPr>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Corporate Offices, Life Insurance,</w:t>
            </w:r>
          </w:p>
        </w:tc>
        <w:tc>
          <w:tcPr>
            <w:tcW w:w="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433</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West Ascension Way, Salt Lake City,</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Cemetery/Mortuary Operations, and</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 - Center53 Phase 2</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 Operations and Sales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1044</w:t>
            </w:r>
          </w:p>
        </w:tc>
        <w:tc>
          <w:tcPr>
            <w:tcW w:w="2840" w:type="dxa"/>
            <w:vAlign w:val="bottom"/>
          </w:tcPr>
          <w:p>
            <w:pPr>
              <w:ind w:left="20"/>
              <w:spacing w:after="0"/>
              <w:rPr>
                <w:sz w:val="20"/>
                <w:szCs w:val="20"/>
                <w:color w:val="auto"/>
              </w:rPr>
            </w:pPr>
            <w:r>
              <w:rPr>
                <w:rFonts w:ascii="Arial" w:cs="Arial" w:eastAsia="Arial" w:hAnsi="Arial"/>
                <w:sz w:val="18"/>
                <w:szCs w:val="18"/>
                <w:color w:val="auto"/>
              </w:rPr>
              <w:t>River Oaks Dr., Flowood, MS</w:t>
            </w: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Life Insurance Operations</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19,694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1818</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Marshall Street, Shreveport, LA (1)</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Life Insurance Operations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909</w:t>
            </w: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Foisy Street, Alexandria, LA (1)</w:t>
            </w: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Life Insurance Sales</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8,059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812</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Sheppard Street, Minden, LA (1)</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Life Insurance Sales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1550</w:t>
            </w:r>
          </w:p>
        </w:tc>
        <w:tc>
          <w:tcPr>
            <w:tcW w:w="2840" w:type="dxa"/>
            <w:vAlign w:val="bottom"/>
          </w:tcPr>
          <w:p>
            <w:pPr>
              <w:ind w:left="20"/>
              <w:spacing w:after="0"/>
              <w:rPr>
                <w:sz w:val="20"/>
                <w:szCs w:val="20"/>
                <w:color w:val="auto"/>
              </w:rPr>
            </w:pPr>
            <w:r>
              <w:rPr>
                <w:rFonts w:ascii="Arial" w:cs="Arial" w:eastAsia="Arial" w:hAnsi="Arial"/>
                <w:sz w:val="18"/>
                <w:szCs w:val="18"/>
                <w:color w:val="auto"/>
              </w:rPr>
              <w:t>N 3rd Street, Jena, LA (1)</w:t>
            </w: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Life Insurance Sales</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1,737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property and equipment on the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reports mortgage loans held for investment pursuant to the accounting policy discussed in Note 1 of the Notes to Consolidated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Mortgage loans consist of first and second mortgages. The mortgage loans bear interest at rates ranging from 2.0 %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December 31, 2021, the Company had 70%, 7%, 5%, 4%, 4% and 2% of its mortgage loans from borrowers located in the states of Utah, Florida, California, Texas, Nevada and Arizona, respectively. At December 31, 2020, the Company had 57%, 13%, 9%, 4%, 3% and 3% of its mortgage loans from borrowers located in the states of Utah, Florida, Texas, California, Nevada and Arizona,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establishes a valuation allowance for credit losses in its mortgage loans held for investment portfolio. The following table presents the valuation allowance for loan losses as a contra-asset account.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Residential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Commercial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Residential</w:t>
            </w: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Construction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169"/>
        </w:trPr>
        <w:tc>
          <w:tcPr>
            <w:tcW w:w="52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Allowance for credit losses: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1,774,796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2,005,127</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(305,225)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(305,225)</w:t>
            </w:r>
          </w:p>
        </w:tc>
      </w:tr>
      <w:tr>
        <w:trPr>
          <w:trHeight w:val="26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1,469,571</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1,699,902</w:t>
            </w:r>
          </w:p>
        </w:tc>
        <w:tc>
          <w:tcPr>
            <w:tcW w:w="100" w:type="dxa"/>
            <w:vAlign w:val="bottom"/>
            <w:tcBorders>
              <w:bottom w:val="single" w:sz="8" w:color="CCEEFF"/>
            </w:tcBorders>
          </w:tcPr>
          <w:p>
            <w:pPr>
              <w:spacing w:after="0"/>
              <w:rPr>
                <w:sz w:val="22"/>
                <w:szCs w:val="22"/>
                <w:color w:val="auto"/>
              </w:rPr>
            </w:pPr>
          </w:p>
        </w:tc>
      </w:tr>
      <w:tr>
        <w:trPr>
          <w:trHeight w:val="197"/>
        </w:trPr>
        <w:tc>
          <w:tcPr>
            <w:tcW w:w="14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gridSpan w:val="2"/>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105,384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105,384</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2"/>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187,129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1,364,187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43,202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1,594,518</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51,683,022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53,533,712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175,117,783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280,334,517</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1,723,372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2,548,656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4,272,028</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49,959,650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50,985,056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175,117,783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2,760,162,489</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Allowance for credit losses: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1,222,706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1,453,037</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552,090</w:t>
            </w:r>
          </w:p>
        </w:tc>
      </w:tr>
      <w:tr>
        <w:trPr>
          <w:trHeight w:val="26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1,774,796</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2,005,127</w:t>
            </w:r>
          </w:p>
        </w:tc>
        <w:tc>
          <w:tcPr>
            <w:tcW w:w="100" w:type="dxa"/>
            <w:vAlign w:val="bottom"/>
            <w:tcBorders>
              <w:bottom w:val="single" w:sz="8" w:color="CCEEFF"/>
            </w:tcBorders>
          </w:tcPr>
          <w:p>
            <w:pPr>
              <w:spacing w:after="0"/>
              <w:rPr>
                <w:sz w:val="22"/>
                <w:szCs w:val="22"/>
                <w:color w:val="auto"/>
              </w:rPr>
            </w:pPr>
          </w:p>
        </w:tc>
      </w:tr>
      <w:tr>
        <w:trPr>
          <w:trHeight w:val="196"/>
        </w:trPr>
        <w:tc>
          <w:tcPr>
            <w:tcW w:w="14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gridSpan w:val="2"/>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219,905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219,905</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2"/>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187,129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1,554,891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43,202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1,785,222</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46,836,866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111,111,777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95,822,448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253,771,091</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2,148,827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7,932,680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10,282,470</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44,688,039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103,179,097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95,621,485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243,488,621</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14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mortgage loans held for investment.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Residential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Commercial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Residential</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Construction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169"/>
        </w:trPr>
        <w:tc>
          <w:tcPr>
            <w:tcW w:w="52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30-59 Days Past Due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3,117,826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1,363,127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4,480,953</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60-89 Days Past Due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580,815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681,019</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Greater Than 90 Days (1)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1,723,372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2,052,062</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3,775,434</w:t>
            </w: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Process of Foreclosure (1)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496,594</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496,594</w:t>
            </w:r>
          </w:p>
        </w:tc>
      </w:tr>
      <w:tr>
        <w:trPr>
          <w:trHeight w:val="209"/>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Past Due</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1,823,576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6,247,297</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1,363,127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9,434,000</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49,859,446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47,286,415</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173,754,656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270,900,517</w:t>
            </w:r>
          </w:p>
        </w:tc>
        <w:tc>
          <w:tcPr>
            <w:tcW w:w="100" w:type="dxa"/>
            <w:vAlign w:val="bottom"/>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Mortgage Loans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51,683,022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53,533,712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175,117,783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280,334,517</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(1,699,902)</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Unamortized deferred loan fees, net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(498,600)</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(383,173)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(918,586)</w:t>
            </w: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Unamortized discounts,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(240,614)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(169,369)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(409,983)</w:t>
            </w:r>
          </w:p>
        </w:tc>
      </w:tr>
      <w:tr>
        <w:trPr>
          <w:trHeight w:val="263"/>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Mortgage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51,218,466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51,396,172</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174,691,408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277,306,046</w:t>
            </w:r>
          </w:p>
        </w:tc>
        <w:tc>
          <w:tcPr>
            <w:tcW w:w="100" w:type="dxa"/>
            <w:vAlign w:val="bottom"/>
            <w:tcBorders>
              <w:bottom w:val="single" w:sz="8" w:color="CCEEFF"/>
            </w:tcBorders>
          </w:tcPr>
          <w:p>
            <w:pPr>
              <w:spacing w:after="0"/>
              <w:rPr>
                <w:sz w:val="22"/>
                <w:szCs w:val="22"/>
                <w:color w:val="auto"/>
              </w:rPr>
            </w:pPr>
          </w:p>
        </w:tc>
      </w:tr>
      <w:tr>
        <w:trPr>
          <w:trHeight w:val="197"/>
        </w:trPr>
        <w:tc>
          <w:tcPr>
            <w:tcW w:w="14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52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30-59 Days Past Due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5,866,505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127,191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6,226,896</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60-89 Days Past Due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812,780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2,048,148</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2,860,928</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Greater Than 90 Days (1)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2,148,827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5,669,583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7,818,410</w:t>
            </w:r>
          </w:p>
        </w:tc>
      </w:tr>
      <w:tr>
        <w:trPr>
          <w:trHeight w:val="229"/>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In Process of Foreclosure (1)</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2,263,097</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200,963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2,464,060</w:t>
            </w:r>
          </w:p>
        </w:tc>
      </w:tr>
      <w:tr>
        <w:trPr>
          <w:trHeight w:val="210"/>
        </w:trPr>
        <w:tc>
          <w:tcPr>
            <w:tcW w:w="52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Past Due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15,847,333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43,642,059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79,975,115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110,783,623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234,400,797</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Mortgage Loans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46,836,866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95,822,448</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111,111,777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253,771,091</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92" w:right="339" w:bottom="1440" w:gutter="0" w:footer="0" w:header="0"/>
        </w:sectPr>
      </w:pPr>
    </w:p>
    <w:p>
      <w:pPr>
        <w:ind w:left="180"/>
        <w:spacing w:after="0"/>
        <w:rPr>
          <w:sz w:val="20"/>
          <w:szCs w:val="20"/>
          <w:color w:val="auto"/>
        </w:rPr>
      </w:pPr>
      <w:r>
        <w:rPr>
          <w:rFonts w:ascii="Arial" w:cs="Arial" w:eastAsia="Arial" w:hAnsi="Arial"/>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Unamortized deferred loan fees,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Unamortized discounts,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0712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60" w:type="dxa"/>
            <w:vAlign w:val="bottom"/>
          </w:tcPr>
          <w:p>
            <w:pPr>
              <w:spacing w:after="0"/>
              <w:rPr>
                <w:sz w:val="17"/>
                <w:szCs w:val="17"/>
                <w:color w:val="auto"/>
              </w:rPr>
            </w:pPr>
          </w:p>
        </w:tc>
        <w:tc>
          <w:tcPr>
            <w:tcW w:w="13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(187,129)</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(1,774,796)</w:t>
            </w:r>
          </w:p>
        </w:tc>
        <w:tc>
          <w:tcPr>
            <w:tcW w:w="200" w:type="dxa"/>
            <w:vAlign w:val="bottom"/>
          </w:tcPr>
          <w:p>
            <w:pPr>
              <w:spacing w:after="0"/>
              <w:rPr>
                <w:sz w:val="17"/>
                <w:szCs w:val="17"/>
                <w:color w:val="auto"/>
              </w:rPr>
            </w:pPr>
          </w:p>
        </w:tc>
        <w:tc>
          <w:tcPr>
            <w:tcW w:w="13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(43,202)</w:t>
            </w:r>
          </w:p>
        </w:tc>
        <w:tc>
          <w:tcPr>
            <w:tcW w:w="13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(2,005,127)</w:t>
            </w:r>
          </w:p>
        </w:tc>
      </w:tr>
      <w:tr>
        <w:trPr>
          <w:trHeight w:val="216"/>
        </w:trPr>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(32,557)</w:t>
            </w: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(909,864)</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(218,711)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(1,161,132)</w:t>
            </w:r>
          </w:p>
        </w:tc>
      </w:tr>
      <w:tr>
        <w:trPr>
          <w:trHeight w:val="244"/>
        </w:trPr>
        <w:tc>
          <w:tcPr>
            <w:tcW w:w="2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(880,721)</w:t>
            </w: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(380,175)</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(1,260,896)</w:t>
            </w:r>
          </w:p>
        </w:tc>
      </w:tr>
      <w:tr>
        <w:trPr>
          <w:trHeight w:val="223"/>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45,736,459</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92,757,613</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110,849,864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249,343,936</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92" w:right="339" w:bottom="1440" w:gutter="0" w:footer="0" w:header="0"/>
          <w:type w:val="continuous"/>
        </w:sectPr>
      </w:pPr>
    </w:p>
    <w:p>
      <w:pPr>
        <w:spacing w:after="0" w:line="29" w:lineRule="exact"/>
        <w:rPr>
          <w:sz w:val="20"/>
          <w:szCs w:val="20"/>
          <w:color w:val="auto"/>
        </w:rPr>
      </w:pPr>
    </w:p>
    <w:p>
      <w:pPr>
        <w:ind w:left="5540" w:right="4420" w:hanging="5472"/>
        <w:spacing w:after="0" w:line="653" w:lineRule="auto"/>
        <w:tabs>
          <w:tab w:leader="none" w:pos="3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income is not recognized on loans past due greater than 90 days or in foreclosure.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Impaired Mortgage Loans Held for Investment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Unpaid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Interest</w:t>
            </w:r>
          </w:p>
        </w:tc>
      </w:tr>
      <w:tr>
        <w:trPr>
          <w:trHeight w:val="216"/>
        </w:trPr>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Recorded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Income</w:t>
            </w:r>
          </w:p>
        </w:tc>
      </w:tr>
      <w:tr>
        <w:trPr>
          <w:trHeight w:val="230"/>
        </w:trPr>
        <w:tc>
          <w:tcPr>
            <w:tcW w:w="1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Allowance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Recognized</w:t>
            </w:r>
          </w:p>
        </w:tc>
      </w:tr>
      <w:tr>
        <w:trPr>
          <w:trHeight w:val="169"/>
        </w:trPr>
        <w:tc>
          <w:tcPr>
            <w:tcW w:w="33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December 31, 2021</w:t>
            </w:r>
          </w:p>
        </w:tc>
        <w:tc>
          <w:tcPr>
            <w:tcW w:w="6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1,723,372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1,053,865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1,591,368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1,591,368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2,731,421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957,288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957,288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726,449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1,723,372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1,053,865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2,548,656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2,548,656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3,457,870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2020</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2,148,827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2,148,827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1,866,819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6,415,419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6,415,419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5,010,078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2,148,827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2,148,827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1,866,819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7,932,680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7,932,680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219,905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6,192,446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performing and non-performing mortgage loans held for investment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2080" w:type="dxa"/>
            <w:vAlign w:val="bottom"/>
            <w:gridSpan w:val="4"/>
          </w:tcPr>
          <w:p>
            <w:pPr>
              <w:ind w:left="54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20"/>
                <w:szCs w:val="20"/>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Residential</w:t>
            </w:r>
          </w:p>
        </w:tc>
        <w:tc>
          <w:tcPr>
            <w:tcW w:w="100" w:type="dxa"/>
            <w:vAlign w:val="bottom"/>
          </w:tcPr>
          <w:p>
            <w:pPr>
              <w:spacing w:after="0"/>
              <w:rPr>
                <w:sz w:val="20"/>
                <w:szCs w:val="20"/>
                <w:color w:val="auto"/>
              </w:rPr>
            </w:pPr>
          </w:p>
        </w:tc>
        <w:tc>
          <w:tcPr>
            <w:tcW w:w="228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Residential Construction</w:t>
            </w:r>
          </w:p>
        </w:tc>
        <w:tc>
          <w:tcPr>
            <w:tcW w:w="100" w:type="dxa"/>
            <w:vAlign w:val="bottom"/>
          </w:tcPr>
          <w:p>
            <w:pPr>
              <w:spacing w:after="0"/>
              <w:rPr>
                <w:sz w:val="20"/>
                <w:szCs w:val="20"/>
                <w:color w:val="auto"/>
              </w:rPr>
            </w:pPr>
          </w:p>
        </w:tc>
        <w:tc>
          <w:tcPr>
            <w:tcW w:w="2280" w:type="dxa"/>
            <w:vAlign w:val="bottom"/>
            <w:gridSpan w:val="5"/>
          </w:tcPr>
          <w:p>
            <w:pPr>
              <w:ind w:left="900"/>
              <w:spacing w:after="0"/>
              <w:rPr>
                <w:sz w:val="20"/>
                <w:szCs w:val="20"/>
                <w:color w:val="auto"/>
              </w:rPr>
            </w:pPr>
            <w:r>
              <w:rPr>
                <w:rFonts w:ascii="Arial" w:cs="Arial" w:eastAsia="Arial" w:hAnsi="Arial"/>
                <w:sz w:val="18"/>
                <w:szCs w:val="18"/>
                <w:color w:val="auto"/>
              </w:rPr>
              <w:t>Total</w:t>
            </w:r>
          </w:p>
        </w:tc>
      </w:tr>
      <w:tr>
        <w:trPr>
          <w:trHeight w:val="209"/>
        </w:trPr>
        <w:tc>
          <w:tcPr>
            <w:tcW w:w="1660" w:type="dxa"/>
            <w:vAlign w:val="bottom"/>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top w:val="single" w:sz="8" w:color="auto"/>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December 31</w:t>
            </w:r>
          </w:p>
        </w:tc>
        <w:tc>
          <w:tcPr>
            <w:tcW w:w="80" w:type="dxa"/>
            <w:vAlign w:val="bottom"/>
            <w:gridSpan w:val="2"/>
          </w:tcPr>
          <w:p>
            <w:pPr>
              <w:spacing w:after="0"/>
              <w:rPr>
                <w:sz w:val="18"/>
                <w:szCs w:val="18"/>
                <w:color w:val="auto"/>
              </w:rPr>
            </w:pPr>
          </w:p>
        </w:tc>
      </w:tr>
      <w:tr>
        <w:trPr>
          <w:trHeight w:val="223"/>
        </w:trPr>
        <w:tc>
          <w:tcPr>
            <w:tcW w:w="166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16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$49,959,650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$44,688,039</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$50,985,056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$87,889,768</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$175,117,783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$110,910,814</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$276,062,489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$243,488,621</w:t>
            </w:r>
          </w:p>
        </w:tc>
        <w:tc>
          <w:tcPr>
            <w:tcW w:w="60" w:type="dxa"/>
            <w:vAlign w:val="bottom"/>
            <w:shd w:val="clear" w:color="auto" w:fill="CCEEFF"/>
          </w:tcPr>
          <w:p>
            <w:pPr>
              <w:spacing w:after="0"/>
              <w:rPr>
                <w:sz w:val="18"/>
                <w:szCs w:val="18"/>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Non-performing</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1,723,372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2,148,827</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2,548,656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7,932,680</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200,963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4,272,028</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10,282,470</w:t>
            </w:r>
          </w:p>
        </w:tc>
      </w:tr>
      <w:tr>
        <w:trPr>
          <w:trHeight w:val="210"/>
        </w:trPr>
        <w:tc>
          <w:tcPr>
            <w:tcW w:w="1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51,683,022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46,836,866</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53,533,712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95,822,448</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175,117,783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$ 111,111,777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280,334,517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253,771,091</w:t>
            </w:r>
          </w:p>
        </w:tc>
        <w:tc>
          <w:tcPr>
            <w:tcW w:w="60" w:type="dxa"/>
            <w:vAlign w:val="bottom"/>
          </w:tcPr>
          <w:p>
            <w:pPr>
              <w:spacing w:after="0"/>
              <w:rPr>
                <w:sz w:val="21"/>
                <w:szCs w:val="21"/>
                <w:color w:val="auto"/>
              </w:rPr>
            </w:pPr>
          </w:p>
        </w:tc>
      </w:tr>
      <w:tr>
        <w:trPr>
          <w:trHeight w:val="20"/>
        </w:trPr>
        <w:tc>
          <w:tcPr>
            <w:tcW w:w="1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Non-Accrual Mortgage Loans Held for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 loan is past due 90 days, it is the policy of the Company to end the accrual of interest income on the loan and write off any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$236,000 and $491,000 as of December 31,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Amounts Due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amortized cost and contractual payments on mortgage loans held for investment by category as of December 31, 2021. Expected principal payments may differ from contractual obligations because certain borrowers may elect to pay off mortgage obligations with or without early 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Principal</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Principal</w:t>
            </w:r>
          </w:p>
        </w:tc>
        <w:tc>
          <w:tcPr>
            <w:tcW w:w="226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Amounts</w:t>
            </w: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Amounts</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Amounts</w:t>
            </w:r>
          </w:p>
        </w:tc>
        <w:tc>
          <w:tcPr>
            <w:tcW w:w="2260" w:type="dxa"/>
            <w:vAlign w:val="bottom"/>
          </w:tcPr>
          <w:p>
            <w:pPr>
              <w:spacing w:after="0"/>
              <w:rPr>
                <w:sz w:val="18"/>
                <w:szCs w:val="18"/>
                <w:color w:val="auto"/>
              </w:rPr>
            </w:pPr>
          </w:p>
        </w:tc>
      </w:tr>
      <w:tr>
        <w:trPr>
          <w:trHeight w:val="229"/>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Due in</w:t>
            </w:r>
          </w:p>
        </w:tc>
        <w:tc>
          <w:tcPr>
            <w:tcW w:w="1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Due in</w:t>
            </w: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Due</w:t>
            </w:r>
          </w:p>
        </w:tc>
        <w:tc>
          <w:tcPr>
            <w:tcW w:w="226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1 Year</w:t>
            </w:r>
          </w:p>
        </w:tc>
        <w:tc>
          <w:tcPr>
            <w:tcW w:w="1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2-5 Years</w:t>
            </w:r>
          </w:p>
        </w:tc>
        <w:tc>
          <w:tcPr>
            <w:tcW w:w="1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Thereafter</w:t>
            </w:r>
          </w:p>
        </w:tc>
        <w:tc>
          <w:tcPr>
            <w:tcW w:w="2260" w:type="dxa"/>
            <w:vAlign w:val="bottom"/>
          </w:tcPr>
          <w:p>
            <w:pPr>
              <w:spacing w:after="0"/>
              <w:rPr>
                <w:sz w:val="20"/>
                <w:szCs w:val="20"/>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53,533,712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7,451,252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6,031,628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40,050,832</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175,117,783</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145,711,262</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29,406,521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51,683,022</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17,007,282</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25,761,914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8,913,826</w:t>
            </w:r>
          </w:p>
        </w:tc>
        <w:tc>
          <w:tcPr>
            <w:tcW w:w="2260" w:type="dxa"/>
            <w:vAlign w:val="bottom"/>
          </w:tcPr>
          <w:p>
            <w:pPr>
              <w:spacing w:after="0"/>
              <w:rPr>
                <w:sz w:val="19"/>
                <w:szCs w:val="19"/>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280,334,517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170,169,796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61,200,063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48,964,658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4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89"/>
              </w:rPr>
              <w:t>65</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consolidated statement of earnings. See Note 17 of the Notes to Consolidated Financial Statements for additional disclosures regarding loans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fair value and the aggregate unpaid principal balance of loans held for sale.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280" w:type="dxa"/>
            <w:vAlign w:val="bottom"/>
            <w:gridSpan w:val="5"/>
          </w:tcPr>
          <w:p>
            <w:pPr>
              <w:ind w:left="640"/>
              <w:spacing w:after="0"/>
              <w:rPr>
                <w:sz w:val="20"/>
                <w:szCs w:val="20"/>
                <w:color w:val="auto"/>
              </w:rPr>
            </w:pPr>
            <w:r>
              <w:rPr>
                <w:rFonts w:ascii="Arial" w:cs="Arial" w:eastAsia="Arial" w:hAnsi="Arial"/>
                <w:sz w:val="18"/>
                <w:szCs w:val="18"/>
                <w:color w:val="auto"/>
              </w:rPr>
              <w:t>December 31</w:t>
            </w:r>
          </w:p>
        </w:tc>
      </w:tr>
      <w:tr>
        <w:trPr>
          <w:trHeight w:val="223"/>
        </w:trPr>
        <w:tc>
          <w:tcPr>
            <w:tcW w:w="4460" w:type="dxa"/>
            <w:vAlign w:val="bottom"/>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9"/>
                <w:szCs w:val="19"/>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$ 302,776,827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$ 422,772,418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294,481,503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406,407,323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8,295,324</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16,365,095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Years Ended December 31</w:t>
            </w:r>
          </w:p>
        </w:tc>
      </w:tr>
      <w:tr>
        <w:trPr>
          <w:trHeight w:val="223"/>
        </w:trPr>
        <w:tc>
          <w:tcPr>
            <w:tcW w:w="5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37,723,433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43,432,532</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9,385,469</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10,628,581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230,417,029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231,759,342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(3,113,095)</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7,637,377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(8,783,376)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10,413,492</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(2,211,230)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(4,938,214)</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263,418,230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298,933,110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Reserve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loan loss reserve, which is included in other liabilities and accrued expenses, is summarized as follows: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98919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right="1460"/>
        <w:spacing w:after="0" w:line="279" w:lineRule="auto"/>
        <w:rPr>
          <w:sz w:val="20"/>
          <w:szCs w:val="20"/>
          <w:color w:val="auto"/>
        </w:rPr>
      </w:pPr>
      <w:r>
        <w:rPr>
          <w:rFonts w:ascii="Arial" w:cs="Arial" w:eastAsia="Arial" w:hAnsi="Arial"/>
          <w:sz w:val="17"/>
          <w:szCs w:val="17"/>
          <w:color w:val="auto"/>
        </w:rPr>
        <w:t>Provision for current loan originations (1) Additional provision for loan loss reserve Charge-offs, net of recaptured amounts Balance,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498919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498919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  Included in Mortgage fee income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20,583,618</w:t>
            </w:r>
          </w:p>
        </w:tc>
        <w:tc>
          <w:tcPr>
            <w:tcW w:w="20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4,046,288</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2,211,230</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4,938,214</w:t>
            </w:r>
          </w:p>
        </w:tc>
      </w:tr>
    </w:tbl>
    <w:p>
      <w:pPr>
        <w:ind w:left="1780" w:hanging="646"/>
        <w:spacing w:after="0"/>
        <w:tabs>
          <w:tab w:leader="none" w:pos="1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16,506,030</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(20,347,709)</w:t>
      </w:r>
      <w:r>
        <w:rPr>
          <w:rFonts w:ascii="Arial" w:cs="Arial" w:eastAsia="Arial" w:hAnsi="Arial"/>
          <w:sz w:val="16"/>
          <w:szCs w:val="16"/>
          <w:color w:val="auto"/>
        </w:rPr>
        <w:t>(4,906,914)</w:t>
      </w:r>
    </w:p>
    <w:p>
      <w:pPr>
        <w:spacing w:after="0" w:line="35" w:lineRule="exact"/>
        <w:rPr>
          <w:sz w:val="20"/>
          <w:szCs w:val="20"/>
          <w:color w:val="auto"/>
        </w:rPr>
      </w:pPr>
    </w:p>
    <w:p>
      <w:pPr>
        <w:spacing w:after="0"/>
        <w:tabs>
          <w:tab w:leader="none" w:pos="460" w:val="left"/>
          <w:tab w:leader="none" w:pos="138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2,447,139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20,583,618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6459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4480" w:space="720"/>
            <w:col w:w="6040"/>
          </w:cols>
          <w:pgMar w:left="320" w:top="692" w:right="339" w:bottom="1440" w:gutter="0" w:footer="0" w:header="0"/>
          <w:type w:val="continuous"/>
        </w:sectPr>
      </w:pPr>
    </w:p>
    <w:p>
      <w:pPr>
        <w:spacing w:after="0" w:line="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reserves for estimated losses on current production volumes. For the year ended December 31, 2021, $2,211,230 in reserves were added at a rate of 3.9 basis points per loan, the equivalent of $390 per $1,000,000 in loans originated. This is a decrease over the year ended December 31, 2020, when $4,938,214 in reserves were added at a rate of 8.9 basis points per loan originated, the equivalent of $890 per $1,000,000 in loans originated. The Company also increased its loan loss reserve for the year ended December 31, 2020 by an additional $16,506,030 to account for changes in estimates specific to settlements of loan losses. See Note 10 for additional information regarding mortgage loan loss settlements. The unique nature of COVID-19 creates significant difficulty for forecasting potential future losses. The Company will continue to monitor data and economic conditions in order to maintain adequate loss reserves on current production. Thus, the Company believes that the final loan loss reserve as of December 31, 2021, represents its best estimate for adequate loss reserves on loans sold.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7"/>
          </w:tcPr>
          <w:p>
            <w:pPr>
              <w:jc w:val="right"/>
              <w:ind w:right="800"/>
              <w:spacing w:after="0"/>
              <w:rPr>
                <w:sz w:val="20"/>
                <w:szCs w:val="20"/>
                <w:color w:val="auto"/>
              </w:rPr>
            </w:pPr>
            <w:r>
              <w:rPr>
                <w:rFonts w:ascii="Arial" w:cs="Arial" w:eastAsia="Arial" w:hAnsi="Arial"/>
                <w:sz w:val="18"/>
                <w:szCs w:val="18"/>
                <w:color w:val="auto"/>
              </w:rPr>
              <w:t>December 31</w:t>
            </w:r>
          </w:p>
        </w:tc>
      </w:tr>
      <w:tr>
        <w:trPr>
          <w:trHeight w:val="223"/>
        </w:trPr>
        <w:tc>
          <w:tcPr>
            <w:tcW w:w="48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Trade contracts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5,298,636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4,119,988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Receivables from sales agents</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2,360,807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2,677,774</w:t>
            </w:r>
          </w:p>
        </w:tc>
        <w:tc>
          <w:tcPr>
            <w:tcW w:w="40" w:type="dxa"/>
            <w:vAlign w:val="bottom"/>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12,457,398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5,786,827</w:t>
            </w:r>
          </w:p>
        </w:tc>
        <w:tc>
          <w:tcPr>
            <w:tcW w:w="40" w:type="dxa"/>
            <w:vAlign w:val="bottom"/>
            <w:shd w:val="clear" w:color="auto" w:fill="CCEEFF"/>
          </w:tcPr>
          <w:p>
            <w:pPr>
              <w:spacing w:after="0"/>
              <w:rPr>
                <w:sz w:val="19"/>
                <w:szCs w:val="19"/>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 receivables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20,116,841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12,584,589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(1,800,725)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(1,685,382)</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receivables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18,316,116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10,899,207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20" w:firstLine="8"/>
        <w:spacing w:after="0" w:line="572" w:lineRule="auto"/>
        <w:tabs>
          <w:tab w:leader="none" w:pos="1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 xml:space="preserve">Value of Business Acquired, Intangible Assets and Goodwill </w:t>
      </w:r>
      <w:r>
        <w:rPr>
          <w:rFonts w:ascii="Arial" w:cs="Arial" w:eastAsia="Arial" w:hAnsi="Arial"/>
          <w:sz w:val="16"/>
          <w:szCs w:val="16"/>
          <w:color w:val="auto"/>
        </w:rPr>
        <w:t>Information with regard to value of business acquired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c>
          <w:tcPr>
            <w:tcW w:w="60" w:type="dxa"/>
            <w:vAlign w:val="bottom"/>
            <w:tcBorders>
              <w:bottom w:val="single" w:sz="8" w:color="CCEEFF"/>
            </w:tcBorders>
          </w:tcPr>
          <w:p>
            <w:pPr>
              <w:spacing w:after="0"/>
              <w:rPr>
                <w:sz w:val="19"/>
                <w:szCs w:val="19"/>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8,955,249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9,876,647</w:t>
            </w:r>
          </w:p>
        </w:tc>
        <w:tc>
          <w:tcPr>
            <w:tcW w:w="60" w:type="dxa"/>
            <w:vAlign w:val="bottom"/>
            <w:shd w:val="clear" w:color="auto" w:fill="CCEEFF"/>
          </w:tcPr>
          <w:p>
            <w:pPr>
              <w:spacing w:after="0"/>
              <w:rPr>
                <w:sz w:val="18"/>
                <w:szCs w:val="18"/>
                <w:color w:val="auto"/>
              </w:rPr>
            </w:pPr>
          </w:p>
        </w:tc>
      </w:tr>
      <w:tr>
        <w:trPr>
          <w:trHeight w:val="210"/>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Value of business acquired</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586,840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 at 7% included in earnings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670,565</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Amortization included in earnings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(1,728,157)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(1,457,390)</w:t>
            </w: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7"/>
              </w:rPr>
              <w:t>Shadow amortization included in other comprehensive income</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(5,528)</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(134,573)</w:t>
            </w:r>
          </w:p>
        </w:tc>
      </w:tr>
      <w:tr>
        <w:trPr>
          <w:trHeight w:val="209"/>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amortization</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(1,120,657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(921,398</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8,421,432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8,955,249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Presuming no additional acquisitions, net amortization charged to income is expected to approximate $1,059,000, $972,000, $893,000, $810,000, and $753,000 for the years 2022 through 2027 . Actual amortization may vary based on changes in assumptions or experience. As of December 31, 2021, value of business acquired is being amortized over a weighted average life of 5.9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Value of Business Acquired, Intangible Assets and Goodwill</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Company’s intangible assets were as follows which is included in other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trade name (1)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years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Intangible asset - customer lists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15 years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890,000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890,000</w:t>
            </w:r>
          </w:p>
        </w:tc>
        <w:tc>
          <w:tcPr>
            <w:tcW w:w="8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trade name (2)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years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610,000</w:t>
            </w:r>
          </w:p>
        </w:tc>
        <w:tc>
          <w:tcPr>
            <w:tcW w:w="8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Intangible assets - other (1)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15 years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(297,333)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(197,334)</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3,512,667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1,302,666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(1)See Note 20 regarding the acquisition of Rivera Funerals, Cremations and Memorial Gardens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(2)Kilpatrick Life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goodwill by segment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Cemetery/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Life Insurance</w:t>
            </w:r>
          </w:p>
        </w:tc>
        <w:tc>
          <w:tcPr>
            <w:tcW w:w="18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Mortuary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Total</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2,765,570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754,018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3,519,588</w:t>
            </w:r>
          </w:p>
        </w:tc>
        <w:tc>
          <w:tcPr>
            <w:tcW w:w="6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240" w:type="dxa"/>
            <w:vAlign w:val="bottom"/>
          </w:tcPr>
          <w:p>
            <w:pPr>
              <w:ind w:left="180"/>
              <w:spacing w:after="0"/>
              <w:rPr>
                <w:sz w:val="20"/>
                <w:szCs w:val="20"/>
                <w:color w:val="auto"/>
              </w:rPr>
            </w:pPr>
            <w:r>
              <w:rPr>
                <w:rFonts w:ascii="Arial" w:cs="Arial" w:eastAsia="Arial" w:hAnsi="Arial"/>
                <w:sz w:val="18"/>
                <w:szCs w:val="18"/>
                <w:color w:val="auto"/>
              </w:rPr>
              <w:t>Total goodwill, net</w:t>
            </w: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2,765,570</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754,018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3,519,588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Acquisition</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3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2,765,570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754,018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3,519,588</w:t>
            </w:r>
          </w:p>
        </w:tc>
        <w:tc>
          <w:tcPr>
            <w:tcW w:w="60" w:type="dxa"/>
            <w:vAlign w:val="bottom"/>
            <w:shd w:val="clear" w:color="auto" w:fill="CCEEFF"/>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Accumulated impairment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3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goodwill, net</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2,765,570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754,018</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3,519,588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1,734,195(1)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1,734,195</w:t>
            </w:r>
          </w:p>
        </w:tc>
        <w:tc>
          <w:tcPr>
            <w:tcW w:w="60" w:type="dxa"/>
            <w:vAlign w:val="bottom"/>
            <w:shd w:val="clear" w:color="auto" w:fill="CCEEFF"/>
          </w:tcPr>
          <w:p>
            <w:pPr>
              <w:spacing w:after="0"/>
              <w:rPr>
                <w:sz w:val="19"/>
                <w:szCs w:val="19"/>
                <w:color w:val="auto"/>
              </w:rPr>
            </w:pPr>
          </w:p>
        </w:tc>
      </w:tr>
      <w:tr>
        <w:trPr>
          <w:trHeight w:val="210"/>
        </w:trPr>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2,765,570</w:t>
            </w:r>
          </w:p>
        </w:tc>
        <w:tc>
          <w:tcPr>
            <w:tcW w:w="18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2,488,213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5,253,783</w:t>
            </w:r>
          </w:p>
        </w:tc>
        <w:tc>
          <w:tcPr>
            <w:tcW w:w="6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3240" w:type="dxa"/>
            <w:vAlign w:val="bottom"/>
          </w:tcPr>
          <w:p>
            <w:pPr>
              <w:ind w:left="180"/>
              <w:spacing w:after="0"/>
              <w:rPr>
                <w:sz w:val="20"/>
                <w:szCs w:val="20"/>
                <w:color w:val="auto"/>
              </w:rPr>
            </w:pPr>
            <w:r>
              <w:rPr>
                <w:rFonts w:ascii="Arial" w:cs="Arial" w:eastAsia="Arial" w:hAnsi="Arial"/>
                <w:sz w:val="18"/>
                <w:szCs w:val="18"/>
                <w:color w:val="auto"/>
              </w:rPr>
              <w:t>Total goodwill, net</w:t>
            </w: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2,765,570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2,488,213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5,253,783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See Note 20 regarding the acquisition of Rivera Funerals, Cremations and Memorial Gardens and Holbrook Mortuary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Goodwill is not amortized but is tested annually for impairment. The annual impairment tests resulted in no impairment of goodwill for the years ended December 31, 2021 and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Arial" w:cs="Arial" w:eastAsia="Arial" w:hAnsi="Arial"/>
                <w:sz w:val="18"/>
                <w:szCs w:val="18"/>
                <w:color w:val="auto"/>
              </w:rPr>
              <w:t>6) Property and Equipment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200" w:type="dxa"/>
            <w:vAlign w:val="bottom"/>
            <w:gridSpan w:val="3"/>
          </w:tcPr>
          <w:p>
            <w:pPr>
              <w:spacing w:after="0"/>
              <w:rPr>
                <w:sz w:val="20"/>
                <w:szCs w:val="20"/>
                <w:color w:val="auto"/>
              </w:rPr>
            </w:pPr>
            <w:r>
              <w:rPr>
                <w:rFonts w:ascii="Arial" w:cs="Arial" w:eastAsia="Arial" w:hAnsi="Arial"/>
                <w:sz w:val="18"/>
                <w:szCs w:val="18"/>
                <w:color w:val="auto"/>
              </w:rPr>
              <w:t>Property and equipment is summarized below:</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color w:val="auto"/>
              </w:rPr>
              <w:t>December 31</w:t>
            </w:r>
          </w:p>
        </w:tc>
      </w:tr>
      <w:tr>
        <w:trPr>
          <w:trHeight w:val="223"/>
        </w:trPr>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10"/>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16,532,593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11,972,802</w:t>
            </w:r>
          </w:p>
        </w:tc>
        <w:tc>
          <w:tcPr>
            <w:tcW w:w="60" w:type="dxa"/>
            <w:vAlign w:val="bottom"/>
            <w:shd w:val="clear" w:color="auto" w:fill="CCEEFF"/>
          </w:tcPr>
          <w:p>
            <w:pPr>
              <w:spacing w:after="0"/>
              <w:rPr>
                <w:sz w:val="18"/>
                <w:szCs w:val="18"/>
                <w:color w:val="auto"/>
              </w:rPr>
            </w:pPr>
          </w:p>
        </w:tc>
      </w:tr>
      <w:tr>
        <w:trPr>
          <w:trHeight w:val="229"/>
        </w:trPr>
        <w:tc>
          <w:tcPr>
            <w:tcW w:w="5200" w:type="dxa"/>
            <w:vAlign w:val="bottom"/>
            <w:gridSpan w:val="3"/>
          </w:tcPr>
          <w:p>
            <w:pPr>
              <w:spacing w:after="0"/>
              <w:rPr>
                <w:sz w:val="20"/>
                <w:szCs w:val="20"/>
                <w:color w:val="auto"/>
              </w:rPr>
            </w:pPr>
            <w:r>
              <w:rPr>
                <w:rFonts w:ascii="Arial" w:cs="Arial" w:eastAsia="Arial" w:hAnsi="Arial"/>
                <w:sz w:val="18"/>
                <w:szCs w:val="18"/>
                <w:color w:val="auto"/>
              </w:rPr>
              <w:t>Furniture and equipment</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24,799,115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19,679,682</w:t>
            </w: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41,331,708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31,652,484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(19,814,110)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(19,179,139)</w:t>
            </w:r>
          </w:p>
        </w:tc>
      </w:tr>
      <w:tr>
        <w:trPr>
          <w:trHeight w:val="223"/>
        </w:trPr>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21,517,598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12,473,345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Depreciation expense for the years ended December 31, 2021 and 2020 was $1,935,613 and $2,078,738, respectively. During 2021, the Company reclassified a building with a gross building cost of $3,640,755 with its associated accumulated depreciation of $532,074 from property and equipment to real estate held for investment. During 2020, the Company demolished a building with a gross building cost of $1,723,000 with its associated accumulated depreciation (net book value of $-0-) and transferred land with a cost of $1,516,700 to real estate held for investment to make way for phase 2 of the redevelopment and expansion of Center53. See Note 20 for additional information regarding property and equipment acquired through acquisitions.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Arial" w:cs="Arial" w:eastAsia="Arial" w:hAnsi="Arial"/>
                <w:sz w:val="18"/>
                <w:szCs w:val="18"/>
                <w:color w:val="auto"/>
              </w:rPr>
              <w:t>7) Bank and Other Loans Payable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color w:val="auto"/>
              </w:rPr>
              <w:t>Bank and other loans payable are summarized as follows: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0"/>
        </w:trPr>
        <w:tc>
          <w:tcPr>
            <w:tcW w:w="2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2"/>
        </w:trPr>
        <w:tc>
          <w:tcPr>
            <w:tcW w:w="74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4.27% fixed note payable in monthly installments of $53,881 including principal and interest,</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collateralized by shares of Security National Life Insurance Company stock, paid in full December</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5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633,890</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Prime rate note payable in monthly installments of $75,108 including principal and interest,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collateralized by shares of Security National Life Insurance Company stock, due December 2024.</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2,481,878</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3,257,113</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4.329% fixed note payable in monthly installments of $9,775 including principal and interest,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collateralized by real property with a book value of approximately $3,103,000, due September</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5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1,825,608</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1,861,920</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4.00% variable with LIBOR at a 1% floor and a spread at 3% rate construction loan collateralized</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real property with a book value of approximately $64,730,000, due March 2024.</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34,547,181</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2.5% above the monthly LIBOR rate plus 1/16th of the monthly LIBOR rate construction loan</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payable in monthly principal payments of $113,000 plus interest, collateralized by real property</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 a book value of approximately $49,118,000, paid in full March 2021.</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35,091,364</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3.30% fixed note payable in monthly installments of $179,562 including principal and interest,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collateralized by real property with a book value of approximately $49,118,000, due April 2051.</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40,090,359</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4.7865% fixed interest only note payable in monthly installments, collateralized by real property</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 a book value of approximately $17,301,000, due June 2028.</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9,200,000</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9,200,000</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 month LIBOR rate plus 2.1%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$100,000,000, matures June 2022.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66,305,025</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116,598,834</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 month LIBOR rate plus 2%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$100,000,000, matures August 2022.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50,555,909</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68,766,572</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1 month LIBOR rate plus 2.15%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$75,000,000, matures May 2022.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43,196,986</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60,715,374</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 month LIBOR rate plus 2.0%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$100,000,000, matures June 2022.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1,764,386</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 month LIBOR rate plus 2.5%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$5,000,000, matured August 2021.</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317,582</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short-term borrowings (1)</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1,250,000</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62,767</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104,951</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loans payable</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6,828</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26,768</w:t>
            </w:r>
          </w:p>
        </w:tc>
      </w:tr>
      <w:tr>
        <w:trPr>
          <w:trHeight w:val="210"/>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Total bank and other loans</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251,286,927</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297,824,368</w:t>
            </w:r>
          </w:p>
        </w:tc>
        <w:tc>
          <w:tcPr>
            <w:tcW w:w="10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Less current installments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164,747,672</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284,250,996</w:t>
            </w:r>
          </w:p>
        </w:tc>
      </w:tr>
      <w:tr>
        <w:trPr>
          <w:trHeight w:val="223"/>
        </w:trPr>
        <w:tc>
          <w:tcPr>
            <w:tcW w:w="7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Bank and other loans, excluding current installments</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86,539,255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13,573,372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(1)Revolving Line of Credit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Bank and Other Loans Payable</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 Membership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of Des Moines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2021, the amount available for borrowings from the FHLB of Des Moines was approximately $19,259,722, compared with $39,102,336 at December 31, 2020. United States Treasury fixed maturity securities with an estimated fair value of $20,244,900 at December 31, 2021 have been pledged at the FHLB of Des Moines as collateral for current and potential borrowings compared with $40,729,400 at December 31, 2020. At December 31, 2021 and 2020, the Company had no outstanding FHLB borrowings. At December 31, 2021, the Company’s total investment in FHLB stock was $826,800 compared with $786,300 at December 31, 2020. The Company’s increased investment in FHLB stock was a result of its increase in short-term FHLB borrowings during 2021. At December 31, 2021, the Company was contingently liable under a standby letter of credit aggregating $443,758, to be used as collateral to cover any contingency related to additional risk assessments pertaining to the Company’s captive insurance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of Dallas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2021, the amount available for borrowings from the FHLB of Dallas was approximately $7,794,625, compared with $-0- at December 31, 2020. Mortgage-Backed fixed maturity securities with an estimated fair value of $8,774,352 at December 31, 2021 have been pledged at the FHLB of Dallas as collateral for current and potential borrowings compared with $-0- at December 31, 2020. At December 31, 2021 and 2020, the Company had no outstanding FHLB borrowings. At December 31, 2021, the Company’s total investment in FHLB stock was $1,720,300 compared with $1,720,300 at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Lines of Credit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$2,000,000 revolving line-of-credit with a bank with interest payable at the prime rate minus .75%, secured by the capital stock of Security National Life and maturing December 31, 2022, renewable annually. At December 31, 2021, the Company was contingently liable under standby letters of credit aggregating $941,711, to be used as collateral for residential subdivision land developments. The standby letters of credit will draw on the line of credit if necessary. The Company does not expect any material losses to result from the issuance of the standby letters of credit. As of December 31, 2021, there were no amounts outstanding under the revolving line-of-credit.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a $2,500,000 revolving line-of-credit with a bank with interest payable at the overnight LIBOR rate plus 2.25% maturing December 31, 2022. As of December 31, 2021, there was $1,250,000 outstanding under the revolving line-of-credit.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 for Mortgage Warehouse Lines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subsidiary SecurityNational Mortgage, has a $100,000,000 line of credit with Wells Fargo Bank N.A. The agreement charges interest at the 1-Month LIBOR rate plus 2.1% and matures on June 9, 2022.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Bank and Other Loans Payable</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LIBOR rate plus 2% and matures on August 9, 2022.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LIBOR rate plus 2.15% and matures on May 27,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through its subsidiary SecurityNational Mortgage, has a line of credit with U.S Bank. This agreement with the bank allows SecurityNational Mortgage to borrow up to $100,000,000 for the sole purpose of funding mortgage loans. The agreement charges interest at the 1-Month LIBOR rate plus 2.0% and matures on June 4,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for warehouse lines include cross default provisions in that a covenant violation under one agreement constitutes a covenant violation under the other agreement. As of December 31, 2021, the Company was in compliance with all debt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tabulation shows the combined maturities of bank and other loans payable: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$164,747,672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1,745,541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36,333,278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2,512,683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735,981</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45,211,772</w:t>
            </w: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251,286,927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 2021 and 2020 was $7,127,516 and $8,578,810, respectively. Interest paid in 2021 and 2020 was $7,290,867 and $8,385,270,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8"/>
          <w:szCs w:val="18"/>
          <w:i w:val="1"/>
          <w:iCs w:val="1"/>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w w:val="92"/>
              </w:rPr>
              <w:t>The components of the cemetery perpetual care investments and obligation are as follows: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1,059,519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402,913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Fixed maturity securities, available for sale, at estimated fair value</w:t>
            </w:r>
          </w:p>
        </w:tc>
        <w:tc>
          <w:tcPr>
            <w:tcW w:w="34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Arial" w:cs="Arial" w:eastAsia="Arial" w:hAnsi="Arial"/>
                <w:sz w:val="18"/>
                <w:szCs w:val="18"/>
                <w:color w:val="auto"/>
              </w:rPr>
              <w:t>784,765</w:t>
            </w:r>
          </w:p>
        </w:tc>
        <w:tc>
          <w:tcPr>
            <w:tcW w:w="4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747,767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3,302,480</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2,062,303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w w:val="94"/>
              </w:rPr>
              <w:t>Participating interests in residential construction mortgage loans held for investment with</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Security National Life</w:t>
            </w:r>
          </w:p>
        </w:tc>
        <w:tc>
          <w:tcPr>
            <w:tcW w:w="340" w:type="dxa"/>
            <w:vAlign w:val="bottom"/>
          </w:tcPr>
          <w:p>
            <w:pPr>
              <w:spacing w:after="0"/>
              <w:rPr>
                <w:sz w:val="20"/>
                <w:szCs w:val="20"/>
                <w:color w:val="auto"/>
              </w:rPr>
            </w:pPr>
          </w:p>
        </w:tc>
        <w:tc>
          <w:tcPr>
            <w:tcW w:w="1500" w:type="dxa"/>
            <w:vAlign w:val="bottom"/>
            <w:gridSpan w:val="2"/>
          </w:tcPr>
          <w:p>
            <w:pPr>
              <w:jc w:val="right"/>
              <w:ind w:right="241"/>
              <w:spacing w:after="0"/>
              <w:rPr>
                <w:sz w:val="20"/>
                <w:szCs w:val="20"/>
                <w:color w:val="auto"/>
              </w:rPr>
            </w:pPr>
            <w:r>
              <w:rPr>
                <w:rFonts w:ascii="Arial" w:cs="Arial" w:eastAsia="Arial" w:hAnsi="Arial"/>
                <w:sz w:val="18"/>
                <w:szCs w:val="18"/>
                <w:color w:val="auto"/>
              </w:rPr>
              <w:t>1,823,533</w:t>
            </w:r>
          </w:p>
        </w:tc>
        <w:tc>
          <w:tcPr>
            <w:tcW w:w="44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1,468,600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Real estate held for investment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865,424</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1,731,584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cemetery perpetual care trust investments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7,835,721</w:t>
            </w:r>
          </w:p>
        </w:tc>
        <w:tc>
          <w:tcPr>
            <w:tcW w:w="3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6,413,167</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(4,915,285</w:t>
            </w:r>
          </w:p>
        </w:tc>
        <w:tc>
          <w:tcPr>
            <w:tcW w:w="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(4,087,704</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Trust investments in excess of trust obligations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2,920,436</w:t>
            </w: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2,325,463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540"/>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Restricted assets are summarized as follows: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9,000,293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8,842,744</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Fixed maturity securities, available for sale, at estimated fair value</w:t>
            </w:r>
          </w:p>
        </w:tc>
        <w:tc>
          <w:tcPr>
            <w:tcW w:w="3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1,601,688</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1,473,637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3,603,822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2,515,778</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w w:val="96"/>
              </w:rPr>
              <w:t>Participating interests in mortgage loans held for investment with Security National Life</w:t>
            </w:r>
          </w:p>
        </w:tc>
        <w:tc>
          <w:tcPr>
            <w:tcW w:w="3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2,732,319</w:t>
            </w:r>
          </w:p>
        </w:tc>
        <w:tc>
          <w:tcPr>
            <w:tcW w:w="4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3,317,877</w:t>
            </w:r>
          </w:p>
        </w:tc>
      </w:tr>
      <w:tr>
        <w:trPr>
          <w:trHeight w:val="223"/>
        </w:trPr>
        <w:tc>
          <w:tcPr>
            <w:tcW w:w="6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16,938,122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16,150,036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220" w:hanging="215"/>
        <w:spacing w:after="0" w:line="277" w:lineRule="auto"/>
        <w:rPr>
          <w:sz w:val="20"/>
          <w:szCs w:val="20"/>
          <w:color w:val="auto"/>
        </w:rPr>
      </w:pPr>
      <w:r>
        <w:rPr>
          <w:rFonts w:ascii="Arial" w:cs="Arial" w:eastAsia="Arial" w:hAnsi="Arial"/>
          <w:sz w:val="18"/>
          <w:szCs w:val="18"/>
          <w:color w:val="auto"/>
        </w:rPr>
        <w:t>(1)Including cash and cash equivalents of $7,869,295 and $852,499 as of December 31, 2021 and 2020, respectively, for the life insurance and mortgage segments.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surplus note receivable in the amount of $4,000,000 at December 31, 2021 and 2020, from Security National Life, was eliminated in consolidation.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1 and 17 for additional information regarding restricted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jc w:val="center"/>
        <w:ind w:right="-1100"/>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Arial" w:cs="Arial" w:eastAsia="Arial" w:hAnsi="Arial"/>
                <w:sz w:val="18"/>
                <w:szCs w:val="18"/>
                <w:color w:val="auto"/>
              </w:rPr>
              <w:t>9) Income Taxes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200" w:type="dxa"/>
            <w:vAlign w:val="bottom"/>
            <w:gridSpan w:val="3"/>
          </w:tcPr>
          <w:p>
            <w:pPr>
              <w:spacing w:after="0"/>
              <w:rPr>
                <w:sz w:val="20"/>
                <w:szCs w:val="20"/>
                <w:color w:val="auto"/>
              </w:rPr>
            </w:pPr>
            <w:r>
              <w:rPr>
                <w:rFonts w:ascii="Arial" w:cs="Arial" w:eastAsia="Arial" w:hAnsi="Arial"/>
                <w:sz w:val="18"/>
                <w:szCs w:val="18"/>
                <w:color w:val="auto"/>
              </w:rPr>
              <w:t>The Company’s income tax liability is summarized as follows: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60" w:type="dxa"/>
            <w:vAlign w:val="bottom"/>
            <w:tcBorders>
              <w:bottom w:val="single" w:sz="8" w:color="CCEEFF"/>
            </w:tcBorders>
          </w:tcPr>
          <w:p>
            <w:pPr>
              <w:spacing w:after="0"/>
              <w:rPr>
                <w:sz w:val="19"/>
                <w:szCs w:val="19"/>
                <w:color w:val="auto"/>
              </w:rPr>
            </w:pPr>
          </w:p>
        </w:tc>
      </w:tr>
      <w:tr>
        <w:trPr>
          <w:trHeight w:val="210"/>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(1,558,687)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2,595,877</w:t>
            </w:r>
          </w:p>
        </w:tc>
        <w:tc>
          <w:tcPr>
            <w:tcW w:w="60" w:type="dxa"/>
            <w:vAlign w:val="bottom"/>
            <w:shd w:val="clear" w:color="auto" w:fill="CCEEFF"/>
          </w:tcPr>
          <w:p>
            <w:pPr>
              <w:spacing w:after="0"/>
              <w:rPr>
                <w:sz w:val="18"/>
                <w:szCs w:val="18"/>
                <w:color w:val="auto"/>
              </w:rPr>
            </w:pPr>
          </w:p>
        </w:tc>
      </w:tr>
      <w:tr>
        <w:trPr>
          <w:trHeight w:val="229"/>
        </w:trPr>
        <w:tc>
          <w:tcPr>
            <w:tcW w:w="520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32,594,783</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22,662,923</w:t>
            </w:r>
          </w:p>
        </w:tc>
      </w:tr>
      <w:tr>
        <w:trPr>
          <w:trHeight w:val="223"/>
        </w:trPr>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31,036,096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25,258,800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approximately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7"/>
          </w:tcPr>
          <w:p>
            <w:pPr>
              <w:jc w:val="right"/>
              <w:ind w:right="880"/>
              <w:spacing w:after="0"/>
              <w:rPr>
                <w:sz w:val="20"/>
                <w:szCs w:val="20"/>
                <w:color w:val="auto"/>
              </w:rPr>
            </w:pPr>
            <w:r>
              <w:rPr>
                <w:rFonts w:ascii="Arial" w:cs="Arial" w:eastAsia="Arial" w:hAnsi="Arial"/>
                <w:sz w:val="18"/>
                <w:szCs w:val="18"/>
                <w:color w:val="auto"/>
              </w:rPr>
              <w:t>December 31</w:t>
            </w:r>
          </w:p>
        </w:tc>
      </w:tr>
      <w:tr>
        <w:trPr>
          <w:trHeight w:val="223"/>
        </w:trPr>
        <w:tc>
          <w:tcPr>
            <w:tcW w:w="45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Future policy benefits</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(13,015,255)</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9"/>
              </w:rPr>
              <w:t>(12,657,045)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 loss reserve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(636,256)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(5,352,942)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Unearned premium</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(642,755)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(699,011)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(898,029)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(334,085)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Deferred compensation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(2,750,406)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(2,833,298)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Deposit obligations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(635,878)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(610,041)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(1,712,895)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(1,269,533)</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882,535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961,920</w:t>
            </w:r>
          </w:p>
        </w:tc>
        <w:tc>
          <w:tcPr>
            <w:tcW w:w="40" w:type="dxa"/>
            <w:vAlign w:val="bottom"/>
            <w:shd w:val="clear" w:color="auto" w:fill="CCEEFF"/>
          </w:tcPr>
          <w:p>
            <w:pPr>
              <w:spacing w:after="0"/>
              <w:rPr>
                <w:sz w:val="19"/>
                <w:szCs w:val="19"/>
                <w:color w:val="auto"/>
              </w:rPr>
            </w:pPr>
          </w:p>
        </w:tc>
      </w:tr>
      <w:tr>
        <w:trPr>
          <w:trHeight w:val="210"/>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6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(19,408,939</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(22,794,035</w:t>
            </w:r>
          </w:p>
        </w:tc>
        <w:tc>
          <w:tcPr>
            <w:tcW w:w="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17,166,200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16,430,001</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Basis difference in property, equipment and real estate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9,247,242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5,312,787</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1,768,501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1,880,602</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Deferred gains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15,598,360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12,124,226</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Trusts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1,064,387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1,064,387</w:t>
            </w:r>
          </w:p>
        </w:tc>
        <w:tc>
          <w:tcPr>
            <w:tcW w:w="40" w:type="dxa"/>
            <w:vAlign w:val="bottom"/>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Tax on unrealized appreciation</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7,159,032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8,644,955</w:t>
            </w:r>
          </w:p>
        </w:tc>
        <w:tc>
          <w:tcPr>
            <w:tcW w:w="40" w:type="dxa"/>
            <w:vAlign w:val="bottom"/>
          </w:tcPr>
          <w:p>
            <w:pPr>
              <w:spacing w:after="0"/>
              <w:rPr>
                <w:sz w:val="19"/>
                <w:szCs w:val="19"/>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52,003,722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45,456,958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32,594,783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22,662,923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valuation allowance relates to differences between recorded deferred tax assets and liabilities and ultimate anticipated realization.</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auto"/>
              </w:rPr>
              <w:t>9) Income Taxes (Continued)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880" w:type="dxa"/>
            <w:vAlign w:val="bottom"/>
            <w:gridSpan w:val="3"/>
          </w:tcPr>
          <w:p>
            <w:pPr>
              <w:spacing w:after="0"/>
              <w:rPr>
                <w:sz w:val="20"/>
                <w:szCs w:val="20"/>
                <w:color w:val="auto"/>
              </w:rPr>
            </w:pPr>
            <w:r>
              <w:rPr>
                <w:rFonts w:ascii="Arial" w:cs="Arial" w:eastAsia="Arial" w:hAnsi="Arial"/>
                <w:sz w:val="18"/>
                <w:szCs w:val="18"/>
                <w:color w:val="auto"/>
                <w:w w:val="96"/>
              </w:rPr>
              <w:t>The Company’s income tax expense is summarized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gridSpan w:val="3"/>
          </w:tcPr>
          <w:p>
            <w:pPr>
              <w:ind w:left="180"/>
              <w:spacing w:after="0"/>
              <w:rPr>
                <w:sz w:val="20"/>
                <w:szCs w:val="20"/>
                <w:color w:val="auto"/>
              </w:rPr>
            </w:pPr>
            <w:r>
              <w:rPr>
                <w:rFonts w:ascii="Arial" w:cs="Arial" w:eastAsia="Arial" w:hAnsi="Arial"/>
                <w:sz w:val="18"/>
                <w:szCs w:val="18"/>
                <w:color w:val="auto"/>
              </w:rPr>
              <w:t>Federal</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629,921</w:t>
            </w: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10,678,612</w:t>
            </w:r>
          </w:p>
        </w:tc>
        <w:tc>
          <w:tcPr>
            <w:tcW w:w="40" w:type="dxa"/>
            <w:vAlign w:val="bottom"/>
          </w:tcPr>
          <w:p>
            <w:pPr>
              <w:spacing w:after="0"/>
              <w:rPr>
                <w:sz w:val="18"/>
                <w:szCs w:val="18"/>
                <w:color w:val="auto"/>
              </w:rPr>
            </w:pPr>
          </w:p>
        </w:tc>
      </w:tr>
      <w:tr>
        <w:trPr>
          <w:trHeight w:val="229"/>
        </w:trPr>
        <w:tc>
          <w:tcPr>
            <w:tcW w:w="4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343,428</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2,320,233</w:t>
            </w:r>
          </w:p>
        </w:tc>
        <w:tc>
          <w:tcPr>
            <w:tcW w:w="40" w:type="dxa"/>
            <w:vAlign w:val="bottom"/>
            <w:shd w:val="clear" w:color="auto" w:fill="CCEEFF"/>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973,349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12,998,845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9,832,556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2,677,943</w:t>
            </w:r>
          </w:p>
        </w:tc>
        <w:tc>
          <w:tcPr>
            <w:tcW w:w="40" w:type="dxa"/>
            <w:vAlign w:val="bottom"/>
            <w:shd w:val="clear" w:color="auto" w:fill="CCEEFF"/>
          </w:tcPr>
          <w:p>
            <w:pPr>
              <w:spacing w:after="0"/>
              <w:rPr>
                <w:sz w:val="18"/>
                <w:szCs w:val="18"/>
                <w:color w:val="auto"/>
              </w:rPr>
            </w:pPr>
          </w:p>
        </w:tc>
      </w:tr>
      <w:tr>
        <w:trPr>
          <w:trHeight w:val="230"/>
        </w:trPr>
        <w:tc>
          <w:tcPr>
            <w:tcW w:w="4880" w:type="dxa"/>
            <w:vAlign w:val="bottom"/>
            <w:gridSpan w:val="3"/>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1,475,880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176,726</w:t>
            </w:r>
          </w:p>
        </w:tc>
        <w:tc>
          <w:tcPr>
            <w:tcW w:w="40" w:type="dxa"/>
            <w:vAlign w:val="bottom"/>
          </w:tcPr>
          <w:p>
            <w:pPr>
              <w:spacing w:after="0"/>
              <w:rPr>
                <w:sz w:val="19"/>
                <w:szCs w:val="19"/>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11,308,436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2,854,669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12,281,785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15,853,514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expense at the U.S. federal statutory rates is as follows:</w:t>
      </w:r>
    </w:p>
    <w:p>
      <w:pPr>
        <w:spacing w:after="0" w:line="23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14605</wp:posOffset>
            </wp:positionV>
            <wp:extent cx="1645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Computed expense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98919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State tax expense,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98919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3" w:lineRule="exact"/>
        <w:rPr>
          <w:sz w:val="20"/>
          <w:szCs w:val="20"/>
          <w:color w:val="auto"/>
        </w:rPr>
      </w:pPr>
    </w:p>
    <w:p>
      <w:pPr>
        <w:ind w:left="380" w:hanging="375"/>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10,878,163   $   15,004,527</w:t>
      </w:r>
    </w:p>
    <w:p>
      <w:pPr>
        <w:spacing w:after="0" w:line="2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1,437,255</w:t>
      </w:r>
      <w:r>
        <w:rPr>
          <w:rFonts w:ascii="Arial" w:cs="Arial" w:eastAsia="Arial" w:hAnsi="Arial"/>
          <w:sz w:val="16"/>
          <w:szCs w:val="16"/>
          <w:color w:val="auto"/>
        </w:rPr>
        <w:t>1,972,598</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(79,385)</w:t>
      </w:r>
      <w:r>
        <w:rPr>
          <w:rFonts w:ascii="Arial" w:cs="Arial" w:eastAsia="Arial" w:hAnsi="Arial"/>
          <w:sz w:val="16"/>
          <w:szCs w:val="16"/>
          <w:color w:val="auto"/>
        </w:rPr>
        <w:t>(1,477,474)</w:t>
      </w:r>
    </w:p>
    <w:p>
      <w:pPr>
        <w:spacing w:after="0" w:line="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45,752</w:t>
      </w:r>
      <w:r>
        <w:rPr>
          <w:rFonts w:ascii="Arial" w:cs="Arial" w:eastAsia="Arial" w:hAnsi="Arial"/>
          <w:sz w:val="16"/>
          <w:szCs w:val="16"/>
          <w:color w:val="auto"/>
        </w:rPr>
        <w:t>353,863</w:t>
      </w:r>
    </w:p>
    <w:p>
      <w:pPr>
        <w:spacing w:after="0" w:line="35" w:lineRule="exact"/>
        <w:rPr>
          <w:sz w:val="20"/>
          <w:szCs w:val="20"/>
          <w:color w:val="auto"/>
        </w:rPr>
      </w:pPr>
    </w:p>
    <w:p>
      <w:pPr>
        <w:spacing w:after="0"/>
        <w:tabs>
          <w:tab w:leader="none" w:pos="360" w:val="left"/>
          <w:tab w:leader="none" w:pos="1380" w:val="left"/>
          <w:tab w:leader="none" w:pos="17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12,281,785</w:t>
        <w:tab/>
        <w:t>$</w:t>
      </w:r>
      <w:r>
        <w:rPr>
          <w:sz w:val="20"/>
          <w:szCs w:val="20"/>
          <w:color w:val="auto"/>
        </w:rPr>
        <w:tab/>
      </w:r>
      <w:r>
        <w:rPr>
          <w:rFonts w:ascii="Arial" w:cs="Arial" w:eastAsia="Arial" w:hAnsi="Arial"/>
          <w:sz w:val="16"/>
          <w:szCs w:val="16"/>
          <w:u w:val="single" w:color="auto"/>
          <w:color w:val="auto"/>
        </w:rPr>
        <w:t>15,853,514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645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92" w:right="339" w:bottom="1440" w:gutter="0" w:footer="0" w:header="0"/>
          <w:type w:val="continuous"/>
        </w:sectPr>
      </w:pP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overall effective tax rate for the years ended December 31, 2021 and 2020 was 23.7% and 22.2% respectively. The Company’s effective tax rates differ from the U.S. federal statutory rate of 21% partially due to its provision for state income taxes and a decrease to the valuation allowance. The increase in the effective tax rate when compared to the prior year is partially due to a smaller decrease to the valuation allowance in the current period when compared to the prior period year.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Company had no significant unrecognized tax benefits. As of December 31, 2021, the Company does not expect any material changes to the estimated amount of unrecognized tax benefits in the next twelve months. Federal and state income tax returns for 2018 through 2021 are subject to examination by taxing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Losses and Tax Credit Carryforwards: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Year of Expiration</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Thereafter up through 2037</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1,237,784</w:t>
            </w:r>
          </w:p>
        </w:tc>
        <w:tc>
          <w:tcPr>
            <w:tcW w:w="20" w:type="dxa"/>
            <w:vAlign w:val="bottom"/>
          </w:tcPr>
          <w:p>
            <w:pPr>
              <w:spacing w:after="0"/>
              <w:rPr>
                <w:sz w:val="18"/>
                <w:szCs w:val="18"/>
                <w:color w:val="auto"/>
              </w:rPr>
            </w:pPr>
          </w:p>
        </w:tc>
      </w:tr>
      <w:tr>
        <w:trPr>
          <w:trHeight w:val="229"/>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 carryforwards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2,742,661</w:t>
            </w:r>
          </w:p>
        </w:tc>
        <w:tc>
          <w:tcPr>
            <w:tcW w:w="20" w:type="dxa"/>
            <w:vAlign w:val="bottom"/>
            <w:shd w:val="clear" w:color="auto" w:fill="CCEEFF"/>
          </w:tcPr>
          <w:p>
            <w:pPr>
              <w:spacing w:after="0"/>
              <w:rPr>
                <w:sz w:val="19"/>
                <w:szCs w:val="19"/>
                <w:color w:val="auto"/>
              </w:rPr>
            </w:pPr>
          </w:p>
        </w:tc>
      </w:tr>
      <w:tr>
        <w:trPr>
          <w:trHeight w:val="223"/>
        </w:trPr>
        <w:tc>
          <w:tcPr>
            <w:tcW w:w="3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3,980,445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procedure of reinsuring risks in excess of a specified limit, which ranged from $25,000 to $100,000 during the years 2021 and 2020. The Company is liable for these amounts in the event such reinsurers are unable to pay their portion of the claims. The Company has also assumed insurance from other companies having insurance in force amounting to approximately $129,000,000 and approximately $96,000,000 at December 31, 2021 and 2020, respectively. See Financial Statement Schedule IV for information regarding premiums for direct business, reinsurance assumed and reinsurance ceded.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loan losses can be extremely difficult to estimate. However, the Company believes that its reserve methodology and its current practice of property preservation allow it to estimate potential losses on loans sold. The estimated liability for indemnification losses is included in other liabilities and accrued expenses and, as of December 31, 2021 and 2020, the balances were $2,447,000 and $20,584,000, respectively. The Company believes that the loan loss reserve as of December 31, 2021, represents its best estimate for adequate loss reserves on loans sold.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Agreement and Mutual Release with Lehman Brothers Holdings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2004 to early 2008, SecurityNational Mortgage Company (“SecurityNational Mortgage”), a wholly owned subsidiary of the Company, originated “limited documentation” or “reduced documentation” loans which were sold to certain affiliates of Lehman Brothers Holdings Inc. (“Lehman Holdings”). Certain of these loans became the subject of disputes between SecurityNational Mortgage and Lehman Holdings and certain Lehman Holdings affiliates. Lehman Holdings filed a Petition for Relief under Chapter 11 of the United States Bankruptcy Code in 2008. In May of 2011, SecurityNational Mortgage filed a complaint in U.S. District Court against certain Lehman Holdings affiliates. In June of 2011, Lehman Holdings filed a complaint in Federal District Court against SecurityNational Mortgage, both the complaint filed in May 2011 and that filed in June 2011 were later resolved. In 2016, certain other pending loan disputes between SecurityNational Mortgage and Lehman Holdings became the subject of an unsuccessful, non-binding alternate dispute resolution mediation proceeding.</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Thereafter, in 2016, Lehman Holdings filed an adversary proceeding complaint against approximately 150 mortgage loan originators, including SecurityNational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 fees and costs incurred by Lehman Holdings in enforcing the obligations of the defendants. The complaint was later amended with the latest amended complaint filed against SecurityNational Mortgage on December 27, 2016, seeking damages to be determined at trial, including interest, attorneys’ fees and costs. This complaint involved approximately 135 mortgage loans, there being millions of dollars allegedly in dispute. These claims against SecurityNational Mortgage were asserted as a result of Lehman Holdings’ earlier settlements with the Federal National Mortgage Association (“Fannie Mae”) and the Federal Home Loan Corporation (“Freddie Mac”).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Lehman Holdings filed a separate adversary proceeding complaint against SecurityNational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SecurityNational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 2021, SecurityNational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SecurityNational Mortgage and Lehman Holdings. The full amount of SecurityNational Mortgage’s settlement payment was accounted for in the Company’s loan loss reserve as of December 31, 2020 and was paid during the first quarter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Non-Cancelable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office space and equipment under various non-cancelable agreements. See Note 24 regarding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December 31, 2021, the Company’s commitments were approximately $329,903,000, for these loans of which $179,674,000 had been funded. The Company advances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and its subsidiaries had a noncontributory Employee Stock Ownership Plan (“ESOP”) for all eligible employees. Eligible employees are primarily those with more than one year of service, who work in excess of 1,000 hours per year. Contributions, which may be in cash or stock of the Company, are determined annually by the Board of Directors. The Company’s contributions are allocated to eligible employees based on the ratio of each eligible employee’s compensation to total compensation for all eligible employees during each year. The Company did not make any contributions for the years ended December 31, 2021 and 2020. On November 25, 2019, the Company distributed a notice of intent to terminate the ESOP Plan to all current</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plan participants. The Company also filed Form 5310 application for determination for terminating plan, with the IRS on December 6, 2019. As of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 of 2020, the Company began to distribute the ESOP Plan assets to participants that had made a distribution election. The Company received approval of its application from the IRS and distributed all the remaining ESOP Plan assets to the participants during 2021.</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three 401(k) savings plans covering all eligible employees which includes employer participation in accordance with the provisions of Section 401(k) of the Internal Revenue Code. The plans allow participants to make pretax contributions up to a maximum of $19,500 and $19,500 for the years 2021 and 2020, respectively or the statutory limits. Beginning in January 2008, the Company elected to be a “Safe Harbor” Plan for its matching 401(k) contributions. The Company matched 100% of up to 3% of an employee’s total annual compensation and matched 50% of 4% to 5% of an employee’s annual compensation. The match was in Company stock. The Company’s contribution for the years ended December 31, 2021 and 2020 was $2,820,315 and $1,690,568, respectively under the “Safe Harbor” plan.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2001, the Company’s Board of Directors adopted a Non-Qualified Deferred Compensation Plan, and this plan was amended in 2005.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2021 and 2020.</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December 4, 2018, the Board members approved a motion to extend the Chief Executive Officer’s employment agreement, dated December 4, 2012, for an additional four-year term ending December 2022.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the Chief Executive Officer dies prior to receiving all retirement benefits thereunder, the remaining benefits are to be paid to his heirs. The Company expensed $900,000 and $900,000 during the years ended December 31, 2021 and 2020, respectively, to cover the present value of anticipated retirement benefits under the employment agreement. The liability accrued was $7,556,363 and $6,656,363 as of December 31, 2021 and 2020,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Retirement Plans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through its wholly owned subsidiary, SecurityNational Mortgage,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Such retirement payments are paid monthly during the ten-year period. In the event that this individual dies prior to receiving all of his retirement benefits under his employment agreement, the remaining benefits will be made to his heirs. The company paid $133,843 and $133,843 in retirement compensation to this individual during the years ended December 31, 2021 and 2020, respectively. The liability accrued was $535,370 and $669,212 as of December 31, 2021 and 2020, respectively and is included in Other liabilities and accrued expenses on the consolidated balance sheets.</w:t>
      </w:r>
    </w:p>
    <w:p>
      <w:pPr>
        <w:spacing w:after="0" w:line="178"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one class of preferred stock of $1.00 par value, 5,000,000 shares authorized, of which none are issued. The preferred stock is non-voting.</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 to one ratio. The decrease in treasury stock was the result of treasury stock being used to fund the company’s 401(k) and deferred compensation plans.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of both Class A and Class C common stock have received 5% stock dividends in the years 1990 through 2019, a 7.5% stock dividend in the year 2020, and a 5% stock dividend in the year 2021, as authorized by the Company’s Board of Directors.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6"/>
              </w:rPr>
              <w:t>The following table summarizes the activity in shares of capital stock.</w:t>
            </w: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gridSpan w:val="2"/>
          </w:tcPr>
          <w:p>
            <w:pPr>
              <w:ind w:left="400"/>
              <w:spacing w:after="0"/>
              <w:rPr>
                <w:sz w:val="20"/>
                <w:szCs w:val="20"/>
                <w:color w:val="auto"/>
              </w:rPr>
            </w:pPr>
            <w:r>
              <w:rPr>
                <w:rFonts w:ascii="Arial" w:cs="Arial" w:eastAsia="Arial" w:hAnsi="Arial"/>
                <w:sz w:val="18"/>
                <w:szCs w:val="18"/>
                <w:color w:val="auto"/>
              </w:rPr>
              <w:t>Class A</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Class C</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shares at December 31, 2019</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16,107,779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2,500,887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68,970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130,820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Stock dividends</w:t>
            </w:r>
          </w:p>
        </w:tc>
        <w:tc>
          <w:tcPr>
            <w:tcW w:w="2260" w:type="dxa"/>
            <w:vAlign w:val="bottom"/>
            <w:gridSpan w:val="3"/>
          </w:tcPr>
          <w:p>
            <w:pPr>
              <w:jc w:val="right"/>
              <w:ind w:right="240"/>
              <w:spacing w:after="0"/>
              <w:rPr>
                <w:sz w:val="20"/>
                <w:szCs w:val="20"/>
                <w:color w:val="auto"/>
              </w:rPr>
            </w:pPr>
            <w:r>
              <w:rPr>
                <w:rFonts w:ascii="Arial" w:cs="Arial" w:eastAsia="Arial" w:hAnsi="Arial"/>
                <w:sz w:val="18"/>
                <w:szCs w:val="18"/>
                <w:color w:val="auto"/>
              </w:rPr>
              <w:t>405,210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61,720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13,824</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(13,824)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shares at December 31, 2020</w:t>
            </w:r>
          </w:p>
        </w:tc>
        <w:tc>
          <w:tcPr>
            <w:tcW w:w="6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16,595,783</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2,679,603</w:t>
            </w:r>
          </w:p>
        </w:tc>
        <w:tc>
          <w:tcPr>
            <w:tcW w:w="8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160,282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104,656</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Stock dividends</w:t>
            </w:r>
          </w:p>
        </w:tc>
        <w:tc>
          <w:tcPr>
            <w:tcW w:w="2260" w:type="dxa"/>
            <w:vAlign w:val="bottom"/>
            <w:gridSpan w:val="3"/>
          </w:tcPr>
          <w:p>
            <w:pPr>
              <w:jc w:val="right"/>
              <w:ind w:right="240"/>
              <w:spacing w:after="0"/>
              <w:rPr>
                <w:sz w:val="20"/>
                <w:szCs w:val="20"/>
                <w:color w:val="auto"/>
              </w:rPr>
            </w:pPr>
            <w:r>
              <w:rPr>
                <w:rFonts w:ascii="Arial" w:cs="Arial" w:eastAsia="Arial" w:hAnsi="Arial"/>
                <w:sz w:val="18"/>
                <w:szCs w:val="18"/>
                <w:color w:val="auto"/>
              </w:rPr>
              <w:t>837,410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131,553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49,247</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(49,247)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shares at December 31, 2021</w:t>
            </w:r>
          </w:p>
        </w:tc>
        <w:tc>
          <w:tcPr>
            <w:tcW w:w="6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17,642,722</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2,866,565</w:t>
            </w:r>
          </w:p>
        </w:tc>
        <w:tc>
          <w:tcPr>
            <w:tcW w:w="8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color w:val="auto"/>
              </w:rPr>
              <w:t>81</w:t>
            </w: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ind w:left="120"/>
              <w:spacing w:after="0"/>
              <w:rPr>
                <w:sz w:val="20"/>
                <w:szCs w:val="20"/>
                <w:color w:val="auto"/>
              </w:rPr>
            </w:pPr>
            <w:r>
              <w:rPr>
                <w:rFonts w:ascii="Arial" w:cs="Arial" w:eastAsia="Arial" w:hAnsi="Arial"/>
                <w:sz w:val="18"/>
                <w:szCs w:val="18"/>
                <w:color w:val="auto"/>
              </w:rPr>
              <w:t>Years Ended December 31</w:t>
            </w:r>
          </w:p>
        </w:tc>
      </w:tr>
      <w:tr>
        <w:trPr>
          <w:trHeight w:val="223"/>
        </w:trPr>
        <w:tc>
          <w:tcPr>
            <w:tcW w:w="5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51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39,518,990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55,596,613</w:t>
            </w:r>
          </w:p>
        </w:tc>
      </w:tr>
      <w:tr>
        <w:trPr>
          <w:trHeight w:val="197"/>
        </w:trPr>
        <w:tc>
          <w:tcPr>
            <w:tcW w:w="5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Denominator for basic earnings per share-weighted-average shares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20,154,878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19,788,984</w:t>
            </w:r>
          </w:p>
        </w:tc>
      </w:tr>
      <w:tr>
        <w:trPr>
          <w:trHeight w:val="210"/>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Employee stock options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774,206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465,423</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potential common shares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Denominator for diluted earnings per share-adjusted weighted-</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63"/>
        </w:trPr>
        <w:tc>
          <w:tcPr>
            <w:tcW w:w="5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shares and assumed conversions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20,929,084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20,254,407</w:t>
            </w:r>
          </w:p>
        </w:tc>
        <w:tc>
          <w:tcPr>
            <w:tcW w:w="60" w:type="dxa"/>
            <w:vAlign w:val="bottom"/>
            <w:tcBorders>
              <w:bottom w:val="single" w:sz="8" w:color="CCEEFF"/>
            </w:tcBorders>
          </w:tcPr>
          <w:p>
            <w:pPr>
              <w:spacing w:after="0"/>
              <w:rPr>
                <w:sz w:val="22"/>
                <w:szCs w:val="22"/>
                <w:color w:val="auto"/>
              </w:rPr>
            </w:pPr>
          </w:p>
        </w:tc>
      </w:tr>
      <w:tr>
        <w:trPr>
          <w:trHeight w:val="197"/>
        </w:trPr>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3"/>
        </w:trPr>
        <w:tc>
          <w:tcPr>
            <w:tcW w:w="51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r>
      <w:tr>
        <w:trPr>
          <w:trHeight w:val="196"/>
        </w:trPr>
        <w:tc>
          <w:tcPr>
            <w:tcW w:w="51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2021 and 2020, there were 50,000 and -0- of anti-dilutive employee stock option shares, respectively, that were not included in the computation of diluted net earnings per common share as their effect would be anti-dilutive.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fixed option plans (the “2013 Plan” and the “2014 Director Plan”). Compensation expense for options issued of $118,384 and $358,878 has been recognized under these plans for the years ended December 31, 2021 and 2020, respectively, and is included in personnel expenses on the consolidated statements of earnings. As of December 31, 2021, the total unrecognized compensation expense related to the options issued was $875,735, which is expected to be recognized over the vesting period of one year.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assumptions used in estimating the fair value of each option granted along with the weighted-average fair value of the options granted.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0"/>
              </w:rPr>
              <w:t>Weighted-</w:t>
            </w:r>
          </w:p>
        </w:tc>
        <w:tc>
          <w:tcPr>
            <w:tcW w:w="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Assumptions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Average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Weighted-</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Fair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Value of</w:t>
            </w:r>
          </w:p>
        </w:tc>
        <w:tc>
          <w:tcPr>
            <w:tcW w:w="1040" w:type="dxa"/>
            <w:vAlign w:val="bottom"/>
            <w:gridSpan w:val="2"/>
          </w:tcPr>
          <w:p>
            <w:pPr>
              <w:spacing w:after="0"/>
              <w:rPr>
                <w:sz w:val="20"/>
                <w:szCs w:val="20"/>
                <w:color w:val="auto"/>
              </w:rPr>
            </w:pPr>
            <w:r>
              <w:rPr>
                <w:rFonts w:ascii="Arial" w:cs="Arial" w:eastAsia="Arial" w:hAnsi="Arial"/>
                <w:sz w:val="18"/>
                <w:szCs w:val="18"/>
                <w:color w:val="auto"/>
              </w:rPr>
              <w:t>Expected</w:t>
            </w:r>
          </w:p>
        </w:tc>
        <w:tc>
          <w:tcPr>
            <w:tcW w:w="940" w:type="dxa"/>
            <w:vAlign w:val="bottom"/>
            <w:gridSpan w:val="3"/>
          </w:tcPr>
          <w:p>
            <w:pPr>
              <w:spacing w:after="0"/>
              <w:rPr>
                <w:sz w:val="20"/>
                <w:szCs w:val="20"/>
                <w:color w:val="auto"/>
              </w:rPr>
            </w:pPr>
            <w:r>
              <w:rPr>
                <w:rFonts w:ascii="Arial" w:cs="Arial" w:eastAsia="Arial" w:hAnsi="Arial"/>
                <w:sz w:val="18"/>
                <w:szCs w:val="18"/>
                <w:color w:val="auto"/>
              </w:rPr>
              <w:t>Underlying</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Risk-Free</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Expected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Each</w:t>
            </w:r>
          </w:p>
        </w:tc>
        <w:tc>
          <w:tcPr>
            <w:tcW w:w="1040" w:type="dxa"/>
            <w:vAlign w:val="bottom"/>
            <w:gridSpan w:val="2"/>
          </w:tcPr>
          <w:p>
            <w:pPr>
              <w:spacing w:after="0"/>
              <w:rPr>
                <w:sz w:val="20"/>
                <w:szCs w:val="20"/>
                <w:color w:val="auto"/>
              </w:rPr>
            </w:pPr>
            <w:r>
              <w:rPr>
                <w:rFonts w:ascii="Arial" w:cs="Arial" w:eastAsia="Arial" w:hAnsi="Arial"/>
                <w:sz w:val="18"/>
                <w:szCs w:val="18"/>
                <w:color w:val="auto"/>
              </w:rPr>
              <w:t>Dividend</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Grant Date</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Option</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Yield (1)</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FMV</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Volatility</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3, 2021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All Plans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March 27, 2020</w:t>
            </w: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All Plans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(1)Stock dividend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Arial" w:cs="Arial" w:eastAsia="Arial" w:hAnsi="Arial"/>
                <w:sz w:val="18"/>
                <w:szCs w:val="18"/>
                <w:color w:val="auto"/>
              </w:rPr>
              <w:t>13) Stock Compensation Plans (Continued)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00" w:type="dxa"/>
            <w:vAlign w:val="bottom"/>
            <w:gridSpan w:val="3"/>
          </w:tcPr>
          <w:p>
            <w:pPr>
              <w:spacing w:after="0"/>
              <w:rPr>
                <w:sz w:val="20"/>
                <w:szCs w:val="20"/>
                <w:color w:val="auto"/>
              </w:rPr>
            </w:pPr>
            <w:r>
              <w:rPr>
                <w:rFonts w:ascii="Arial" w:cs="Arial" w:eastAsia="Arial" w:hAnsi="Arial"/>
                <w:sz w:val="18"/>
                <w:szCs w:val="18"/>
                <w:color w:val="auto"/>
                <w:w w:val="96"/>
              </w:rPr>
              <w:t>Activity of the stock option plans is summarized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3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7"/>
              </w:rPr>
              <w:t>Class A Shares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6"/>
              </w:rPr>
              <w:t>Class C Shares</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1,086,053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594,132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Adjustment for the effect of stock dividends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27,968</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19,354</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180"/>
              <w:spacing w:after="0"/>
              <w:rPr>
                <w:sz w:val="20"/>
                <w:szCs w:val="20"/>
                <w:color w:val="auto"/>
              </w:rPr>
            </w:pPr>
            <w:r>
              <w:rPr>
                <w:rFonts w:ascii="Arial" w:cs="Arial" w:eastAsia="Arial" w:hAnsi="Arial"/>
                <w:sz w:val="18"/>
                <w:szCs w:val="18"/>
                <w:color w:val="auto"/>
              </w:rPr>
              <w:t>Exercised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(116,487)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(130,820)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1,072,863</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662,666</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180"/>
              <w:spacing w:after="0"/>
              <w:rPr>
                <w:sz w:val="20"/>
                <w:szCs w:val="20"/>
                <w:color w:val="auto"/>
              </w:rPr>
            </w:pPr>
            <w:r>
              <w:rPr>
                <w:rFonts w:ascii="Arial" w:cs="Arial" w:eastAsia="Arial" w:hAnsi="Arial"/>
                <w:sz w:val="18"/>
                <w:szCs w:val="18"/>
                <w:color w:val="auto"/>
              </w:rPr>
              <w:t>Adjustment for the effect of stock dividends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47,594</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33,136</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180"/>
              <w:spacing w:after="0"/>
              <w:rPr>
                <w:sz w:val="20"/>
                <w:szCs w:val="20"/>
                <w:color w:val="auto"/>
              </w:rPr>
            </w:pPr>
            <w:r>
              <w:rPr>
                <w:rFonts w:ascii="Arial" w:cs="Arial" w:eastAsia="Arial" w:hAnsi="Arial"/>
                <w:sz w:val="18"/>
                <w:szCs w:val="18"/>
                <w:color w:val="auto"/>
              </w:rPr>
              <w:t>Exercised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(183,935)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(104,656)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1,024,351</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821,146</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934,851</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591,146</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232,376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16,689</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contractual term of options outstanding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 years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 years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contractual term of options exercisable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 years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 years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Aggregated intrinsic value of options outstanding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2021 (1)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4,700,708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3,009,168</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Aggregated intrinsic value of options exercisable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2021 (1)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4,648,798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2,918,768</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(1)The Company used a stock price of $9.20 as of December 31, 2021 to derive intrinsic value.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years ended December 31, 2021 and 2020 was $1,153,417 and $663,901,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Statutory Financial Information and Dividend Limitations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NAIC, as well as state laws, regulations and general administrative rules. Permitted statutory accounting practices encompass all accounting practices not so prescribed.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states in which the Company’s life insurance subsidiaries are domiciled require the preparation of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Statutory net income and capital and surplus of the Company’s insurance subsidiaries, determined in accordance with statutory accounting practices prescribed or permitted by insurance regulatory authorities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color w:val="auto"/>
              </w:rPr>
              <w:t>Statutory Net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color w:val="auto"/>
                <w:w w:val="91"/>
              </w:rPr>
              <w:t>Statutory Capital and Surplus</w:t>
            </w:r>
          </w:p>
        </w:tc>
      </w:tr>
      <w:tr>
        <w:trPr>
          <w:trHeight w:val="230"/>
        </w:trPr>
        <w:tc>
          <w:tcPr>
            <w:tcW w:w="4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500"/>
              <w:spacing w:after="0"/>
              <w:rPr>
                <w:sz w:val="20"/>
                <w:szCs w:val="20"/>
                <w:color w:val="auto"/>
              </w:rPr>
            </w:pPr>
            <w:r>
              <w:rPr>
                <w:rFonts w:ascii="Arial" w:cs="Arial" w:eastAsia="Arial" w:hAnsi="Arial"/>
                <w:sz w:val="18"/>
                <w:szCs w:val="18"/>
                <w:color w:val="auto"/>
                <w:w w:val="93"/>
              </w:rPr>
              <w:t>Years Ended December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December 31</w:t>
            </w:r>
          </w:p>
        </w:tc>
      </w:tr>
      <w:tr>
        <w:trPr>
          <w:trHeight w:val="223"/>
        </w:trPr>
        <w:tc>
          <w:tcPr>
            <w:tcW w:w="40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Amounts by insurance subsidiary:</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Security National Life Insurance Company</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5,552,116</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6,054,764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57,424,808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53,089,185</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Kilpatrick Life Insurance Company</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1,312,718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1,574,128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15,566,231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15,177,996</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First Guaranty Insurance Company</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624,550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790,221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7,734,357</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7,045,644</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Memorial Insurance Company of America</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1,088,034</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Southern Security Life Insurance Company, Inc.</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1,578,225</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1,581,647</w:t>
            </w:r>
          </w:p>
        </w:tc>
        <w:tc>
          <w:tcPr>
            <w:tcW w:w="6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Trans-Western Life Insurance Company</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508,547</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510,636</w:t>
            </w:r>
          </w:p>
        </w:tc>
        <w:tc>
          <w:tcPr>
            <w:tcW w:w="60" w:type="dxa"/>
            <w:vAlign w:val="bottom"/>
            <w:shd w:val="clear" w:color="auto" w:fill="CCEEFF"/>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7,487,607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8,417,824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82,812,168</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78,493,142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Utah, Louisiana, Mississippi and Texas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2021.</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Statutory Financial Information and Dividend Limitations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Utah Insurance Code, Security National Life Insurance Company is permitted to pay stockholder dividends, or otherwise make distributions, to the Company subject to certain limitations. Security National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Utah law and Security National Life Insurance Company would be required to file notice of its intention to declare such a dividend or make such a distribution with the Utah Commissioner and the Utah Commissioner must either approve the distribution or dividend or not disapprove the dividend or distribution within 30 days’ of the notice filing. Based on Security National Life Insurance Company’s surplus held for policyholders and net gain from operations as of December 31, 2021, the maximum aggregate amount of dividends and distributions that it could pay or make in 2022 and which would not constitute an “extraordinary” dividend or distribution under Utah law, and would therefore not require notice and approval or lack of disproval from the Utah Commissioner, would be approximately $5,054,000.</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Louisiana Insurance Code, First Guaranty Insurance Company and Kilpatrick Life Insurance Company are permitted to pay stockholder dividends, or otherwise make distributions, to the Company subject to certain limitations. First Guaranty Insurance Company and Kilpatrick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Louisiana law and First Guaranty Insurance Company and Kilpatrick Life Insurance Company would be required to file notice of its intention to declare such a dividend or make such a distribution with the Louisiana Commissioner and the Louisiana Commissioner must either approve the distribution or dividend or not disapprove the dividend or distribution within 30 days’ of the notice filing. Based on First Guaranty Insurance Company’s and Kilpatrick Life Insurance Company’s surplus held for policyholders and net gain from operations as of December 31, 2021, the maximum aggregate amount of dividends and distributions that it could pay or make in 2022 and which would not constitute an “extraordinary” dividend or distribution under Louisiana law, and would therefore not require notice and approval or lack of disproval from the Louisiana Commissioner, would be approximately $605,000 for First Guaranty Insurance Company and $950,000 for Kilpatrick Life Insurance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and Services by Segment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pre-sold loans before the funds are received from financial institutional investors.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of Segment Profit or Loss and Segment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reportable segments are the same as those described in the Significant Accounting Principles. Intersegment revenues are recorded at cost plus an agreed upon intercompany profit, and are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Management Used to Identify the Enterprise’s Reportable 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Arial" w:cs="Arial" w:eastAsia="Arial" w:hAnsi="Arial"/>
                <w:sz w:val="18"/>
                <w:szCs w:val="18"/>
                <w:color w:val="auto"/>
              </w:rPr>
              <w:t>15) Business Segment Information (Continued)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right"/>
              <w:ind w:right="981"/>
              <w:spacing w:after="0"/>
              <w:rPr>
                <w:sz w:val="20"/>
                <w:szCs w:val="20"/>
                <w:color w:val="auto"/>
              </w:rPr>
            </w:pPr>
            <w:r>
              <w:rPr>
                <w:rFonts w:ascii="Arial" w:cs="Arial" w:eastAsia="Arial" w:hAnsi="Arial"/>
                <w:sz w:val="18"/>
                <w:szCs w:val="18"/>
                <w:color w:val="auto"/>
              </w:rPr>
              <w:t>Year Ended December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81"/>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1"/>
              <w:spacing w:after="0"/>
              <w:rPr>
                <w:sz w:val="20"/>
                <w:szCs w:val="20"/>
                <w:color w:val="auto"/>
              </w:rPr>
            </w:pPr>
            <w:r>
              <w:rPr>
                <w:rFonts w:ascii="Arial" w:cs="Arial" w:eastAsia="Arial" w:hAnsi="Arial"/>
                <w:sz w:val="18"/>
                <w:szCs w:val="18"/>
                <w:color w:val="auto"/>
                <w:w w:val="89"/>
              </w:rPr>
              <w:t>Cemetery/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Arial" w:cs="Arial" w:eastAsia="Arial" w:hAnsi="Arial"/>
                <w:sz w:val="18"/>
                <w:szCs w:val="18"/>
                <w:color w:val="auto"/>
                <w:w w:val="93"/>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8"/>
                <w:szCs w:val="18"/>
                <w:color w:val="auto"/>
              </w:rPr>
              <w:t>Insurance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color w:val="auto"/>
                <w:w w:val="95"/>
              </w:rPr>
              <w:t>Mortuary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1"/>
              <w:spacing w:after="0"/>
              <w:rPr>
                <w:sz w:val="20"/>
                <w:szCs w:val="20"/>
                <w:color w:val="auto"/>
              </w:rPr>
            </w:pPr>
            <w:r>
              <w:rPr>
                <w:rFonts w:ascii="Arial" w:cs="Arial" w:eastAsia="Arial" w:hAnsi="Arial"/>
                <w:sz w:val="18"/>
                <w:szCs w:val="18"/>
                <w:color w:val="auto"/>
                <w:w w:val="97"/>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w w:val="92"/>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Consolidated</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From external sources: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 from customers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100,254,573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23,997,313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3"/>
              </w:rPr>
              <w:t>263,418,230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387,670,116</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56,091,725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1,653,940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519,018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58,264,683</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4,554,528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1,511,965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198,641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6,265,134</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Other than temporary impairments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(39,502)</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2,152,531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16,282,325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18,535,111</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7,569,875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314,001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599,115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(8,482,991)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170,583,730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27,577,474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281,017,329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(8,482,991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470,695,542</w:t>
            </w:r>
          </w:p>
        </w:tc>
        <w:tc>
          <w:tcPr>
            <w:tcW w:w="100" w:type="dxa"/>
            <w:vAlign w:val="bottom"/>
            <w:tcBorders>
              <w:bottom w:val="single" w:sz="8" w:color="CCEEFF"/>
            </w:tcBorders>
          </w:tcPr>
          <w:p>
            <w:pPr>
              <w:spacing w:after="0"/>
              <w:rPr>
                <w:sz w:val="18"/>
                <w:szCs w:val="18"/>
                <w:color w:val="auto"/>
              </w:rPr>
            </w:pPr>
          </w:p>
        </w:tc>
      </w:tr>
      <w:tr>
        <w:trPr>
          <w:trHeight w:val="209"/>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Death, surrenders and other policy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67,218,455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67,218,455</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26,263,312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26,263,312</w:t>
            </w:r>
          </w:p>
        </w:tc>
      </w:tr>
      <w:tr>
        <w:trPr>
          <w:trHeight w:val="202"/>
        </w:trPr>
        <w:tc>
          <w:tcPr>
            <w:tcW w:w="3840" w:type="dxa"/>
            <w:vAlign w:val="bottom"/>
            <w:gridSpan w:val="3"/>
          </w:tcPr>
          <w:p>
            <w:pPr>
              <w:spacing w:after="0" w:line="201" w:lineRule="exact"/>
              <w:rPr>
                <w:sz w:val="20"/>
                <w:szCs w:val="20"/>
                <w:color w:val="auto"/>
              </w:rPr>
            </w:pPr>
            <w:r>
              <w:rPr>
                <w:rFonts w:ascii="Arial" w:cs="Arial" w:eastAsia="Arial" w:hAnsi="Arial"/>
                <w:sz w:val="18"/>
                <w:szCs w:val="18"/>
                <w:color w:val="auto"/>
              </w:rPr>
              <w:t>Amortization of deferred policy and pre-need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w w:val="99"/>
              </w:rPr>
              <w:t>acquisition costs and value of business acquired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15,611,374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531,596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16,142,970</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3,514,498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1,917,899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112,854,072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118,286,469</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Personnel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25,009,096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6,850,617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68,880,448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100,740,161</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1,160,640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570,924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4,894,854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6,626,418</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Rent and rent related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733,726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109,318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6,399,243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7,242,287</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806,543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479,005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650,065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1,935,613</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Provision for loan loss reserve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Cost related to funding mortgage loans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10,541,570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10,541,570</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Intersegment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497,113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113,062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671,107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(1,281,282)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12,075,374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5,224,178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35,766,430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53,065,982</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Intersegment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392,003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97,195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6,712,511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(7,201,709)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2,328,868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4,744,028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7,127,516</w:t>
            </w:r>
          </w:p>
        </w:tc>
      </w:tr>
      <w:tr>
        <w:trPr>
          <w:trHeight w:val="202"/>
        </w:trPr>
        <w:tc>
          <w:tcPr>
            <w:tcW w:w="3840" w:type="dxa"/>
            <w:vAlign w:val="bottom"/>
            <w:gridSpan w:val="3"/>
          </w:tcPr>
          <w:p>
            <w:pPr>
              <w:spacing w:after="0" w:line="201" w:lineRule="exact"/>
              <w:rPr>
                <w:sz w:val="20"/>
                <w:szCs w:val="20"/>
                <w:color w:val="auto"/>
              </w:rPr>
            </w:pPr>
            <w:r>
              <w:rPr>
                <w:rFonts w:ascii="Arial" w:cs="Arial" w:eastAsia="Arial" w:hAnsi="Arial"/>
                <w:sz w:val="18"/>
                <w:szCs w:val="18"/>
                <w:color w:val="auto"/>
                <w:w w:val="97"/>
              </w:rPr>
              <w:t>Costs of goods and services sold-mortuaries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3840" w:type="dxa"/>
            <w:vAlign w:val="bottom"/>
            <w:gridSpan w:val="3"/>
          </w:tcPr>
          <w:p>
            <w:pPr>
              <w:spacing w:after="0"/>
              <w:rPr>
                <w:sz w:val="20"/>
                <w:szCs w:val="20"/>
                <w:color w:val="auto"/>
              </w:rPr>
            </w:pPr>
            <w:r>
              <w:rPr>
                <w:rFonts w:ascii="Arial" w:cs="Arial" w:eastAsia="Arial" w:hAnsi="Arial"/>
                <w:sz w:val="18"/>
                <w:szCs w:val="18"/>
                <w:color w:val="auto"/>
              </w:rPr>
              <w:t>cemeteries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3,704,014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3,704,014</w:t>
            </w:r>
          </w:p>
        </w:tc>
      </w:tr>
      <w:tr>
        <w:trPr>
          <w:trHeight w:val="210"/>
        </w:trPr>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155,611,002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19,652,428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252,114,328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(8,482,991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418,894,767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14,972,728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7,925,046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28,903,001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51,800,775</w:t>
            </w:r>
          </w:p>
        </w:tc>
        <w:tc>
          <w:tcPr>
            <w:tcW w:w="100" w:type="dxa"/>
            <w:vAlign w:val="bottom"/>
            <w:tcBorders>
              <w:bottom w:val="single" w:sz="8" w:color="CCEEFF"/>
            </w:tcBorders>
          </w:tcPr>
          <w:p>
            <w:pPr>
              <w:spacing w:after="0"/>
              <w:rPr>
                <w:sz w:val="18"/>
                <w:szCs w:val="18"/>
                <w:color w:val="auto"/>
              </w:rPr>
            </w:pPr>
          </w:p>
        </w:tc>
      </w:tr>
      <w:tr>
        <w:trPr>
          <w:trHeight w:val="209"/>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(2,943,715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(1,975,787</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(7,362,283</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(12,281,785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5,949,259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21,540,718</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39,518,990</w:t>
            </w:r>
          </w:p>
        </w:tc>
        <w:tc>
          <w:tcPr>
            <w:tcW w:w="100" w:type="dxa"/>
            <w:vAlign w:val="bottom"/>
            <w:tcBorders>
              <w:bottom w:val="single" w:sz="8" w:color="CCEEFF"/>
            </w:tcBorders>
          </w:tcPr>
          <w:p>
            <w:pPr>
              <w:spacing w:after="0"/>
              <w:rPr>
                <w:sz w:val="22"/>
                <w:szCs w:val="22"/>
                <w:color w:val="auto"/>
              </w:rPr>
            </w:pPr>
          </w:p>
        </w:tc>
      </w:tr>
      <w:tr>
        <w:trPr>
          <w:trHeight w:val="196"/>
        </w:trPr>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8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w w:val="90"/>
              </w:rPr>
              <w:t>1,236,406,557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73,432,116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328,600,841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(96,099,992)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1,542,339,522</w:t>
            </w:r>
          </w:p>
        </w:tc>
      </w:tr>
      <w:tr>
        <w:trPr>
          <w:trHeight w:val="197"/>
        </w:trPr>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2,765,570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2,488,213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5,253,783</w:t>
            </w: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88</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Arial" w:cs="Arial" w:eastAsia="Arial" w:hAnsi="Arial"/>
                <w:sz w:val="18"/>
                <w:szCs w:val="18"/>
                <w:color w:val="auto"/>
              </w:rPr>
              <w:t>15) Business Segment Information (Continued)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right"/>
              <w:ind w:right="981"/>
              <w:spacing w:after="0"/>
              <w:rPr>
                <w:sz w:val="20"/>
                <w:szCs w:val="20"/>
                <w:color w:val="auto"/>
              </w:rPr>
            </w:pPr>
            <w:r>
              <w:rPr>
                <w:rFonts w:ascii="Arial" w:cs="Arial" w:eastAsia="Arial" w:hAnsi="Arial"/>
                <w:sz w:val="18"/>
                <w:szCs w:val="18"/>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81"/>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1"/>
              <w:spacing w:after="0"/>
              <w:rPr>
                <w:sz w:val="20"/>
                <w:szCs w:val="20"/>
                <w:color w:val="auto"/>
              </w:rPr>
            </w:pPr>
            <w:r>
              <w:rPr>
                <w:rFonts w:ascii="Arial" w:cs="Arial" w:eastAsia="Arial" w:hAnsi="Arial"/>
                <w:sz w:val="18"/>
                <w:szCs w:val="18"/>
                <w:color w:val="auto"/>
                <w:w w:val="93"/>
              </w:rPr>
              <w:t>Cemetery/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Arial" w:cs="Arial" w:eastAsia="Arial" w:hAnsi="Arial"/>
                <w:sz w:val="18"/>
                <w:szCs w:val="18"/>
                <w:color w:val="auto"/>
                <w:w w:val="93"/>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8"/>
                <w:szCs w:val="18"/>
                <w:color w:val="auto"/>
              </w:rPr>
              <w:t>Insurance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41"/>
              <w:spacing w:after="0"/>
              <w:rPr>
                <w:sz w:val="20"/>
                <w:szCs w:val="20"/>
                <w:color w:val="auto"/>
              </w:rPr>
            </w:pPr>
            <w:r>
              <w:rPr>
                <w:rFonts w:ascii="Arial" w:cs="Arial" w:eastAsia="Arial" w:hAnsi="Arial"/>
                <w:sz w:val="18"/>
                <w:szCs w:val="18"/>
                <w:color w:val="auto"/>
              </w:rPr>
              <w:t>Mortuary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1"/>
              <w:spacing w:after="0"/>
              <w:rPr>
                <w:sz w:val="20"/>
                <w:szCs w:val="20"/>
                <w:color w:val="auto"/>
              </w:rPr>
            </w:pPr>
            <w:r>
              <w:rPr>
                <w:rFonts w:ascii="Arial" w:cs="Arial" w:eastAsia="Arial" w:hAnsi="Arial"/>
                <w:sz w:val="18"/>
                <w:szCs w:val="18"/>
                <w:color w:val="auto"/>
                <w:w w:val="97"/>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w w:val="92"/>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Consolidated</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From external sources: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 from customers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93,020,617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20,307,435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3"/>
              </w:rPr>
              <w:t>298,933,110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412,261,162</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54,811,486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807,695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710,622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56,329,803</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2,088,541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(162,652)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1,925,850</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Other than temporary impairments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(370,975)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(370,975)</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1,491,585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94,349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9,731,548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11,317,482</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8,022,503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351,505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716,240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(9,090,248)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159,063,757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21,398,332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310,091,481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(9,090,248</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481,463,322</w:t>
            </w:r>
          </w:p>
        </w:tc>
        <w:tc>
          <w:tcPr>
            <w:tcW w:w="100" w:type="dxa"/>
            <w:vAlign w:val="bottom"/>
            <w:tcBorders>
              <w:bottom w:val="single" w:sz="8" w:color="CCEEFF"/>
            </w:tcBorders>
          </w:tcPr>
          <w:p>
            <w:pPr>
              <w:spacing w:after="0"/>
              <w:rPr>
                <w:sz w:val="18"/>
                <w:szCs w:val="18"/>
                <w:color w:val="auto"/>
              </w:rPr>
            </w:pPr>
          </w:p>
        </w:tc>
      </w:tr>
      <w:tr>
        <w:trPr>
          <w:trHeight w:val="209"/>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Death, surrenders and other policy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62,841,360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62,841,360</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23,568,650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23,568,650</w:t>
            </w:r>
          </w:p>
        </w:tc>
      </w:tr>
      <w:tr>
        <w:trPr>
          <w:trHeight w:val="202"/>
        </w:trPr>
        <w:tc>
          <w:tcPr>
            <w:tcW w:w="3840" w:type="dxa"/>
            <w:vAlign w:val="bottom"/>
            <w:gridSpan w:val="3"/>
          </w:tcPr>
          <w:p>
            <w:pPr>
              <w:spacing w:after="0" w:line="201" w:lineRule="exact"/>
              <w:rPr>
                <w:sz w:val="20"/>
                <w:szCs w:val="20"/>
                <w:color w:val="auto"/>
              </w:rPr>
            </w:pPr>
            <w:r>
              <w:rPr>
                <w:rFonts w:ascii="Arial" w:cs="Arial" w:eastAsia="Arial" w:hAnsi="Arial"/>
                <w:sz w:val="18"/>
                <w:szCs w:val="18"/>
                <w:color w:val="auto"/>
              </w:rPr>
              <w:t>Amortization of deferred policy and pre-need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w w:val="99"/>
              </w:rPr>
              <w:t>acquisition costs and value of business acquired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13,618,204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689,221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14,307,425</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4,149,241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1,506,320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118,770,736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124,426,297</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Personnel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25,449,100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5,669,367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53,871,504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84,989,971</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614,114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391,836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4,374,946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5,380,896</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Rent and rent related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861,602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89,253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5,922,706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6,873,561</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843,335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488,570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746,833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2,078,738</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Provision for loan loss reserve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16,506,030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16,506,030</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Cost related to funding mortgage loans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9,877,700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9,877,700</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Intersegment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621,161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142,999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580,976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(1,345,136)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11,808,818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4,417,805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31,104,479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47,331,102</w:t>
            </w: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Intersegment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410,024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152,175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7,182,913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(7,745,112)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2,354,760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198,968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6,025,082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8,578,810</w:t>
            </w:r>
          </w:p>
        </w:tc>
      </w:tr>
      <w:tr>
        <w:trPr>
          <w:trHeight w:val="202"/>
        </w:trPr>
        <w:tc>
          <w:tcPr>
            <w:tcW w:w="3840" w:type="dxa"/>
            <w:vAlign w:val="bottom"/>
            <w:gridSpan w:val="3"/>
          </w:tcPr>
          <w:p>
            <w:pPr>
              <w:spacing w:after="0" w:line="201" w:lineRule="exact"/>
              <w:rPr>
                <w:sz w:val="20"/>
                <w:szCs w:val="20"/>
                <w:color w:val="auto"/>
              </w:rPr>
            </w:pPr>
            <w:r>
              <w:rPr>
                <w:rFonts w:ascii="Arial" w:cs="Arial" w:eastAsia="Arial" w:hAnsi="Arial"/>
                <w:sz w:val="18"/>
                <w:szCs w:val="18"/>
                <w:color w:val="auto"/>
                <w:w w:val="97"/>
              </w:rPr>
              <w:t>Costs of goods and services sold-mortuaries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3840" w:type="dxa"/>
            <w:vAlign w:val="bottom"/>
            <w:gridSpan w:val="3"/>
          </w:tcPr>
          <w:p>
            <w:pPr>
              <w:spacing w:after="0"/>
              <w:rPr>
                <w:sz w:val="20"/>
                <w:szCs w:val="20"/>
                <w:color w:val="auto"/>
              </w:rPr>
            </w:pPr>
            <w:r>
              <w:rPr>
                <w:rFonts w:ascii="Arial" w:cs="Arial" w:eastAsia="Arial" w:hAnsi="Arial"/>
                <w:sz w:val="18"/>
                <w:szCs w:val="18"/>
                <w:color w:val="auto"/>
              </w:rPr>
              <w:t>cemeteries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3,252,655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3,252,655</w:t>
            </w:r>
          </w:p>
        </w:tc>
      </w:tr>
      <w:tr>
        <w:trPr>
          <w:trHeight w:val="210"/>
        </w:trPr>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147,140,369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16,999,169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254,963,905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(9,090,248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410,013,195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11,923,388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4,399,163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55,127,576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71,450,127</w:t>
            </w:r>
          </w:p>
        </w:tc>
        <w:tc>
          <w:tcPr>
            <w:tcW w:w="100" w:type="dxa"/>
            <w:vAlign w:val="bottom"/>
            <w:tcBorders>
              <w:bottom w:val="single" w:sz="8" w:color="CCEEFF"/>
            </w:tcBorders>
          </w:tcPr>
          <w:p>
            <w:pPr>
              <w:spacing w:after="0"/>
              <w:rPr>
                <w:sz w:val="18"/>
                <w:szCs w:val="18"/>
                <w:color w:val="auto"/>
              </w:rPr>
            </w:pPr>
          </w:p>
        </w:tc>
      </w:tr>
      <w:tr>
        <w:trPr>
          <w:trHeight w:val="210"/>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(1,433,901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(1,009,137</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(13,410,476</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(15,853,514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10,489,487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3,390,026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41,717,100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55,596,613</w:t>
            </w:r>
          </w:p>
        </w:tc>
        <w:tc>
          <w:tcPr>
            <w:tcW w:w="100" w:type="dxa"/>
            <w:vAlign w:val="bottom"/>
            <w:tcBorders>
              <w:bottom w:val="single" w:sz="8" w:color="CCEEFF"/>
            </w:tcBorders>
          </w:tcPr>
          <w:p>
            <w:pPr>
              <w:spacing w:after="0"/>
              <w:rPr>
                <w:sz w:val="22"/>
                <w:szCs w:val="22"/>
                <w:color w:val="auto"/>
              </w:rPr>
            </w:pPr>
          </w:p>
        </w:tc>
      </w:tr>
      <w:tr>
        <w:trPr>
          <w:trHeight w:val="196"/>
        </w:trPr>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8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w w:val="90"/>
              </w:rPr>
              <w:t>1,171,158,235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56,335,498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408,325,196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(90,398,039)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1,545,420,890</w:t>
            </w:r>
          </w:p>
        </w:tc>
      </w:tr>
      <w:tr>
        <w:trPr>
          <w:trHeight w:val="197"/>
        </w:trPr>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2,765,570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754,018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3,519,588</w:t>
            </w: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89</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 The Company and its Board of Directors is unaware of any related party transactions that require disclosure as of December 31, 2021.</w:t>
      </w:r>
    </w:p>
    <w:p>
      <w:pPr>
        <w:spacing w:after="0" w:line="184"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can 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25" w:lineRule="exact"/>
        <w:rPr>
          <w:sz w:val="20"/>
          <w:szCs w:val="20"/>
          <w:color w:val="auto"/>
        </w:rPr>
      </w:pPr>
    </w:p>
    <w:p>
      <w:pPr>
        <w:ind w:left="940" w:hanging="176"/>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960" w:hanging="19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9" w:lineRule="exact"/>
        <w:rPr>
          <w:rFonts w:ascii="Arial" w:cs="Arial" w:eastAsia="Arial" w:hAnsi="Arial"/>
          <w:sz w:val="18"/>
          <w:szCs w:val="18"/>
          <w:color w:val="auto"/>
        </w:rPr>
      </w:pPr>
    </w:p>
    <w:p>
      <w:pPr>
        <w:ind w:left="940" w:hanging="176"/>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in estimating the fair value disclosures related to significant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Fixed Maturity Securities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fixed maturity securities are based on quoted market prices, when available. For fixed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Loans Held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the fair value option for loans held for sale. The fair value is based on quoted market prices, when available.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When a quoted market price is not readily available, the Company uses the market price from its last sale of similar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Restricted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these assets include mutual funds, equity securities and fixed maturity securities available for sale that have quoted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prices that are 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Cemetery Perpetual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and fixed maturity securities available for sale that have</w:t>
      </w:r>
      <w:r>
        <w:rPr>
          <w:rFonts w:ascii="Arial" w:cs="Arial" w:eastAsia="Arial" w:hAnsi="Arial"/>
          <w:sz w:val="17"/>
          <w:szCs w:val="17"/>
          <w:i w:val="1"/>
          <w:iCs w:val="1"/>
          <w:color w:val="auto"/>
        </w:rPr>
        <w:t xml:space="preserve"> </w:t>
      </w:r>
      <w:r>
        <w:rPr>
          <w:rFonts w:ascii="Arial" w:cs="Arial" w:eastAsia="Arial" w:hAnsi="Arial"/>
          <w:sz w:val="17"/>
          <w:szCs w:val="17"/>
          <w:color w:val="auto"/>
        </w:rPr>
        <w:t>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quoted market prices to value its call and put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were no transfers between Level 1 and Level 2 in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3 are valued as follows: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Impaired Real Estate Held for Investment</w:t>
      </w:r>
      <w:r>
        <w:rPr>
          <w:rFonts w:ascii="Arial" w:cs="Arial" w:eastAsia="Arial" w:hAnsi="Arial"/>
          <w:sz w:val="18"/>
          <w:szCs w:val="18"/>
          <w:color w:val="auto"/>
        </w:rPr>
        <w:t>: The Company believes that in an orderly market, fair value will approximate the replacement cost of a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color w:val="auto"/>
        </w:rPr>
        <w:t>: The Company initially recognizes MSRs at their estimated fair values derived from the net cash flows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contracts, where the Company assumes the obligation to service the loan in the sale transaction.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recurring basis by their classification in the consolidated balance sheet at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20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Identical Assets</w:t>
            </w: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Observable Inputs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r>
      <w:tr>
        <w:trPr>
          <w:trHeight w:val="230"/>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259,287,603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257,264,255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2,023,348</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11,596,414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11,596,414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302,776,827</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302,776,827</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1,601,688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1,601,688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3,603,822</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3,603,822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784,765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784,765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3,302,480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3,302,480</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8,563,410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8,563,410</w:t>
            </w:r>
          </w:p>
        </w:tc>
        <w:tc>
          <w:tcPr>
            <w:tcW w:w="100" w:type="dxa"/>
            <w:vAlign w:val="bottom"/>
            <w:shd w:val="clear" w:color="auto" w:fill="CCEEFF"/>
          </w:tcPr>
          <w:p>
            <w:pPr>
              <w:spacing w:after="0"/>
              <w:rPr>
                <w:sz w:val="19"/>
                <w:szCs w:val="19"/>
                <w:color w:val="auto"/>
              </w:rPr>
            </w:pPr>
          </w:p>
        </w:tc>
      </w:tr>
      <w:tr>
        <w:trPr>
          <w:trHeight w:val="182"/>
        </w:trPr>
        <w:tc>
          <w:tcPr>
            <w:tcW w:w="3780" w:type="dxa"/>
            <w:vAlign w:val="bottom"/>
          </w:tcPr>
          <w:p>
            <w:pPr>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3780" w:type="dxa"/>
            <w:vAlign w:val="bottom"/>
          </w:tcPr>
          <w:p>
            <w:pPr>
              <w:spacing w:after="0"/>
              <w:rPr>
                <w:sz w:val="20"/>
                <w:szCs w:val="20"/>
                <w:color w:val="auto"/>
              </w:rPr>
            </w:pPr>
            <w:r>
              <w:rPr>
                <w:rFonts w:ascii="Arial" w:cs="Arial" w:eastAsia="Arial" w:hAnsi="Arial"/>
                <w:sz w:val="18"/>
                <w:szCs w:val="18"/>
                <w:color w:val="auto"/>
              </w:rPr>
              <w:t>recurring basis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591,517,009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18,502,716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259,650,708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313,363,585</w:t>
            </w:r>
          </w:p>
        </w:tc>
        <w:tc>
          <w:tcPr>
            <w:tcW w:w="100" w:type="dxa"/>
            <w:vAlign w:val="bottom"/>
          </w:tcPr>
          <w:p>
            <w:pPr>
              <w:spacing w:after="0"/>
              <w:rPr>
                <w:sz w:val="24"/>
                <w:szCs w:val="24"/>
                <w:color w:val="auto"/>
              </w:rPr>
            </w:pPr>
          </w:p>
        </w:tc>
      </w:tr>
      <w:tr>
        <w:trPr>
          <w:trHeight w:val="196"/>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(50,936)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Derivatives - put options (4)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(4,493)</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(4,493)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(1,547,895)</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(1,547,895)</w:t>
            </w:r>
          </w:p>
        </w:tc>
      </w:tr>
      <w:tr>
        <w:trPr>
          <w:trHeight w:val="182"/>
        </w:trPr>
        <w:tc>
          <w:tcPr>
            <w:tcW w:w="3780" w:type="dxa"/>
            <w:vAlign w:val="bottom"/>
          </w:tcPr>
          <w:p>
            <w:pPr>
              <w:spacing w:after="0" w:line="182" w:lineRule="exact"/>
              <w:rPr>
                <w:sz w:val="20"/>
                <w:szCs w:val="20"/>
                <w:color w:val="auto"/>
              </w:rPr>
            </w:pPr>
            <w:r>
              <w:rPr>
                <w:rFonts w:ascii="Arial" w:cs="Arial" w:eastAsia="Arial" w:hAnsi="Arial"/>
                <w:sz w:val="18"/>
                <w:szCs w:val="18"/>
                <w:color w:val="auto"/>
              </w:rPr>
              <w:t>Total liabilities accounted for at fair value</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on a recurring basis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(1,603,324)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(55,429)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(1,547,895)</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(1)Fixed maturity securities available for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(2)Equity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(3)Included in other assets on the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(4)Included in other liabilities and accrued expenses on the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recurring basis by their classification in the consolidated balance sheet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for Identical Assets</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Observable Inputs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r>
      <w:tr>
        <w:trPr>
          <w:trHeight w:val="230"/>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294,656,679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292,455,504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2,201,175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11,324,239</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11,324,239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422,772,418</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422,772,418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1,473,637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1,473,637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2,515,778</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2,515,778</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747,767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747,767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2,062,303</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2,062,303</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12,592,672</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12,592,672</w:t>
            </w:r>
          </w:p>
        </w:tc>
      </w:tr>
      <w:tr>
        <w:trPr>
          <w:trHeight w:val="182"/>
        </w:trPr>
        <w:tc>
          <w:tcPr>
            <w:tcW w:w="3780" w:type="dxa"/>
            <w:vAlign w:val="bottom"/>
          </w:tcPr>
          <w:p>
            <w:pPr>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3780" w:type="dxa"/>
            <w:vAlign w:val="bottom"/>
          </w:tcPr>
          <w:p>
            <w:pPr>
              <w:spacing w:after="0"/>
              <w:rPr>
                <w:sz w:val="20"/>
                <w:szCs w:val="20"/>
                <w:color w:val="auto"/>
              </w:rPr>
            </w:pPr>
            <w:r>
              <w:rPr>
                <w:rFonts w:ascii="Arial" w:cs="Arial" w:eastAsia="Arial" w:hAnsi="Arial"/>
                <w:sz w:val="18"/>
                <w:szCs w:val="18"/>
                <w:color w:val="auto"/>
              </w:rPr>
              <w:t>recurring basis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748,145,493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15,902,320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294,676,908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437,566,265</w:t>
            </w:r>
          </w:p>
        </w:tc>
      </w:tr>
      <w:tr>
        <w:trPr>
          <w:trHeight w:val="196"/>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80" w:type="dxa"/>
            <w:vAlign w:val="bottom"/>
          </w:tcPr>
          <w:p>
            <w:pPr>
              <w:ind w:left="60"/>
              <w:spacing w:after="0"/>
              <w:rPr>
                <w:sz w:val="20"/>
                <w:szCs w:val="20"/>
                <w:color w:val="auto"/>
              </w:rPr>
            </w:pPr>
            <w:r>
              <w:rPr>
                <w:rFonts w:ascii="Arial" w:cs="Arial" w:eastAsia="Arial" w:hAnsi="Arial"/>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(43,097)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Derivatives - loan commitments (4)</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(2,464,062)</w:t>
            </w:r>
          </w:p>
        </w:tc>
        <w:tc>
          <w:tcPr>
            <w:tcW w:w="12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(2,464,062)</w:t>
            </w: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liabilities accounted for at fair value</w:t>
            </w: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on a recurring basis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(43,097)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(2,464,062)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(1)Fixed maturity securities available for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(2)Equity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(3)Included in other assets on the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(4)Included in other liabilities and accrued expenses on the consolidated balance sheets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2021, the significant unobservable inputs used in the fair value measurements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8"/>
                <w:szCs w:val="18"/>
                <w:color w:val="auto"/>
              </w:rPr>
              <w:t>Range of Inputs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9"/>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Fair Value at</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Valuation</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Minimum</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Maximum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Weighted</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12/31/2021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Technique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r>
      <w:tr>
        <w:trPr>
          <w:trHeight w:val="195"/>
        </w:trPr>
        <w:tc>
          <w:tcPr>
            <w:tcW w:w="14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Investor contract pricing as a</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unpaid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3"/>
              </w:rPr>
              <w:t>Loans held for sale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302,776,827</w:t>
            </w:r>
          </w:p>
        </w:tc>
        <w:tc>
          <w:tcPr>
            <w:tcW w:w="16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Market approach</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commitments (net)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7,015,515</w:t>
            </w:r>
          </w:p>
        </w:tc>
        <w:tc>
          <w:tcPr>
            <w:tcW w:w="16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Market approach</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Initial-Value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 bps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 bps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 bps</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3"/>
              </w:rPr>
              <w:t>securities available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for sale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2,023,348</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Broker quotes</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106.73</w:t>
            </w:r>
          </w:p>
        </w:tc>
      </w:tr>
      <w:tr>
        <w:trPr>
          <w:trHeight w:val="439"/>
        </w:trPr>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2020, the significant unobservable inputs used in the fair value measurements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8"/>
                <w:szCs w:val="18"/>
                <w:color w:val="auto"/>
              </w:rPr>
              <w:t>Range of Inputs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9"/>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Fair Value at</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Valuation</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Minimum</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Maximum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Weighted</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12/31/2020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Technique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r>
      <w:tr>
        <w:trPr>
          <w:trHeight w:val="195"/>
        </w:trPr>
        <w:tc>
          <w:tcPr>
            <w:tcW w:w="14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Investor contract pricing as a</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unpaid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3"/>
              </w:rPr>
              <w:t>Loans held for sale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422,772,418</w:t>
            </w:r>
          </w:p>
        </w:tc>
        <w:tc>
          <w:tcPr>
            <w:tcW w:w="16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Market approach</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commitments (net)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10,128,610</w:t>
            </w:r>
          </w:p>
        </w:tc>
        <w:tc>
          <w:tcPr>
            <w:tcW w:w="16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Market approach</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Initial-Value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 bps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 bps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 bps</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3"/>
              </w:rPr>
              <w:t>securities available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for sale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2,201,175</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Broker quotes</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changes in the consolidated balance sheet line items measured using level 3 inputs: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Net Derivatives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Loan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Loans Held for</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Fixed Maturity Securities</w:t>
            </w:r>
          </w:p>
        </w:tc>
      </w:tr>
      <w:tr>
        <w:trPr>
          <w:trHeight w:val="230"/>
        </w:trPr>
        <w:tc>
          <w:tcPr>
            <w:tcW w:w="3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Commitments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1220"/>
              <w:spacing w:after="0"/>
              <w:rPr>
                <w:sz w:val="20"/>
                <w:szCs w:val="20"/>
                <w:color w:val="auto"/>
              </w:rPr>
            </w:pPr>
            <w:r>
              <w:rPr>
                <w:rFonts w:ascii="Arial" w:cs="Arial" w:eastAsia="Arial" w:hAnsi="Arial"/>
                <w:sz w:val="18"/>
                <w:szCs w:val="18"/>
                <w:color w:val="auto"/>
              </w:rPr>
              <w:t>Sale</w:t>
            </w:r>
          </w:p>
        </w:tc>
        <w:tc>
          <w:tcPr>
            <w:tcW w:w="180" w:type="dxa"/>
            <w:vAlign w:val="bottom"/>
          </w:tcPr>
          <w:p>
            <w:pPr>
              <w:spacing w:after="0"/>
              <w:rPr>
                <w:sz w:val="20"/>
                <w:szCs w:val="20"/>
                <w:color w:val="auto"/>
              </w:rPr>
            </w:pPr>
          </w:p>
        </w:tc>
        <w:tc>
          <w:tcPr>
            <w:tcW w:w="190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Available for Sale</w:t>
            </w:r>
          </w:p>
        </w:tc>
      </w:tr>
      <w:tr>
        <w:trPr>
          <w:trHeight w:val="210"/>
        </w:trPr>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10,128,610</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422,772,418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2,201,175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Originations/purchases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5,611,189,587</w:t>
            </w:r>
          </w:p>
        </w:tc>
        <w:tc>
          <w:tcPr>
            <w:tcW w:w="18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(5,900,076,766)</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(201,951)</w:t>
            </w:r>
          </w:p>
        </w:tc>
        <w:tc>
          <w:tcPr>
            <w:tcW w:w="18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3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(3,113,095(1)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169,093,539(1)</w:t>
            </w:r>
          </w:p>
        </w:tc>
        <w:tc>
          <w:tcPr>
            <w:tcW w:w="1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3,674(2)</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(135,801)</w:t>
            </w:r>
          </w:p>
        </w:tc>
      </w:tr>
      <w:tr>
        <w:trPr>
          <w:trHeight w:val="230"/>
        </w:trPr>
        <w:tc>
          <w:tcPr>
            <w:tcW w:w="39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2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7,015,515</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302,776,827</w:t>
            </w: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2,023,348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(1)As a component of mortgage fee income on the consolidated statements of earnings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(2)As a component of net investment income on the consolidated statements of earnings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changes in the consolidated balance sheet line items measured using level 3 inputs: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Net Derivatives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Loan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Loans Held for</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Fixed Maturity Securities</w:t>
            </w:r>
          </w:p>
        </w:tc>
      </w:tr>
      <w:tr>
        <w:trPr>
          <w:trHeight w:val="230"/>
        </w:trPr>
        <w:tc>
          <w:tcPr>
            <w:tcW w:w="3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Commitments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1220"/>
              <w:spacing w:after="0"/>
              <w:rPr>
                <w:sz w:val="20"/>
                <w:szCs w:val="20"/>
                <w:color w:val="auto"/>
              </w:rPr>
            </w:pPr>
            <w:r>
              <w:rPr>
                <w:rFonts w:ascii="Arial" w:cs="Arial" w:eastAsia="Arial" w:hAnsi="Arial"/>
                <w:sz w:val="18"/>
                <w:szCs w:val="18"/>
                <w:color w:val="auto"/>
              </w:rPr>
              <w:t>Sale</w:t>
            </w:r>
          </w:p>
        </w:tc>
        <w:tc>
          <w:tcPr>
            <w:tcW w:w="180" w:type="dxa"/>
            <w:vAlign w:val="bottom"/>
          </w:tcPr>
          <w:p>
            <w:pPr>
              <w:spacing w:after="0"/>
              <w:rPr>
                <w:sz w:val="20"/>
                <w:szCs w:val="20"/>
                <w:color w:val="auto"/>
              </w:rPr>
            </w:pPr>
          </w:p>
        </w:tc>
        <w:tc>
          <w:tcPr>
            <w:tcW w:w="190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Available for Sale</w:t>
            </w:r>
          </w:p>
        </w:tc>
      </w:tr>
      <w:tr>
        <w:trPr>
          <w:trHeight w:val="210"/>
        </w:trPr>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2,491,233</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213,457,632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3,216,382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Originations/purchases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5,627,013,749</w:t>
            </w:r>
          </w:p>
        </w:tc>
        <w:tc>
          <w:tcPr>
            <w:tcW w:w="18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(5,600,045,285)</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(1,042,400)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(16,960,549)</w:t>
            </w:r>
          </w:p>
        </w:tc>
        <w:tc>
          <w:tcPr>
            <w:tcW w:w="18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7,637,377(1)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199,306,871(1)</w:t>
            </w:r>
          </w:p>
        </w:tc>
        <w:tc>
          <w:tcPr>
            <w:tcW w:w="1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3,408(2)</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23,785</w:t>
            </w:r>
          </w:p>
        </w:tc>
      </w:tr>
      <w:tr>
        <w:trPr>
          <w:trHeight w:val="229"/>
        </w:trPr>
        <w:tc>
          <w:tcPr>
            <w:tcW w:w="39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2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10,128,610</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422,772,418</w:t>
            </w: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2,201,175</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(1)As a component of mortgage fee income on the consolidated statements of earnings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(2)As a component of net investment income on the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875"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consolidated balance sheet at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0"/>
              </w:rPr>
              <w:t>Quoted Prices in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4"/>
              </w:rPr>
              <w:t>Active Markets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4"/>
              </w:rPr>
              <w:t>for Identical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116"/>
              <w:spacing w:after="0"/>
              <w:rPr>
                <w:sz w:val="20"/>
                <w:szCs w:val="20"/>
                <w:color w:val="auto"/>
              </w:rPr>
            </w:pPr>
            <w:r>
              <w:rPr>
                <w:rFonts w:ascii="Arial" w:cs="Arial" w:eastAsia="Arial" w:hAnsi="Arial"/>
                <w:sz w:val="18"/>
                <w:szCs w:val="18"/>
                <w:color w:val="auto"/>
                <w:w w:val="89"/>
              </w:rPr>
              <w:t>Observable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5"/>
              </w:rPr>
              <w:t>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97"/>
              </w:rPr>
              <w:t>(Level 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2"/>
        </w:trPr>
        <w:tc>
          <w:tcPr>
            <w:tcW w:w="4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851,903</w:t>
            </w:r>
          </w:p>
        </w:tc>
        <w:tc>
          <w:tcPr>
            <w:tcW w:w="1380" w:type="dxa"/>
            <w:vAlign w:val="bottom"/>
          </w:tcPr>
          <w:p>
            <w:pPr>
              <w:jc w:val="right"/>
              <w:ind w:right="11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9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851,903</w:t>
            </w:r>
          </w:p>
        </w:tc>
        <w:tc>
          <w:tcPr>
            <w:tcW w:w="100" w:type="dxa"/>
            <w:vAlign w:val="bottom"/>
          </w:tcPr>
          <w:p>
            <w:pPr>
              <w:spacing w:after="0"/>
              <w:rPr>
                <w:sz w:val="18"/>
                <w:szCs w:val="18"/>
                <w:color w:val="auto"/>
              </w:rPr>
            </w:pP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Impaired real estate held for sale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2,000,000</w:t>
            </w: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9"/>
                <w:szCs w:val="19"/>
                <w:color w:val="auto"/>
              </w:rPr>
            </w:pPr>
          </w:p>
        </w:tc>
      </w:tr>
      <w:tr>
        <w:trPr>
          <w:trHeight w:val="182"/>
        </w:trPr>
        <w:tc>
          <w:tcPr>
            <w:tcW w:w="4020" w:type="dxa"/>
            <w:vAlign w:val="bottom"/>
          </w:tcPr>
          <w:p>
            <w:pPr>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nonrecurring basis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2,851,903</w:t>
            </w:r>
          </w:p>
        </w:tc>
        <w:tc>
          <w:tcPr>
            <w:tcW w:w="1380" w:type="dxa"/>
            <w:vAlign w:val="bottom"/>
          </w:tcPr>
          <w:p>
            <w:pPr>
              <w:jc w:val="right"/>
              <w:ind w:right="11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9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2,851,903</w:t>
            </w:r>
          </w:p>
        </w:tc>
        <w:tc>
          <w:tcPr>
            <w:tcW w:w="10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consolidated balance sheet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0"/>
              </w:rPr>
              <w:t>Quoted Prices in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4"/>
              </w:rPr>
              <w:t>Active Markets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4"/>
              </w:rPr>
              <w:t>for Identical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116"/>
              <w:spacing w:after="0"/>
              <w:rPr>
                <w:sz w:val="20"/>
                <w:szCs w:val="20"/>
                <w:color w:val="auto"/>
              </w:rPr>
            </w:pPr>
            <w:r>
              <w:rPr>
                <w:rFonts w:ascii="Arial" w:cs="Arial" w:eastAsia="Arial" w:hAnsi="Arial"/>
                <w:sz w:val="18"/>
                <w:szCs w:val="18"/>
                <w:color w:val="auto"/>
                <w:w w:val="89"/>
              </w:rPr>
              <w:t>Observable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5"/>
              </w:rPr>
              <w:t>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r>
      <w:tr>
        <w:trPr>
          <w:trHeight w:val="230"/>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97"/>
              </w:rPr>
              <w:t>(Level 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2"/>
        </w:trPr>
        <w:tc>
          <w:tcPr>
            <w:tcW w:w="4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Assets accounted for at fair value on a nonrecurring</w:t>
            </w: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1,297,356</w:t>
            </w:r>
          </w:p>
        </w:tc>
        <w:tc>
          <w:tcPr>
            <w:tcW w:w="1380" w:type="dxa"/>
            <w:vAlign w:val="bottom"/>
          </w:tcPr>
          <w:p>
            <w:pPr>
              <w:jc w:val="right"/>
              <w:ind w:right="11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96"/>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1,297,356</w:t>
            </w: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Impaired real estate held for sale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4,249,000</w:t>
            </w: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4,249,000</w:t>
            </w:r>
          </w:p>
        </w:tc>
      </w:tr>
      <w:tr>
        <w:trPr>
          <w:trHeight w:val="182"/>
        </w:trPr>
        <w:tc>
          <w:tcPr>
            <w:tcW w:w="4040" w:type="dxa"/>
            <w:vAlign w:val="bottom"/>
          </w:tcPr>
          <w:p>
            <w:pPr>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4040" w:type="dxa"/>
            <w:vAlign w:val="bottom"/>
          </w:tcPr>
          <w:p>
            <w:pPr>
              <w:spacing w:after="0"/>
              <w:rPr>
                <w:sz w:val="20"/>
                <w:szCs w:val="20"/>
                <w:color w:val="auto"/>
              </w:rPr>
            </w:pPr>
            <w:r>
              <w:rPr>
                <w:rFonts w:ascii="Arial" w:cs="Arial" w:eastAsia="Arial" w:hAnsi="Arial"/>
                <w:sz w:val="18"/>
                <w:szCs w:val="18"/>
                <w:color w:val="auto"/>
              </w:rPr>
              <w:t>nonrecurring basis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5,546,356</w:t>
            </w:r>
          </w:p>
        </w:tc>
        <w:tc>
          <w:tcPr>
            <w:tcW w:w="1380" w:type="dxa"/>
            <w:vAlign w:val="bottom"/>
          </w:tcPr>
          <w:p>
            <w:pPr>
              <w:jc w:val="right"/>
              <w:ind w:right="11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96"/>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5,546,356</w:t>
            </w: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December 31, 2021 and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16"/>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w w:val="98"/>
              </w:rPr>
              <w:t>Estimated Fair</w:t>
            </w:r>
          </w:p>
        </w:tc>
      </w:tr>
      <w:tr>
        <w:trPr>
          <w:trHeight w:val="230"/>
        </w:trPr>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Value</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51,396,172</w:t>
            </w:r>
          </w:p>
        </w:tc>
        <w:tc>
          <w:tcPr>
            <w:tcW w:w="1060" w:type="dxa"/>
            <w:vAlign w:val="bottom"/>
            <w:gridSpan w:val="2"/>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55,159,167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55,159,167</w:t>
            </w: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174,691,408</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174,691,408</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174,691,408</w:t>
            </w: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51,218,466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51,008,709</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51,008,709</w:t>
            </w: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277,306,046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ind w:right="75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280,859,284</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280,859,284</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13,478,214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13,478,214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13,478,214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46,946,590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46,946,590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46,946,590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2,732,320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2,732,320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2,732,320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8"/>
              </w:rPr>
              <w:t>Cemetery perpetual care trust investments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1,823,533</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1,823,533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1,823,533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53,060,455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68,811,809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68,811,809</w:t>
            </w:r>
          </w:p>
        </w:tc>
      </w:tr>
      <w:tr>
        <w:trPr>
          <w:trHeight w:val="216"/>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(251,286,927)</w:t>
            </w:r>
          </w:p>
        </w:tc>
        <w:tc>
          <w:tcPr>
            <w:tcW w:w="1060" w:type="dxa"/>
            <w:vAlign w:val="bottom"/>
            <w:gridSpan w:val="2"/>
          </w:tcPr>
          <w:p>
            <w:pPr>
              <w:jc w:val="right"/>
              <w:ind w:right="75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(251,286,927)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(251,286,927)</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(42,939,055)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(35,855,934)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(35,855,934)</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(107,992,830)</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(116,215,717)</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(116,215,717)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(1)Included in other investments and policy loans on the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(2)Mortgage loans held for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(3)Included in future policy benefits and unpaid claims on the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0"/>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92,757,613</w:t>
            </w:r>
          </w:p>
        </w:tc>
        <w:tc>
          <w:tcPr>
            <w:tcW w:w="11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100,384,283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100,384,283</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110,849,864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110,849,864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110,849,864</w:t>
            </w:r>
          </w:p>
        </w:tc>
      </w:tr>
      <w:tr>
        <w:trPr>
          <w:trHeight w:val="22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45,736,459</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45,259,425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45,259,425</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249,343,936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ind w:left="120"/>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256,493,572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256,493,572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14,171,589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14,171,589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14,171,589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51,585,656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51,585,656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51,585,656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3,317,877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3,317,877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3,317,877</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1,468,600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1,468,600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1,468,600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35,210,516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38,702,358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38,702,358</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(297,824,368)</w:t>
            </w:r>
          </w:p>
        </w:tc>
        <w:tc>
          <w:tcPr>
            <w:tcW w:w="11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(297,824,368)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(297,824,368)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(44,026,809)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(42,220,725)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(42,220,725)</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(106,522,113)</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(112,354,186)</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(112,354,186)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(1)Included in other investments and policy loans on the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(2)Mortgage loans held for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(3)Included in future policy benefits and unpaid claims on the consolidated balance sheets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financial instruments are summarized as follows: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color w:val="auto"/>
        </w:rPr>
        <w:t>: The estimated fair value of the Company’s mortgage loans held for investment is determined using various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Residential — The estimated fair value of mortgage loans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Residential Construction — These loans are primarily short in maturity. Accordingly, the estimated fair value is determined to be the carrying value.</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consolidated balance sheet for these financial instruments approximate their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they are fully collateralized by the cash surrender value of the underlying insurance policies.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short in maturity. Accordingly, the carrying amounts reported in the accompanying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for these financial instruments approximate their fair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 (Continued)</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66"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accumulated other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r>
      <w:tr>
        <w:trPr>
          <w:trHeight w:val="209"/>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fixed maturity securities available for sale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(7,323,241)</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12,016,464</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Amounts reclassified into net earnings</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805,510</w:t>
            </w:r>
          </w:p>
        </w:tc>
        <w:tc>
          <w:tcPr>
            <w:tcW w:w="4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(2,772)</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before taxes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(6,517,731)</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12,013,692</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Tax expense</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1,368,721</w:t>
            </w:r>
          </w:p>
        </w:tc>
        <w:tc>
          <w:tcPr>
            <w:tcW w:w="4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(2,522,876)</w:t>
            </w: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(5,149,010</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9,490,816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Unrealized gains on restricted assets (1)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(23,250)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41,225</w:t>
            </w: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5,792</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w:t>
            </w:r>
          </w:p>
        </w:tc>
      </w:tr>
      <w:tr>
        <w:trPr>
          <w:trHeight w:val="210"/>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(17,458</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30,956</w:t>
            </w:r>
          </w:p>
        </w:tc>
        <w:tc>
          <w:tcPr>
            <w:tcW w:w="80" w:type="dxa"/>
            <w:vAlign w:val="bottom"/>
            <w:tcBorders>
              <w:bottom w:val="single" w:sz="8" w:color="CCEEFF"/>
            </w:tcBorders>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cemetery perpetual care trust investments (1)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8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Tax expense</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2,769</w:t>
            </w:r>
          </w:p>
        </w:tc>
        <w:tc>
          <w:tcPr>
            <w:tcW w:w="4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1,698</w:t>
            </w: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Unrealized gains for foreign currency translations adjustments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(707)</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w:t>
            </w:r>
          </w:p>
        </w:tc>
      </w:tr>
      <w:tr>
        <w:trPr>
          <w:trHeight w:val="210"/>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changes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(5,172,685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9,516,619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(1)Fixed maturity securities available for sale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jc w:val="center"/>
        <w:ind w:right="-559"/>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as of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Beginning</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Ending</w:t>
            </w:r>
          </w:p>
        </w:tc>
      </w:tr>
      <w:tr>
        <w:trPr>
          <w:trHeight w:val="216"/>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Balance</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r>
      <w:tr>
        <w:trPr>
          <w:trHeight w:val="216"/>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18"/>
                <w:szCs w:val="18"/>
                <w:color w:val="auto"/>
              </w:rPr>
            </w:pPr>
          </w:p>
        </w:tc>
        <w:tc>
          <w:tcPr>
            <w:tcW w:w="1840" w:type="dxa"/>
            <w:vAlign w:val="bottom"/>
            <w:gridSpan w:val="2"/>
          </w:tcPr>
          <w:p>
            <w:pPr>
              <w:jc w:val="right"/>
              <w:ind w:right="741"/>
              <w:spacing w:after="0"/>
              <w:rPr>
                <w:sz w:val="20"/>
                <w:szCs w:val="20"/>
                <w:color w:val="auto"/>
              </w:rPr>
            </w:pPr>
            <w:r>
              <w:rPr>
                <w:rFonts w:ascii="Arial" w:cs="Arial" w:eastAsia="Arial" w:hAnsi="Arial"/>
                <w:sz w:val="18"/>
                <w:szCs w:val="18"/>
                <w:color w:val="auto"/>
              </w:rPr>
              <w:t>Change for</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w:t>
            </w:r>
          </w:p>
        </w:tc>
      </w:t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781"/>
              <w:spacing w:after="0"/>
              <w:rPr>
                <w:sz w:val="20"/>
                <w:szCs w:val="20"/>
                <w:color w:val="auto"/>
              </w:rPr>
            </w:pPr>
            <w:r>
              <w:rPr>
                <w:rFonts w:ascii="Arial" w:cs="Arial" w:eastAsia="Arial" w:hAnsi="Arial"/>
                <w:sz w:val="18"/>
                <w:szCs w:val="18"/>
                <w:color w:val="auto"/>
              </w:rPr>
              <w:t>the period</w:t>
            </w: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r>
      <w:tr>
        <w:trPr>
          <w:trHeight w:val="182"/>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Unrealized gains (losses) on fixed maturity securities</w:t>
            </w: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23,170,275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(5,149,010)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18,021,265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Unrealized gains (losses) on restricted assets (1)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57,650</w:t>
            </w:r>
          </w:p>
        </w:tc>
        <w:tc>
          <w:tcPr>
            <w:tcW w:w="300" w:type="dxa"/>
            <w:vAlign w:val="bottom"/>
          </w:tcPr>
          <w:p>
            <w:pPr>
              <w:spacing w:after="0"/>
              <w:rPr>
                <w:sz w:val="18"/>
                <w:szCs w:val="18"/>
                <w:color w:val="auto"/>
              </w:rPr>
            </w:pPr>
          </w:p>
        </w:tc>
        <w:tc>
          <w:tcPr>
            <w:tcW w:w="1840" w:type="dxa"/>
            <w:vAlign w:val="bottom"/>
            <w:gridSpan w:val="2"/>
          </w:tcPr>
          <w:p>
            <w:pPr>
              <w:jc w:val="right"/>
              <w:ind w:right="161"/>
              <w:spacing w:after="0"/>
              <w:rPr>
                <w:sz w:val="20"/>
                <w:szCs w:val="20"/>
                <w:color w:val="auto"/>
              </w:rPr>
            </w:pPr>
            <w:r>
              <w:rPr>
                <w:rFonts w:ascii="Arial" w:cs="Arial" w:eastAsia="Arial" w:hAnsi="Arial"/>
                <w:sz w:val="18"/>
                <w:szCs w:val="18"/>
                <w:color w:val="auto"/>
              </w:rPr>
              <w:t>(17,458)</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40,192</w:t>
            </w: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gains (losses) on cemetery perpetual</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care trust investments (1)</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17,336</w:t>
            </w:r>
          </w:p>
        </w:tc>
        <w:tc>
          <w:tcPr>
            <w:tcW w:w="3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(8,345)</w:t>
            </w:r>
          </w:p>
        </w:tc>
        <w:tc>
          <w:tcPr>
            <w:tcW w:w="2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8,991</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(2,128)</w:t>
            </w:r>
          </w:p>
        </w:tc>
        <w:tc>
          <w:tcPr>
            <w:tcW w:w="300" w:type="dxa"/>
            <w:vAlign w:val="bottom"/>
          </w:tcPr>
          <w:p>
            <w:pPr>
              <w:spacing w:after="0"/>
              <w:rPr>
                <w:sz w:val="19"/>
                <w:szCs w:val="19"/>
                <w:color w:val="auto"/>
              </w:rPr>
            </w:pPr>
          </w:p>
        </w:tc>
        <w:tc>
          <w:tcPr>
            <w:tcW w:w="1840" w:type="dxa"/>
            <w:vAlign w:val="bottom"/>
            <w:gridSpan w:val="2"/>
          </w:tcPr>
          <w:p>
            <w:pPr>
              <w:jc w:val="right"/>
              <w:ind w:right="221"/>
              <w:spacing w:after="0"/>
              <w:rPr>
                <w:sz w:val="20"/>
                <w:szCs w:val="20"/>
                <w:color w:val="auto"/>
              </w:rPr>
            </w:pPr>
            <w:r>
              <w:rPr>
                <w:rFonts w:ascii="Arial" w:cs="Arial" w:eastAsia="Arial" w:hAnsi="Arial"/>
                <w:sz w:val="18"/>
                <w:szCs w:val="18"/>
                <w:color w:val="auto"/>
              </w:rPr>
              <w:t>2,128</w:t>
            </w:r>
          </w:p>
        </w:tc>
        <w:tc>
          <w:tcPr>
            <w:tcW w:w="2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23,243,133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(5,172,685</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(1)Fixed maturity securities available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Beginning</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Ending</w:t>
            </w:r>
          </w:p>
        </w:tc>
      </w:tr>
      <w:tr>
        <w:trPr>
          <w:trHeight w:val="216"/>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Balance</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r>
      <w:tr>
        <w:trPr>
          <w:trHeight w:val="216"/>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Change for</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w:t>
            </w:r>
          </w:p>
        </w:tc>
      </w:tr>
      <w:tr>
        <w:trPr>
          <w:trHeight w:val="230"/>
        </w:trPr>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the period</w:t>
            </w: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182"/>
        </w:trPr>
        <w:tc>
          <w:tcPr>
            <w:tcW w:w="4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Unrealized gains on fixed maturity securities available for</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13,679,459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9,490,816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23,170,275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Unrealized gains on restricted assets (1)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26,694</w:t>
            </w:r>
          </w:p>
        </w:tc>
        <w:tc>
          <w:tcPr>
            <w:tcW w:w="30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30,956</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57,650</w:t>
            </w: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gains (losses) on cemetery perpetual</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care trust investments (1)</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22,455</w:t>
            </w:r>
          </w:p>
        </w:tc>
        <w:tc>
          <w:tcPr>
            <w:tcW w:w="3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(5,119)</w:t>
            </w:r>
          </w:p>
        </w:tc>
        <w:tc>
          <w:tcPr>
            <w:tcW w:w="2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17,336</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(2,094)</w:t>
            </w:r>
          </w:p>
        </w:tc>
        <w:tc>
          <w:tcPr>
            <w:tcW w:w="30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r>
      <w:tr>
        <w:trPr>
          <w:trHeight w:val="22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13,726,514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9,516,619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(1)Fixed maturity securities available for sale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692" w:right="8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7"/>
              </w:rPr>
              <w:t>Balance Sheet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color w:val="auto"/>
                <w:w w:val="97"/>
              </w:rPr>
              <w:t>December 31, 2020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Asset Fair</w:t>
            </w:r>
          </w:p>
        </w:tc>
        <w:tc>
          <w:tcPr>
            <w:tcW w:w="80" w:type="dxa"/>
            <w:vAlign w:val="bottom"/>
          </w:tcPr>
          <w:p>
            <w:pPr>
              <w:spacing w:after="0"/>
              <w:rPr>
                <w:sz w:val="16"/>
                <w:szCs w:val="16"/>
                <w:color w:val="auto"/>
              </w:rPr>
            </w:pPr>
          </w:p>
        </w:tc>
        <w:tc>
          <w:tcPr>
            <w:tcW w:w="10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Liability Fair</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Notional</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1"/>
              </w:rPr>
              <w:t>Asset Fair</w:t>
            </w:r>
          </w:p>
        </w:tc>
        <w:tc>
          <w:tcPr>
            <w:tcW w:w="940" w:type="dxa"/>
            <w:vAlign w:val="bottom"/>
            <w:gridSpan w:val="3"/>
          </w:tcPr>
          <w:p>
            <w:pPr>
              <w:spacing w:after="0" w:line="195" w:lineRule="exact"/>
              <w:rPr>
                <w:sz w:val="20"/>
                <w:szCs w:val="20"/>
                <w:color w:val="auto"/>
              </w:rPr>
            </w:pPr>
            <w:r>
              <w:rPr>
                <w:rFonts w:ascii="Arial" w:cs="Arial" w:eastAsia="Arial" w:hAnsi="Arial"/>
                <w:sz w:val="18"/>
                <w:szCs w:val="18"/>
                <w:color w:val="auto"/>
                <w:w w:val="95"/>
              </w:rPr>
              <w:t>Liability Fair</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82"/>
        </w:trPr>
        <w:tc>
          <w:tcPr>
            <w:tcW w:w="1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Derivatives not</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designated as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hedging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Other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commitments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862,568,967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8,563,410</w:t>
            </w:r>
          </w:p>
        </w:tc>
        <w:tc>
          <w:tcPr>
            <w:tcW w:w="2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1,547,895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659,245,038</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$ 12,592,672</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2,464,062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Call options</w:t>
            </w:r>
          </w:p>
        </w:tc>
        <w:tc>
          <w:tcPr>
            <w:tcW w:w="2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982,500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50,936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1,873,200</w:t>
            </w: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43,097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Put options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362,900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863,914,367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8,563,410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1,603,324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661,118,238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$ 12,592,672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2,507,159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Arial" w:cs="Arial" w:eastAsia="Arial" w:hAnsi="Arial"/>
                <w:sz w:val="18"/>
                <w:szCs w:val="18"/>
                <w:color w:val="auto"/>
              </w:rPr>
              <w:t>Years ended December 31</w:t>
            </w:r>
          </w:p>
        </w:tc>
        <w:tc>
          <w:tcPr>
            <w:tcW w:w="2260" w:type="dxa"/>
            <w:vAlign w:val="bottom"/>
          </w:tcPr>
          <w:p>
            <w:pPr>
              <w:spacing w:after="0"/>
              <w:rPr>
                <w:sz w:val="20"/>
                <w:szCs w:val="20"/>
                <w:color w:val="auto"/>
              </w:rPr>
            </w:pPr>
          </w:p>
        </w:tc>
      </w:tr>
      <w:tr>
        <w:trPr>
          <w:trHeight w:val="223"/>
        </w:trPr>
        <w:tc>
          <w:tcPr>
            <w:tcW w:w="25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Derivative</w:t>
            </w:r>
          </w:p>
        </w:tc>
        <w:tc>
          <w:tcPr>
            <w:tcW w:w="180" w:type="dxa"/>
            <w:vAlign w:val="bottom"/>
            <w:tcBorders>
              <w:bottom w:val="single" w:sz="8" w:color="CCEEFF"/>
            </w:tcBorders>
          </w:tcPr>
          <w:p>
            <w:pPr>
              <w:spacing w:after="0"/>
              <w:rPr>
                <w:sz w:val="19"/>
                <w:szCs w:val="19"/>
                <w:color w:val="auto"/>
              </w:rPr>
            </w:pPr>
          </w:p>
        </w:tc>
        <w:tc>
          <w:tcPr>
            <w:tcW w:w="25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Classification</w:t>
            </w:r>
          </w:p>
        </w:tc>
        <w:tc>
          <w:tcPr>
            <w:tcW w:w="16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3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1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(3,113,095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7,637,377</w:t>
            </w:r>
          </w:p>
        </w:tc>
        <w:tc>
          <w:tcPr>
            <w:tcW w:w="2260" w:type="dxa"/>
            <w:vAlign w:val="bottom"/>
          </w:tcPr>
          <w:p>
            <w:pPr>
              <w:spacing w:after="0"/>
              <w:rPr>
                <w:sz w:val="20"/>
                <w:szCs w:val="20"/>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2"/>
        </w:trPr>
        <w:tc>
          <w:tcPr>
            <w:tcW w:w="25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Gains on investments and other</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5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2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160,410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272,758</w:t>
            </w:r>
          </w:p>
        </w:tc>
        <w:tc>
          <w:tcPr>
            <w:tcW w:w="2260" w:type="dxa"/>
            <w:vAlign w:val="bottom"/>
          </w:tcPr>
          <w:p>
            <w:pPr>
              <w:spacing w:after="0"/>
              <w:rPr>
                <w:sz w:val="22"/>
                <w:szCs w:val="22"/>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2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Rivera Funerals, Cremations and Memorial Gardens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21, 2021, the Company, through its wholly-owned subsidiary, Memorial Estates Inc., completed a business combination transaction with Rivera Funerals, Cremations and Memorial Gardens. The mortuaries and cemetery are located in New Mexico.</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transaction, as set forth in the Asset Purchase Agreement, dated December 21, 2021, Memorial Estates Inc. paid a net purchase price of $10,693,395 for the business and assets of Rivera Funerals, Cremations and Memorial Gardens, subject to holdback amounts held by Memorial Estates, Inc. in the total amount of $1,120,000. Pursuant to the Asset Purchase Agreement, Memorial Estates, Inc. is to use $70,000 of the holdback amount to pay, perform and discharge when due, trade accounts payable of Rivera Funerals, Cremations and Memorial Gardens to third parties that remained unpaid. Unapplied portions of the remaining $1,050,000 holdback amount are to be released and paid by Memorial Estates Inc. in annual payments of up to $105,000 each, beginning on the first anniversary date of the closing date and continuing thereafter on the anniversary dates of the closing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assets acquired and liabilities assumed as of the date of acquisition were as follows:</w:t>
      </w:r>
    </w:p>
    <w:p>
      <w:pPr>
        <w:sectPr>
          <w:pgSz w:w="11900" w:h="16838" w:orient="portrait"/>
          <w:cols w:equalWidth="0" w:num="1">
            <w:col w:w="11240"/>
          </w:cols>
          <w:pgMar w:left="320" w:top="69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773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Cemetery land and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27736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Cemetery perpetual care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7736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 holdback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assumed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Fair value of net assets acquired/consideration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27736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7736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10712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720" w:hanging="719"/>
        <w:spacing w:after="0"/>
        <w:tabs>
          <w:tab w:leader="none" w:pos="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618,006</w:t>
      </w:r>
    </w:p>
    <w:p>
      <w:pPr>
        <w:spacing w:after="0" w:line="3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6,255,836</w:t>
      </w:r>
    </w:p>
    <w:p>
      <w:pPr>
        <w:spacing w:after="0" w:line="20"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658,280</w:t>
      </w:r>
    </w:p>
    <w:p>
      <w:pPr>
        <w:spacing w:after="0" w:line="20"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1,338,763</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2,440,516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822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11,311,401</w:t>
      </w:r>
    </w:p>
    <w:p>
      <w:pPr>
        <w:spacing w:after="0" w:line="249" w:lineRule="exact"/>
        <w:rPr>
          <w:sz w:val="20"/>
          <w:szCs w:val="20"/>
          <w:color w:val="auto"/>
        </w:rPr>
      </w:pPr>
    </w:p>
    <w:p>
      <w:pPr>
        <w:jc w:val="right"/>
        <w:ind w:right="4500"/>
        <w:spacing w:after="0"/>
        <w:rPr>
          <w:sz w:val="20"/>
          <w:szCs w:val="20"/>
          <w:color w:val="auto"/>
        </w:rPr>
      </w:pPr>
      <w:r>
        <w:rPr>
          <w:rFonts w:ascii="Arial" w:cs="Arial" w:eastAsia="Arial" w:hAnsi="Arial"/>
          <w:sz w:val="18"/>
          <w:szCs w:val="18"/>
          <w:color w:val="auto"/>
        </w:rPr>
        <w:t>(618,006)</w:t>
      </w:r>
    </w:p>
    <w:p>
      <w:pPr>
        <w:spacing w:after="0" w:line="23" w:lineRule="exact"/>
        <w:rPr>
          <w:sz w:val="20"/>
          <w:szCs w:val="20"/>
          <w:color w:val="auto"/>
        </w:rPr>
      </w:pPr>
    </w:p>
    <w:p>
      <w:pPr>
        <w:jc w:val="right"/>
        <w:ind w:right="4500"/>
        <w:spacing w:after="0"/>
        <w:rPr>
          <w:sz w:val="20"/>
          <w:szCs w:val="20"/>
          <w:color w:val="auto"/>
        </w:rPr>
      </w:pPr>
      <w:r>
        <w:rPr>
          <w:rFonts w:ascii="Arial" w:cs="Arial" w:eastAsia="Arial" w:hAnsi="Arial"/>
          <w:sz w:val="18"/>
          <w:szCs w:val="18"/>
          <w:color w:val="auto"/>
        </w:rPr>
        <w:t>(1,120,000)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 w:lineRule="exact"/>
        <w:rPr>
          <w:sz w:val="20"/>
          <w:szCs w:val="20"/>
          <w:color w:val="auto"/>
        </w:rPr>
      </w:pPr>
    </w:p>
    <w:p>
      <w:pPr>
        <w:jc w:val="right"/>
        <w:ind w:right="4500"/>
        <w:spacing w:after="0"/>
        <w:rPr>
          <w:sz w:val="20"/>
          <w:szCs w:val="20"/>
          <w:color w:val="auto"/>
        </w:rPr>
      </w:pPr>
      <w:r>
        <w:rPr>
          <w:rFonts w:ascii="Arial" w:cs="Arial" w:eastAsia="Arial" w:hAnsi="Arial"/>
          <w:sz w:val="18"/>
          <w:szCs w:val="18"/>
          <w:color w:val="auto"/>
        </w:rPr>
        <w:t>(1,738,006)</w:t>
      </w:r>
    </w:p>
    <w:p>
      <w:pPr>
        <w:spacing w:after="0" w:line="35" w:lineRule="exact"/>
        <w:rPr>
          <w:sz w:val="20"/>
          <w:szCs w:val="20"/>
          <w:color w:val="auto"/>
        </w:rPr>
      </w:pPr>
    </w:p>
    <w:p>
      <w:pPr>
        <w:ind w:left="580" w:hanging="579"/>
        <w:spacing w:after="0"/>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9,573,395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822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692" w:right="339" w:bottom="1440" w:gutter="0" w:footer="0" w:header="0"/>
          <w:type w:val="continuous"/>
        </w:sectPr>
      </w:pPr>
    </w:p>
    <w:p>
      <w:pPr>
        <w:spacing w:after="0" w:line="104" w:lineRule="exact"/>
        <w:rPr>
          <w:sz w:val="20"/>
          <w:szCs w:val="20"/>
          <w:color w:val="auto"/>
        </w:rPr>
      </w:pPr>
    </w:p>
    <w:p>
      <w:pPr>
        <w:ind w:left="520" w:right="20" w:hanging="398"/>
        <w:spacing w:after="0" w:line="277"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$39,000 of cash and $579,006 of fixed maturity securities, available for sale, at estimated fair value which is a Level 2 asset in the fair value hierarchy</w:t>
      </w:r>
    </w:p>
    <w:p>
      <w:pPr>
        <w:spacing w:after="0" w:line="170" w:lineRule="exact"/>
        <w:rPr>
          <w:rFonts w:ascii="Arial" w:cs="Arial" w:eastAsia="Arial" w:hAnsi="Arial"/>
          <w:sz w:val="18"/>
          <w:szCs w:val="18"/>
          <w:color w:val="auto"/>
        </w:rPr>
      </w:pPr>
    </w:p>
    <w:p>
      <w:pPr>
        <w:ind w:left="520" w:hanging="398"/>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estimated fair value which is a Level 3 asset in the fair value hierarchy</w:t>
      </w:r>
    </w:p>
    <w:p>
      <w:pPr>
        <w:spacing w:after="0" w:line="225" w:lineRule="exact"/>
        <w:rPr>
          <w:rFonts w:ascii="Arial" w:cs="Arial" w:eastAsia="Arial" w:hAnsi="Arial"/>
          <w:sz w:val="18"/>
          <w:szCs w:val="18"/>
          <w:color w:val="auto"/>
        </w:rPr>
      </w:pPr>
    </w:p>
    <w:p>
      <w:pPr>
        <w:ind w:left="520" w:hanging="398"/>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Including $2,310,000 of intangible assets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Rivera Funerals, Cremations and Memorial Gardens revenues and net earnings since the date of acquisition for the year ended December 31, 2021 were $137,386 and $14,892,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Acquisitions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Holbrook Mortuary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28, 2021, the Company, through its wholly-owned subsidiary, Memorial Mortuary Inc., completed a business combination transaction with Holbrook Mortuary located in Salt Lake City, Utah.</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terms of the transaction, as set forth in the Asset Purchase Agreement, dated December 28, 2021, Memorial Mortuary Inc. paid a net purchase price of $3,051,747 for the business and assets of Holbrook Mortuary.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assets acquired and liabilities assumed as of the date of acquisition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2,641,210</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395,432</w:t>
            </w:r>
          </w:p>
        </w:tc>
        <w:tc>
          <w:tcPr>
            <w:tcW w:w="2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15,105</w:t>
            </w:r>
          </w:p>
        </w:tc>
        <w:tc>
          <w:tcPr>
            <w:tcW w:w="20" w:type="dxa"/>
            <w:vAlign w:val="bottom"/>
            <w:shd w:val="clear" w:color="auto" w:fill="CCEEFF"/>
          </w:tcPr>
          <w:p>
            <w:pPr>
              <w:spacing w:after="0"/>
              <w:rPr>
                <w:sz w:val="19"/>
                <w:szCs w:val="19"/>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3,051,747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23"/>
        </w:trPr>
        <w:tc>
          <w:tcPr>
            <w:tcW w:w="5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Fair value of net assets acquired/consideration paid</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3,051,747</w:t>
            </w:r>
          </w:p>
        </w:tc>
        <w:tc>
          <w:tcPr>
            <w:tcW w:w="2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estimated fair value which is a Level 3 asset in the fair value hierarchy</w:t>
      </w: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Holbrook Mortuary’s revenues and net loss since the date of acquisition for the year ended December 31, 2021 were $-0- and $(98,531),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reports MSRs pursuant to the accounting policy discussed in Note 1 of the Notes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The following table presents the MSR activity.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70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35,210,516</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17,155,529</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MSR additions resulting from loan sales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32,701,819</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29,896,465</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Amortization (1)</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(14,851,880)</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(11,841,478)</w:t>
            </w: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Application of valuation allowance to write down MSRs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other than temporary impairment</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before valuation allowance at year end</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53,060,455</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35,210,516</w:t>
            </w:r>
          </w:p>
        </w:tc>
        <w:tc>
          <w:tcPr>
            <w:tcW w:w="80" w:type="dxa"/>
            <w:vAlign w:val="bottom"/>
            <w:tcBorders>
              <w:bottom w:val="single" w:sz="8" w:color="CCEEFF"/>
            </w:tcBorders>
          </w:tcPr>
          <w:p>
            <w:pPr>
              <w:spacing w:after="0"/>
              <w:rPr>
                <w:sz w:val="18"/>
                <w:szCs w:val="18"/>
                <w:color w:val="auto"/>
              </w:rPr>
            </w:pPr>
          </w:p>
        </w:tc>
      </w:tr>
      <w:tr>
        <w:trPr>
          <w:trHeight w:val="209"/>
        </w:trPr>
        <w:tc>
          <w:tcPr>
            <w:tcW w:w="1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Valuation allowance for impairment of MSRs: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Application of valuation allowance to write down MSRs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other than temporary impairment</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year end</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r>
      <w:tr>
        <w:trPr>
          <w:trHeight w:val="223"/>
        </w:trPr>
        <w:tc>
          <w:tcPr>
            <w:tcW w:w="170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Mortgage servicing rights, net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53,060,455</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35,210,516</w:t>
            </w:r>
          </w:p>
        </w:tc>
      </w:tr>
      <w:tr>
        <w:trPr>
          <w:trHeight w:val="197"/>
        </w:trPr>
        <w:tc>
          <w:tcPr>
            <w:tcW w:w="170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Estimated fair value of MSRs at year end</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68,811,809</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38,702,358</w:t>
            </w:r>
          </w:p>
        </w:tc>
      </w:tr>
      <w:tr>
        <w:trPr>
          <w:trHeight w:val="20"/>
        </w:trPr>
        <w:tc>
          <w:tcPr>
            <w:tcW w:w="1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1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 Included in other</w:t>
            </w:r>
          </w:p>
        </w:tc>
        <w:tc>
          <w:tcPr>
            <w:tcW w:w="3900" w:type="dxa"/>
            <w:vAlign w:val="bottom"/>
          </w:tcPr>
          <w:p>
            <w:pPr>
              <w:spacing w:after="0"/>
              <w:rPr>
                <w:sz w:val="20"/>
                <w:szCs w:val="20"/>
                <w:color w:val="auto"/>
              </w:rPr>
            </w:pPr>
            <w:r>
              <w:rPr>
                <w:rFonts w:ascii="Arial" w:cs="Arial" w:eastAsia="Arial" w:hAnsi="Arial"/>
                <w:sz w:val="18"/>
                <w:szCs w:val="18"/>
                <w:color w:val="auto"/>
                <w:w w:val="91"/>
              </w:rPr>
              <w:t>expenses on the consolidated statements of earnings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summarizes the Company’s estimate of future amortization of its existing MSRs carried at amortized cost. This projection was developed using the assumptions made by management in its December 31, 2021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94"/>
              </w:rPr>
              <w:t>Estimated MSR</w:t>
            </w:r>
          </w:p>
        </w:tc>
      </w:tr>
      <w:tr>
        <w:trPr>
          <w:trHeight w:val="230"/>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Amortization</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7,341,097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6,020,240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5,263,053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4,583,231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4,008,838</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25,843,996</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53,060,455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consolidated statements of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r>
      <w:tr>
        <w:trPr>
          <w:trHeight w:val="223"/>
        </w:trPr>
        <w:tc>
          <w:tcPr>
            <w:tcW w:w="27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15,471,307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8,940,612</w:t>
            </w:r>
          </w:p>
        </w:tc>
        <w:tc>
          <w:tcPr>
            <w:tcW w:w="60" w:type="dxa"/>
            <w:vAlign w:val="bottom"/>
            <w:shd w:val="clear" w:color="auto" w:fill="CCEEFF"/>
          </w:tcPr>
          <w:p>
            <w:pPr>
              <w:spacing w:after="0"/>
              <w:rPr>
                <w:sz w:val="18"/>
                <w:szCs w:val="18"/>
                <w:color w:val="auto"/>
              </w:rPr>
            </w:pPr>
          </w:p>
        </w:tc>
      </w:tr>
      <w:tr>
        <w:trPr>
          <w:trHeight w:val="229"/>
        </w:trPr>
        <w:tc>
          <w:tcPr>
            <w:tcW w:w="2700" w:type="dxa"/>
            <w:vAlign w:val="bottom"/>
          </w:tcPr>
          <w:p>
            <w:pPr>
              <w:spacing w:after="0"/>
              <w:rPr>
                <w:sz w:val="20"/>
                <w:szCs w:val="20"/>
                <w:color w:val="auto"/>
              </w:rPr>
            </w:pPr>
            <w:r>
              <w:rPr>
                <w:rFonts w:ascii="Arial" w:cs="Arial" w:eastAsia="Arial" w:hAnsi="Arial"/>
                <w:sz w:val="18"/>
                <w:szCs w:val="18"/>
                <w:color w:val="auto"/>
              </w:rPr>
              <w:t>Late fees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321,337</w:t>
            </w: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305,962</w:t>
            </w:r>
          </w:p>
        </w:tc>
      </w:tr>
      <w:tr>
        <w:trPr>
          <w:trHeight w:val="223"/>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15,792,644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9,246,574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unpaid principal balances (“UPB”) of the servicing portfolio.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20" w:type="dxa"/>
            <w:vAlign w:val="bottom"/>
            <w:gridSpan w:val="5"/>
          </w:tcPr>
          <w:p>
            <w:pPr>
              <w:ind w:left="940"/>
              <w:spacing w:after="0"/>
              <w:rPr>
                <w:sz w:val="20"/>
                <w:szCs w:val="20"/>
                <w:color w:val="auto"/>
              </w:rPr>
            </w:pPr>
            <w:r>
              <w:rPr>
                <w:rFonts w:ascii="Arial" w:cs="Arial" w:eastAsia="Arial" w:hAnsi="Arial"/>
                <w:sz w:val="18"/>
                <w:szCs w:val="18"/>
                <w:color w:val="auto"/>
              </w:rPr>
              <w:t>December 31</w:t>
            </w:r>
          </w:p>
        </w:tc>
      </w:tr>
      <w:tr>
        <w:trPr>
          <w:trHeight w:val="223"/>
        </w:trPr>
        <w:tc>
          <w:tcPr>
            <w:tcW w:w="19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209"/>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7,060,536,350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5,070,287,864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Prepayment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11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Discount</w:t>
            </w:r>
          </w:p>
        </w:tc>
      </w:tr>
      <w:tr>
        <w:trPr>
          <w:trHeight w:val="230"/>
        </w:trPr>
        <w:tc>
          <w:tcPr>
            <w:tcW w:w="20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Speeds</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Life(Years)</w:t>
            </w:r>
          </w:p>
        </w:tc>
        <w:tc>
          <w:tcPr>
            <w:tcW w:w="110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Rate</w:t>
            </w: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9.50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December 31, 2020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15.60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w w:val="96"/>
              </w:rPr>
              <w:t>9.50</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Future Policy Benefits and Unpaid Claims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reports future policy benefits and unpaid claims pursuant to the accounting policy discussed in Note 1 of the 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future policy benefits and unpaid claims and the related receivable from reinsurers.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196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09"/>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698,366,477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674,230,463</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Annuities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107,992,830</w:t>
            </w: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109,522,112</w:t>
            </w:r>
          </w:p>
        </w:tc>
        <w:tc>
          <w:tcPr>
            <w:tcW w:w="22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Policyholder account balances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42,939,055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44,026,809</w:t>
            </w:r>
          </w:p>
        </w:tc>
        <w:tc>
          <w:tcPr>
            <w:tcW w:w="226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Accident and health</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629,302</w:t>
            </w: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651,140</w:t>
            </w:r>
          </w:p>
        </w:tc>
        <w:tc>
          <w:tcPr>
            <w:tcW w:w="22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policyholder funds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4,352,217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4,354,746</w:t>
            </w:r>
          </w:p>
        </w:tc>
        <w:tc>
          <w:tcPr>
            <w:tcW w:w="226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Reported but unpaid claims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4,887,934</w:t>
            </w: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8,689,723</w:t>
            </w:r>
          </w:p>
        </w:tc>
        <w:tc>
          <w:tcPr>
            <w:tcW w:w="2260" w:type="dxa"/>
            <w:vAlign w:val="bottom"/>
          </w:tcPr>
          <w:p>
            <w:pPr>
              <w:spacing w:after="0"/>
              <w:rPr>
                <w:sz w:val="18"/>
                <w:szCs w:val="18"/>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but not reported claims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4,106,878</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3,315,094</w:t>
            </w:r>
          </w:p>
        </w:tc>
        <w:tc>
          <w:tcPr>
            <w:tcW w:w="2260" w:type="dxa"/>
            <w:vAlign w:val="bottom"/>
          </w:tcPr>
          <w:p>
            <w:pPr>
              <w:spacing w:after="0"/>
              <w:rPr>
                <w:sz w:val="19"/>
                <w:szCs w:val="19"/>
                <w:color w:val="auto"/>
              </w:rPr>
            </w:pPr>
          </w:p>
        </w:tc>
      </w:tr>
      <w:tr>
        <w:trPr>
          <w:trHeight w:val="223"/>
        </w:trPr>
        <w:tc>
          <w:tcPr>
            <w:tcW w:w="19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4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future policy benefits and unpaid claims</w:t>
            </w:r>
          </w:p>
        </w:tc>
        <w:tc>
          <w:tcPr>
            <w:tcW w:w="15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863,274,693</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844,790,087</w:t>
            </w:r>
          </w:p>
        </w:tc>
        <w:tc>
          <w:tcPr>
            <w:tcW w:w="226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96"/>
        </w:trPr>
        <w:tc>
          <w:tcPr>
            <w:tcW w:w="4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Receivable from reinsurers</w:t>
            </w: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1960" w:type="dxa"/>
            <w:vAlign w:val="bottom"/>
            <w:tcBorders>
              <w:top w:val="single" w:sz="8" w:color="auto"/>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10,482,428</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10,841,567</w:t>
            </w:r>
          </w:p>
        </w:tc>
        <w:tc>
          <w:tcPr>
            <w:tcW w:w="226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Annuities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4,082,877</w:t>
            </w: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4,047,301</w:t>
            </w:r>
          </w:p>
        </w:tc>
        <w:tc>
          <w:tcPr>
            <w:tcW w:w="22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Accident and health</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88,474</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90,231</w:t>
            </w:r>
          </w:p>
        </w:tc>
        <w:tc>
          <w:tcPr>
            <w:tcW w:w="226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Reported but unpaid claims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177,829</w:t>
            </w: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571,057</w:t>
            </w:r>
          </w:p>
        </w:tc>
        <w:tc>
          <w:tcPr>
            <w:tcW w:w="22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but not reported claims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19,000</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c>
          <w:tcPr>
            <w:tcW w:w="2260" w:type="dxa"/>
            <w:vAlign w:val="bottom"/>
          </w:tcPr>
          <w:p>
            <w:pPr>
              <w:spacing w:after="0"/>
              <w:rPr>
                <w:sz w:val="18"/>
                <w:szCs w:val="18"/>
                <w:color w:val="auto"/>
              </w:rPr>
            </w:pPr>
          </w:p>
        </w:tc>
      </w:tr>
      <w:tr>
        <w:trPr>
          <w:trHeight w:val="229"/>
        </w:trPr>
        <w:tc>
          <w:tcPr>
            <w:tcW w:w="196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receivable from reinsurers</w:t>
            </w:r>
          </w:p>
        </w:tc>
        <w:tc>
          <w:tcPr>
            <w:tcW w:w="1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14,850,608</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15,569,156</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19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4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future policy benefits and unpaid claims</w:t>
            </w:r>
          </w:p>
        </w:tc>
        <w:tc>
          <w:tcPr>
            <w:tcW w:w="15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848,424,085</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829,220,931</w:t>
            </w:r>
          </w:p>
        </w:tc>
        <w:tc>
          <w:tcPr>
            <w:tcW w:w="226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1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93"/>
              </w:rPr>
              <w:t>105</w:t>
            </w: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reports revenues from contracts with customers pursuant to ASC No. 606, Revenue from Contracts with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Performance Obligations and Contract Balances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2021 and 2020, the balances were $14,508,022 and $13,080,179,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Pre-need Merchandise and Service Revenue</w:t>
      </w:r>
      <w:r>
        <w:rPr>
          <w:rFonts w:ascii="Arial" w:cs="Arial" w:eastAsia="Arial" w:hAnsi="Arial"/>
          <w:sz w:val="18"/>
          <w:szCs w:val="18"/>
          <w:color w:val="auto"/>
        </w:rPr>
        <w:t>: All pre-need merchandise and service revenue is deferred and the funds are placed in trust until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arises, the merchandise is received or the service is performed. The trust is then relieved, and the revenue and commissions are recognized. As of December 31, 2021 and 2020, the balances were $13,722,348 and $12,545,753,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markers and bases. When specialty merchandise is ordered, it can take time to manufacture and deliver the product. Revenue is deferred until the at-need merchandise is received. As of December 31, 2021 and 2020, the balances were $785,674 and $534,426, respectively. Deferred revenue for at-need specialty revenue is not placed in trust.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As of December 31, 2021 and 2020, the balances were $-0- and $-0-, respectively. Deferred pre-need land revenue is not placed in trust.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Contract Balances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Receivables (1)</w:t>
            </w:r>
          </w:p>
        </w:tc>
        <w:tc>
          <w:tcPr>
            <w:tcW w:w="14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Contract Asset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w w:val="99"/>
              </w:rPr>
              <w:t>Contract Liability</w:t>
            </w:r>
          </w:p>
        </w:tc>
        <w:tc>
          <w:tcPr>
            <w:tcW w:w="80" w:type="dxa"/>
            <w:vAlign w:val="bottom"/>
          </w:tcPr>
          <w:p>
            <w:pPr>
              <w:spacing w:after="0"/>
              <w:rPr>
                <w:sz w:val="19"/>
                <w:szCs w:val="19"/>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(1/1/2021)</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4,119,988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Closing (12/31/2021)</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800"/>
              <w:spacing w:after="0"/>
              <w:rPr>
                <w:sz w:val="20"/>
                <w:szCs w:val="20"/>
                <w:color w:val="auto"/>
              </w:rPr>
            </w:pPr>
            <w:r>
              <w:rPr>
                <w:rFonts w:ascii="Arial" w:cs="Arial" w:eastAsia="Arial" w:hAnsi="Arial"/>
                <w:sz w:val="18"/>
                <w:szCs w:val="18"/>
                <w:color w:val="auto"/>
              </w:rPr>
              <w:t>5,298,636</w:t>
            </w:r>
          </w:p>
        </w:tc>
        <w:tc>
          <w:tcPr>
            <w:tcW w:w="140" w:type="dxa"/>
            <w:vAlign w:val="bottom"/>
          </w:tcPr>
          <w:p>
            <w:pPr>
              <w:spacing w:after="0"/>
              <w:rPr>
                <w:sz w:val="19"/>
                <w:szCs w:val="19"/>
                <w:color w:val="auto"/>
              </w:rPr>
            </w:pPr>
          </w:p>
        </w:tc>
        <w:tc>
          <w:tcPr>
            <w:tcW w:w="17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14,508,022</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7"/>
              </w:rPr>
              <w:t>1,178,648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Contract Balances</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Receivables (1)</w:t>
            </w:r>
          </w:p>
        </w:tc>
        <w:tc>
          <w:tcPr>
            <w:tcW w:w="14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Contract Asset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w w:val="99"/>
              </w:rPr>
              <w:t>Contract Liability</w:t>
            </w:r>
          </w:p>
        </w:tc>
        <w:tc>
          <w:tcPr>
            <w:tcW w:w="80" w:type="dxa"/>
            <w:vAlign w:val="bottom"/>
          </w:tcPr>
          <w:p>
            <w:pPr>
              <w:spacing w:after="0"/>
              <w:rPr>
                <w:sz w:val="19"/>
                <w:szCs w:val="19"/>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(1/1/2020)</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7"/>
              </w:rPr>
              <w:t>2,778,879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12,607,978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Closing (12/31/2020)</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820"/>
              <w:spacing w:after="0"/>
              <w:rPr>
                <w:sz w:val="20"/>
                <w:szCs w:val="20"/>
                <w:color w:val="auto"/>
              </w:rPr>
            </w:pPr>
            <w:r>
              <w:rPr>
                <w:rFonts w:ascii="Arial" w:cs="Arial" w:eastAsia="Arial" w:hAnsi="Arial"/>
                <w:sz w:val="18"/>
                <w:szCs w:val="18"/>
                <w:color w:val="auto"/>
              </w:rPr>
              <w:t>4,119,988</w:t>
            </w:r>
          </w:p>
        </w:tc>
        <w:tc>
          <w:tcPr>
            <w:tcW w:w="140" w:type="dxa"/>
            <w:vAlign w:val="bottom"/>
          </w:tcPr>
          <w:p>
            <w:pPr>
              <w:spacing w:after="0"/>
              <w:rPr>
                <w:sz w:val="19"/>
                <w:szCs w:val="19"/>
                <w:color w:val="auto"/>
              </w:rPr>
            </w:pPr>
          </w:p>
        </w:tc>
        <w:tc>
          <w:tcPr>
            <w:tcW w:w="17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13,080,179</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7"/>
              </w:rPr>
              <w:t>1,341,109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Included in Receivables, net on the consolidated balance sheets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opening and closing balances of the Company’s contract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jc w:val="right"/>
              <w:ind w:right="1080"/>
              <w:spacing w:after="0"/>
              <w:rPr>
                <w:sz w:val="20"/>
                <w:szCs w:val="20"/>
                <w:color w:val="auto"/>
              </w:rPr>
            </w:pPr>
            <w:r>
              <w:rPr>
                <w:rFonts w:ascii="Arial" w:cs="Arial" w:eastAsia="Arial" w:hAnsi="Arial"/>
                <w:sz w:val="18"/>
                <w:szCs w:val="18"/>
                <w:color w:val="auto"/>
              </w:rPr>
              <w:t>Contract Balances</w:t>
            </w:r>
          </w:p>
        </w:tc>
        <w:tc>
          <w:tcPr>
            <w:tcW w:w="226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91"/>
              </w:rPr>
              <w:t>Contract Asset</w:t>
            </w: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Contract Liability</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Pre-need merchandise and services</w:t>
            </w:r>
          </w:p>
        </w:tc>
        <w:tc>
          <w:tcPr>
            <w:tcW w:w="1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12,545,753</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At-need specialty merchandise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534,426</w:t>
            </w:r>
          </w:p>
        </w:tc>
        <w:tc>
          <w:tcPr>
            <w:tcW w:w="2260" w:type="dxa"/>
            <w:vAlign w:val="bottom"/>
          </w:tcPr>
          <w:p>
            <w:pPr>
              <w:spacing w:after="0"/>
              <w:rPr>
                <w:sz w:val="18"/>
                <w:szCs w:val="18"/>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Pre-need land sales</w:t>
            </w: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Opening (1/1/2021)</w:t>
            </w:r>
          </w:p>
        </w:tc>
        <w:tc>
          <w:tcPr>
            <w:tcW w:w="16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13,080,179</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6"/>
        </w:trPr>
        <w:tc>
          <w:tcPr>
            <w:tcW w:w="4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Pre-need merchandise and services</w:t>
            </w:r>
          </w:p>
        </w:tc>
        <w:tc>
          <w:tcPr>
            <w:tcW w:w="1800" w:type="dxa"/>
            <w:vAlign w:val="bottom"/>
            <w:gridSpan w:val="2"/>
          </w:tcPr>
          <w:p>
            <w:pPr>
              <w:jc w:val="center"/>
              <w:ind w:left="139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13,722,348</w:t>
            </w:r>
          </w:p>
        </w:tc>
        <w:tc>
          <w:tcPr>
            <w:tcW w:w="22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At-need specialty merchandise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785,674</w:t>
            </w:r>
          </w:p>
        </w:tc>
        <w:tc>
          <w:tcPr>
            <w:tcW w:w="226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Pre-need land sales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Closing (12/31/2021)</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53"/>
        </w:trPr>
        <w:tc>
          <w:tcPr>
            <w:tcW w:w="4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jc w:val="right"/>
              <w:ind w:right="1080"/>
              <w:spacing w:after="0"/>
              <w:rPr>
                <w:sz w:val="20"/>
                <w:szCs w:val="20"/>
                <w:color w:val="auto"/>
              </w:rPr>
            </w:pPr>
            <w:r>
              <w:rPr>
                <w:rFonts w:ascii="Arial" w:cs="Arial" w:eastAsia="Arial" w:hAnsi="Arial"/>
                <w:sz w:val="18"/>
                <w:szCs w:val="18"/>
                <w:color w:val="auto"/>
              </w:rPr>
              <w:t>Contract Balances</w:t>
            </w:r>
          </w:p>
        </w:tc>
        <w:tc>
          <w:tcPr>
            <w:tcW w:w="2260" w:type="dxa"/>
            <w:vAlign w:val="bottom"/>
          </w:tcPr>
          <w:p>
            <w:pPr>
              <w:spacing w:after="0"/>
              <w:rPr>
                <w:sz w:val="24"/>
                <w:szCs w:val="24"/>
                <w:color w:val="auto"/>
              </w:rPr>
            </w:pPr>
          </w:p>
        </w:tc>
      </w:tr>
      <w:tr>
        <w:trPr>
          <w:trHeight w:val="223"/>
        </w:trPr>
        <w:tc>
          <w:tcPr>
            <w:tcW w:w="4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Contract Asset</w:t>
            </w: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Contract Liability</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Pre-need merchandise and services</w:t>
            </w:r>
          </w:p>
        </w:tc>
        <w:tc>
          <w:tcPr>
            <w:tcW w:w="1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12,325,437</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At-need specialty merchandise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282,541</w:t>
            </w:r>
          </w:p>
        </w:tc>
        <w:tc>
          <w:tcPr>
            <w:tcW w:w="226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Pre-need land sales</w:t>
            </w: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Opening (1/1/2020)</w:t>
            </w:r>
          </w:p>
        </w:tc>
        <w:tc>
          <w:tcPr>
            <w:tcW w:w="16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12,607,978</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4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Pre-need merchandise and services</w:t>
            </w:r>
          </w:p>
        </w:tc>
        <w:tc>
          <w:tcPr>
            <w:tcW w:w="1800" w:type="dxa"/>
            <w:vAlign w:val="bottom"/>
            <w:gridSpan w:val="2"/>
          </w:tcPr>
          <w:p>
            <w:pPr>
              <w:jc w:val="center"/>
              <w:ind w:left="139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12,545,753</w:t>
            </w:r>
          </w:p>
        </w:tc>
        <w:tc>
          <w:tcPr>
            <w:tcW w:w="22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At-need specialty merchandise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534,426</w:t>
            </w:r>
          </w:p>
        </w:tc>
        <w:tc>
          <w:tcPr>
            <w:tcW w:w="226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Pre-need land sales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Closing (12/31/2020)</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13,080,179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350"/>
              <w:spacing w:after="0"/>
              <w:rPr>
                <w:sz w:val="20"/>
                <w:szCs w:val="20"/>
                <w:color w:val="auto"/>
              </w:rPr>
            </w:pPr>
            <w:r>
              <w:rPr>
                <w:rFonts w:ascii="Arial" w:cs="Arial" w:eastAsia="Arial" w:hAnsi="Arial"/>
                <w:sz w:val="18"/>
                <w:szCs w:val="18"/>
                <w:color w:val="auto"/>
                <w:w w:val="93"/>
              </w:rPr>
              <w:t>107</w:t>
            </w: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 recognized for the years ended December 31, 2021 and 2020 that was included in the opening contract liability balance was $4,528,646 and $4,359,709,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6"/>
          </w:tcPr>
          <w:p>
            <w:pPr>
              <w:ind w:left="200"/>
              <w:spacing w:after="0"/>
              <w:rPr>
                <w:sz w:val="20"/>
                <w:szCs w:val="20"/>
                <w:color w:val="auto"/>
              </w:rPr>
            </w:pPr>
            <w:r>
              <w:rPr>
                <w:rFonts w:ascii="Arial" w:cs="Arial" w:eastAsia="Arial" w:hAnsi="Arial"/>
                <w:sz w:val="18"/>
                <w:szCs w:val="18"/>
                <w:color w:val="auto"/>
              </w:rPr>
              <w:t>Years Ended December 31</w:t>
            </w: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r>
      <w:tr>
        <w:trPr>
          <w:trHeight w:val="189"/>
        </w:trPr>
        <w:tc>
          <w:tcPr>
            <w:tcW w:w="38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Major goods/service lines</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At-need</w:t>
            </w:r>
          </w:p>
        </w:tc>
        <w:tc>
          <w:tcPr>
            <w:tcW w:w="194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16,220,541</w:t>
            </w:r>
          </w:p>
        </w:tc>
        <w:tc>
          <w:tcPr>
            <w:tcW w:w="40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15,212,822</w:t>
            </w:r>
          </w:p>
        </w:tc>
      </w:tr>
      <w:tr>
        <w:trPr>
          <w:trHeight w:val="229"/>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Pre-need</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5,094,613</w:t>
            </w: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23,997,313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20,307,435</w:t>
            </w:r>
          </w:p>
        </w:tc>
        <w:tc>
          <w:tcPr>
            <w:tcW w:w="60" w:type="dxa"/>
            <w:vAlign w:val="bottom"/>
            <w:tcBorders>
              <w:bottom w:val="single" w:sz="8" w:color="CCEEFF"/>
            </w:tcBorders>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6"/>
        </w:trPr>
        <w:tc>
          <w:tcPr>
            <w:tcW w:w="380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16,793,439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13,438,592</w:t>
            </w:r>
          </w:p>
        </w:tc>
      </w:tr>
      <w:tr>
        <w:trPr>
          <w:trHeight w:val="229"/>
        </w:trPr>
        <w:tc>
          <w:tcPr>
            <w:tcW w:w="3800" w:type="dxa"/>
            <w:vAlign w:val="bottom"/>
            <w:gridSpan w:val="3"/>
          </w:tcPr>
          <w:p>
            <w:pPr>
              <w:spacing w:after="0"/>
              <w:rPr>
                <w:sz w:val="20"/>
                <w:szCs w:val="20"/>
                <w:color w:val="auto"/>
              </w:rPr>
            </w:pPr>
            <w:r>
              <w:rPr>
                <w:rFonts w:ascii="Arial" w:cs="Arial" w:eastAsia="Arial" w:hAnsi="Arial"/>
                <w:sz w:val="18"/>
                <w:szCs w:val="18"/>
                <w:color w:val="auto"/>
              </w:rPr>
              <w:t>Services transferred at a point in time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7,203,874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6,868,843</w:t>
            </w: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23,997,313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20,307,435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when revenue should be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elected to use any of the practical expedients under ASC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cemetery and mortuary segment defers certain costs associated with obtaining a contract on future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Pre-need Merchandise and Service Revenue</w:t>
      </w:r>
      <w:r>
        <w:rPr>
          <w:rFonts w:ascii="Arial" w:cs="Arial" w:eastAsia="Arial" w:hAnsi="Arial"/>
          <w:sz w:val="18"/>
          <w:szCs w:val="18"/>
          <w:color w:val="auto"/>
        </w:rPr>
        <w:t>: Pre-need merchandise and service revenues are deferred until the goods or services are delivered.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is ordered from a third-party manufacturer. Generally, at-need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is ordered and received within 90 days of order. These orders are also short-term in nature and are deferred until the product is received from the manufacturer and the obligation is satisfied.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ind w:left="300" w:hanging="29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 (Continued)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Deferred Pre-need Land Revenue</w:t>
      </w:r>
      <w:r>
        <w:rPr>
          <w:rFonts w:ascii="Arial" w:cs="Arial" w:eastAsia="Arial" w:hAnsi="Arial"/>
          <w:sz w:val="16"/>
          <w:szCs w:val="16"/>
          <w:color w:val="auto"/>
        </w:rPr>
        <w:t>: Revenue is recognized on pre-need land sales when the customer has paid at least 10% toward the land price. In cases,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customers pay less than 10%, the revenue and associated commissions are deferred until such time when 10% of the contract price is received.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disaggregates contract costs that are included in deferred policy and pre-need contract acquisition costs on the consolidated balances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Arial" w:cs="Arial" w:eastAsia="Arial" w:hAnsi="Arial"/>
                <w:sz w:val="18"/>
                <w:szCs w:val="18"/>
                <w:color w:val="auto"/>
              </w:rPr>
              <w:t>Years Ended December 31</w:t>
            </w:r>
          </w:p>
        </w:tc>
      </w:tr>
      <w:tr>
        <w:trPr>
          <w:trHeight w:val="223"/>
        </w:trPr>
        <w:tc>
          <w:tcPr>
            <w:tcW w:w="37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Pre-need merchandise and services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3,601,638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At-need specialty merchandise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29,688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5,302</w:t>
            </w:r>
          </w:p>
        </w:tc>
        <w:tc>
          <w:tcPr>
            <w:tcW w:w="40" w:type="dxa"/>
            <w:vAlign w:val="bottom"/>
          </w:tcPr>
          <w:p>
            <w:pPr>
              <w:spacing w:after="0"/>
              <w:rPr>
                <w:sz w:val="18"/>
                <w:szCs w:val="18"/>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Pre-need land sales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3,718,267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3,606,940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lease is defined as a contract, or part of a contract, that conveys the right to control the use of identified property, plant, or equipment (an identified asset) for a period of time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Nature of Leases and Subleases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office space and equipment from third-parties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that have not Commenced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leases that have not commenced that create significant rights or obligations for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Lease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related party lease transactions that require disclosure as of 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Assumptions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 use assets and cash flows from lease transactions.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8"/>
                <w:szCs w:val="18"/>
                <w:color w:val="auto"/>
                <w:w w:val="98"/>
              </w:rPr>
              <w:t>Years Ended December 31</w:t>
            </w:r>
          </w:p>
        </w:tc>
      </w:tr>
      <w:tr>
        <w:trPr>
          <w:trHeight w:val="223"/>
        </w:trPr>
        <w:tc>
          <w:tcPr>
            <w:tcW w:w="7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9"/>
                <w:szCs w:val="19"/>
                <w:color w:val="auto"/>
              </w:rPr>
            </w:pP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58,576</w:t>
            </w: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Interest on lease liabilities (2)</w:t>
            </w:r>
          </w:p>
        </w:tc>
        <w:tc>
          <w:tcPr>
            <w:tcW w:w="2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4,713</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7,341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 (3)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4,896,315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5,408,737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Short-term lease cost (3)(4)</w:t>
            </w:r>
          </w:p>
        </w:tc>
        <w:tc>
          <w:tcPr>
            <w:tcW w:w="2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167,551</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222,311</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 (3)</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(275,038)</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(394,758)</w:t>
            </w:r>
          </w:p>
        </w:tc>
      </w:tr>
      <w:tr>
        <w:trPr>
          <w:trHeight w:val="26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lease cost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4,835,466</w:t>
            </w:r>
          </w:p>
        </w:tc>
        <w:tc>
          <w:tcPr>
            <w:tcW w:w="3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5,302,207</w:t>
            </w:r>
          </w:p>
        </w:tc>
        <w:tc>
          <w:tcPr>
            <w:tcW w:w="160" w:type="dxa"/>
            <w:vAlign w:val="bottom"/>
            <w:tcBorders>
              <w:bottom w:val="single" w:sz="8" w:color="CCEEFF"/>
            </w:tcBorders>
          </w:tcPr>
          <w:p>
            <w:pPr>
              <w:spacing w:after="0"/>
              <w:rPr>
                <w:sz w:val="22"/>
                <w:szCs w:val="22"/>
                <w:color w:val="auto"/>
              </w:rPr>
            </w:pPr>
          </w:p>
        </w:tc>
      </w:tr>
      <w:tr>
        <w:trPr>
          <w:trHeight w:val="196"/>
        </w:trPr>
        <w:tc>
          <w:tcPr>
            <w:tcW w:w="7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4,697,819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5,293,901</w:t>
            </w:r>
          </w:p>
        </w:tc>
      </w:tr>
      <w:tr>
        <w:trPr>
          <w:trHeight w:val="21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7,341</w:t>
            </w: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42,184</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56,982</w:t>
            </w: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5,216,048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5,631,193</w:t>
            </w: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8,494</w:t>
            </w: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94" w:lineRule="exact"/>
        <w:rPr>
          <w:sz w:val="20"/>
          <w:szCs w:val="20"/>
          <w:color w:val="auto"/>
        </w:rPr>
      </w:pPr>
    </w:p>
    <w:p>
      <w:pPr>
        <w:ind w:left="360" w:hanging="29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Included in Depreciation on property and equipment on the consolidated statements of earnings</w:t>
      </w:r>
    </w:p>
    <w:p>
      <w:pPr>
        <w:spacing w:after="0" w:line="117" w:lineRule="exact"/>
        <w:rPr>
          <w:rFonts w:ascii="Arial" w:cs="Arial" w:eastAsia="Arial" w:hAnsi="Arial"/>
          <w:sz w:val="18"/>
          <w:szCs w:val="18"/>
          <w:color w:val="auto"/>
        </w:rPr>
      </w:pPr>
    </w:p>
    <w:p>
      <w:pPr>
        <w:ind w:left="360" w:hanging="29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Included in Interest expense on the consolidated statements of earnings</w:t>
      </w:r>
    </w:p>
    <w:p>
      <w:pPr>
        <w:spacing w:after="0" w:line="117" w:lineRule="exact"/>
        <w:rPr>
          <w:rFonts w:ascii="Arial" w:cs="Arial" w:eastAsia="Arial" w:hAnsi="Arial"/>
          <w:sz w:val="18"/>
          <w:szCs w:val="18"/>
          <w:color w:val="auto"/>
        </w:rPr>
      </w:pPr>
    </w:p>
    <w:p>
      <w:pPr>
        <w:ind w:left="360" w:hanging="29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Included in Rent and rent related expenses on the consolidated statements of earnings</w:t>
      </w:r>
    </w:p>
    <w:p>
      <w:pPr>
        <w:spacing w:after="0" w:line="117" w:lineRule="exact"/>
        <w:rPr>
          <w:rFonts w:ascii="Arial" w:cs="Arial" w:eastAsia="Arial" w:hAnsi="Arial"/>
          <w:sz w:val="18"/>
          <w:szCs w:val="18"/>
          <w:color w:val="auto"/>
        </w:rPr>
      </w:pPr>
    </w:p>
    <w:p>
      <w:pPr>
        <w:ind w:left="360" w:hanging="29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leases with a term of 12 months or less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maturity analysis of the Company’s lease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5"/>
          </w:tcPr>
          <w:p>
            <w:pPr>
              <w:ind w:left="12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1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Lease payments due in:</w:t>
            </w:r>
          </w:p>
        </w:tc>
        <w:tc>
          <w:tcPr>
            <w:tcW w:w="6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60" w:type="dxa"/>
            <w:vAlign w:val="bottom"/>
            <w:gridSpan w:val="3"/>
          </w:tcPr>
          <w:p>
            <w:pPr>
              <w:jc w:val="right"/>
              <w:ind w:right="100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w w:val="94"/>
              </w:rPr>
              <w:t>34,458</w:t>
            </w:r>
          </w:p>
        </w:tc>
        <w:tc>
          <w:tcPr>
            <w:tcW w:w="4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1"/>
              <w:spacing w:after="0"/>
              <w:rPr>
                <w:sz w:val="20"/>
                <w:szCs w:val="20"/>
                <w:color w:val="auto"/>
              </w:rPr>
            </w:pPr>
            <w:r>
              <w:rPr>
                <w:rFonts w:ascii="Arial" w:cs="Arial" w:eastAsia="Arial" w:hAnsi="Arial"/>
                <w:sz w:val="18"/>
                <w:szCs w:val="18"/>
                <w:color w:val="auto"/>
              </w:rPr>
              <w:t>4,109,174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27,220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3,340,343</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4,354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right"/>
              <w:ind w:right="1"/>
              <w:spacing w:after="0"/>
              <w:rPr>
                <w:sz w:val="20"/>
                <w:szCs w:val="20"/>
                <w:color w:val="auto"/>
              </w:rPr>
            </w:pPr>
            <w:r>
              <w:rPr>
                <w:rFonts w:ascii="Arial" w:cs="Arial" w:eastAsia="Arial" w:hAnsi="Arial"/>
                <w:sz w:val="18"/>
                <w:szCs w:val="18"/>
                <w:color w:val="auto"/>
              </w:rPr>
              <w:t>2,707,152</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1,809,667</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right"/>
              <w:ind w:right="1"/>
              <w:spacing w:after="0"/>
              <w:rPr>
                <w:sz w:val="20"/>
                <w:szCs w:val="20"/>
                <w:color w:val="auto"/>
              </w:rPr>
            </w:pPr>
            <w:r>
              <w:rPr>
                <w:rFonts w:ascii="Arial" w:cs="Arial" w:eastAsia="Arial" w:hAnsi="Arial"/>
                <w:sz w:val="18"/>
                <w:szCs w:val="18"/>
                <w:color w:val="auto"/>
              </w:rPr>
              <w:t>1,414,296</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6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2,449,017</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1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undiscounted lease payments</w:t>
            </w:r>
          </w:p>
        </w:tc>
        <w:tc>
          <w:tcPr>
            <w:tcW w:w="6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66,724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15,829,649</w:t>
            </w:r>
          </w:p>
        </w:tc>
        <w:tc>
          <w:tcPr>
            <w:tcW w:w="80" w:type="dxa"/>
            <w:vAlign w:val="bottom"/>
            <w:tcBorders>
              <w:bottom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Discount on cash flows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(2,889,958</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140" w:type="dxa"/>
            <w:vAlign w:val="bottom"/>
            <w:gridSpan w:val="3"/>
          </w:tcPr>
          <w:p>
            <w:pPr>
              <w:spacing w:after="0"/>
              <w:rPr>
                <w:sz w:val="20"/>
                <w:szCs w:val="20"/>
                <w:color w:val="auto"/>
              </w:rPr>
            </w:pPr>
            <w:r>
              <w:rPr>
                <w:rFonts w:ascii="Arial" w:cs="Arial" w:eastAsia="Arial" w:hAnsi="Arial"/>
                <w:sz w:val="18"/>
                <w:szCs w:val="18"/>
                <w:color w:val="auto"/>
              </w:rPr>
              <w:t>Present value of lease liabilities</w:t>
            </w: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Borders>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62,767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12,939,691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400" w:type="dxa"/>
            <w:vAlign w:val="bottom"/>
            <w:gridSpan w:val="6"/>
          </w:tcPr>
          <w:p>
            <w:pPr>
              <w:spacing w:after="0"/>
              <w:rPr>
                <w:sz w:val="20"/>
                <w:szCs w:val="20"/>
                <w:color w:val="auto"/>
              </w:rPr>
            </w:pPr>
            <w:r>
              <w:rPr>
                <w:rFonts w:ascii="Arial" w:cs="Arial" w:eastAsia="Arial" w:hAnsi="Arial"/>
                <w:sz w:val="18"/>
                <w:szCs w:val="18"/>
                <w:color w:val="auto"/>
                <w:w w:val="96"/>
              </w:rPr>
              <w:t>The following table presents the Company’s right-of-use assets and lease liabilities.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ind w:left="180"/>
              <w:spacing w:after="0"/>
              <w:rPr>
                <w:sz w:val="20"/>
                <w:szCs w:val="20"/>
                <w:color w:val="auto"/>
              </w:rPr>
            </w:pPr>
            <w:r>
              <w:rPr>
                <w:rFonts w:ascii="Arial" w:cs="Arial" w:eastAsia="Arial" w:hAnsi="Arial"/>
                <w:sz w:val="18"/>
                <w:szCs w:val="18"/>
                <w:color w:val="auto"/>
              </w:rPr>
              <w:t>Year Ended December 31</w:t>
            </w:r>
          </w:p>
        </w:tc>
      </w:tr>
      <w:tr>
        <w:trPr>
          <w:trHeight w:val="223"/>
        </w:trPr>
        <w:tc>
          <w:tcPr>
            <w:tcW w:w="1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Balance Sheet Location</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r>
      <w:tr>
        <w:trPr>
          <w:trHeight w:val="169"/>
        </w:trPr>
        <w:tc>
          <w:tcPr>
            <w:tcW w:w="31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Operating Leases</w:t>
            </w: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3260" w:type="dxa"/>
            <w:vAlign w:val="bottom"/>
            <w:gridSpan w:val="3"/>
          </w:tcPr>
          <w:p>
            <w:pPr>
              <w:ind w:left="60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12,483,638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11,663,245</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40" w:type="dxa"/>
            <w:vAlign w:val="bottom"/>
            <w:gridSpan w:val="4"/>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Lease liabilities</w:t>
            </w:r>
          </w:p>
        </w:tc>
        <w:tc>
          <w:tcPr>
            <w:tcW w:w="3940" w:type="dxa"/>
            <w:vAlign w:val="bottom"/>
            <w:gridSpan w:val="5"/>
          </w:tcPr>
          <w:p>
            <w:pPr>
              <w:ind w:left="600"/>
              <w:spacing w:after="0"/>
              <w:rPr>
                <w:sz w:val="20"/>
                <w:szCs w:val="20"/>
                <w:color w:val="auto"/>
              </w:rPr>
            </w:pPr>
            <w:r>
              <w:rPr>
                <w:rFonts w:ascii="Arial" w:cs="Arial" w:eastAsia="Arial" w:hAnsi="Arial"/>
                <w:sz w:val="18"/>
                <w:szCs w:val="18"/>
                <w:color w:val="auto"/>
              </w:rPr>
              <w:t>Other liabilities and accrued expenses</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12,939,691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11,921,884</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5"/>
        </w:trPr>
        <w:tc>
          <w:tcPr>
            <w:tcW w:w="3140" w:type="dxa"/>
            <w:vAlign w:val="bottom"/>
            <w:gridSpan w:val="3"/>
          </w:tcPr>
          <w:p>
            <w:pPr>
              <w:spacing w:after="0" w:line="176" w:lineRule="exact"/>
              <w:rPr>
                <w:sz w:val="20"/>
                <w:szCs w:val="20"/>
                <w:color w:val="auto"/>
              </w:rPr>
            </w:pPr>
            <w:r>
              <w:rPr>
                <w:rFonts w:ascii="Arial" w:cs="Arial" w:eastAsia="Arial" w:hAnsi="Arial"/>
                <w:sz w:val="18"/>
                <w:szCs w:val="18"/>
                <w:color w:val="auto"/>
              </w:rPr>
              <w:t>Finance Leases</w:t>
            </w: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235,867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254,276</w:t>
            </w:r>
          </w:p>
        </w:tc>
      </w:tr>
      <w:tr>
        <w:trPr>
          <w:trHeight w:val="230"/>
        </w:trPr>
        <w:tc>
          <w:tcPr>
            <w:tcW w:w="3140" w:type="dxa"/>
            <w:vAlign w:val="bottom"/>
            <w:gridSpan w:val="3"/>
          </w:tcPr>
          <w:p>
            <w:pPr>
              <w:spacing w:after="0"/>
              <w:rPr>
                <w:sz w:val="20"/>
                <w:szCs w:val="20"/>
                <w:color w:val="auto"/>
              </w:rPr>
            </w:pPr>
            <w:r>
              <w:rPr>
                <w:rFonts w:ascii="Arial" w:cs="Arial" w:eastAsia="Arial" w:hAnsi="Arial"/>
                <w:sz w:val="18"/>
                <w:szCs w:val="18"/>
                <w:color w:val="auto"/>
              </w:rPr>
              <w:t>Accumulated amortization</w:t>
            </w: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(177,660)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(154,144)</w:t>
            </w:r>
          </w:p>
        </w:tc>
      </w:tr>
      <w:tr>
        <w:trPr>
          <w:trHeight w:val="223"/>
        </w:trPr>
        <w:tc>
          <w:tcPr>
            <w:tcW w:w="31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3260" w:type="dxa"/>
            <w:vAlign w:val="bottom"/>
            <w:tcBorders>
              <w:top w:val="single" w:sz="8" w:color="CCEEFF"/>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Bank and other loans payable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104,951</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also a lessor and has operating lease agreements with various tenants that lease its commercial and residential properties. See Note 2 for information about the Company’s real estate held for investment.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Management’s annual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87" w:lineRule="exact"/>
        <w:rPr>
          <w:sz w:val="20"/>
          <w:szCs w:val="20"/>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the Board of Directors of the Company, and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2021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2021. Based on that assessment management believes that at December 31, 2021, the Company’s internal control over financial reporting was effective.</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that occurred in the fourth quarter 2021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Board of Directors consists of ten persons, six of whom are not employees of the Company. There are no family relationships between or among any of the directors and executive officers, except that S. Andrew Quist and Adam G. Quist are sons of Scott M. Quist, and Jason G. Overbaugh is a nephew of Scott M. Quist. The following table sets forth certain information with respect to the directors and executive officers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7860" w:type="dxa"/>
            <w:vAlign w:val="bottom"/>
          </w:tcPr>
          <w:p>
            <w:pPr>
              <w:spacing w:after="0"/>
              <w:rPr>
                <w:sz w:val="20"/>
                <w:szCs w:val="20"/>
                <w:color w:val="auto"/>
              </w:rPr>
            </w:pPr>
            <w:r>
              <w:rPr>
                <w:rFonts w:ascii="Arial" w:cs="Arial" w:eastAsia="Arial" w:hAnsi="Arial"/>
                <w:sz w:val="18"/>
                <w:szCs w:val="18"/>
                <w:color w:val="auto"/>
              </w:rPr>
              <w:t>Position with the Company</w:t>
            </w:r>
          </w:p>
        </w:tc>
      </w:tr>
      <w:tr>
        <w:trPr>
          <w:trHeight w:val="224"/>
        </w:trPr>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Quist</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19"/>
                <w:szCs w:val="19"/>
                <w:color w:val="auto"/>
              </w:rPr>
            </w:pPr>
          </w:p>
        </w:tc>
        <w:tc>
          <w:tcPr>
            <w:tcW w:w="7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418"/>
        </w:trPr>
        <w:tc>
          <w:tcPr>
            <w:tcW w:w="2600" w:type="dxa"/>
            <w:vAlign w:val="bottom"/>
            <w:gridSpan w:val="2"/>
          </w:tcPr>
          <w:p>
            <w:pPr>
              <w:spacing w:after="0"/>
              <w:rPr>
                <w:sz w:val="20"/>
                <w:szCs w:val="20"/>
                <w:color w:val="auto"/>
              </w:rPr>
            </w:pPr>
            <w:r>
              <w:rPr>
                <w:rFonts w:ascii="Arial" w:cs="Arial" w:eastAsia="Arial" w:hAnsi="Arial"/>
                <w:sz w:val="18"/>
                <w:szCs w:val="18"/>
                <w:color w:val="auto"/>
              </w:rPr>
              <w:t>Garrett S. Sill</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Jason G. Overbaugh</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Vice President, National Marketing Director of Life Insurance and 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S. Andrew Quist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Vice President, General Counsel, and 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Adam G. Quist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Vice President - Memorial Services, Assistant Secretary, General Counsel, and 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Jeffrey R. Stephens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Senior General Counsel and Secretary</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Stephen C. Johnson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Vice President - Mortgage Operations</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John L. Cook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Gilbert A. Fuller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Robert G. Hunter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Ludmya B. Love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Shital A. Mehta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H. Craig Moody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business experience of each of the Company’s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Scott M. Quist </w:t>
      </w:r>
      <w:r>
        <w:rPr>
          <w:rFonts w:ascii="Arial" w:cs="Arial" w:eastAsia="Arial" w:hAnsi="Arial"/>
          <w:sz w:val="17"/>
          <w:szCs w:val="17"/>
          <w:color w:val="auto"/>
        </w:rPr>
        <w:t>has served as Chairman of the Board and Chief Executive Officer of the Company since 2012. Mr. Quist also serves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President, a position he has held since 2002. He has additionally served as a director of the Company since 1986. From 1993 to 2013, Mr. Quist served as Treasurer and a director of the National Alliance of Life Companies (NALC), a national trade association of over 200 life insurance companies, and as its President from 1990 to 2000. From 1986 to 1991, Mr. Quist was Treasurer and a director of The National Association of Life Companies, a trade association of 642 insurance companies until its merger with the American Council of Life Companies. Mr. Quist has been a member of the Board of Governors of the Forum 500 Section (representing small insurance companies) of the American Council of Life Insurance. He has also served as a regional director of Key Bank of Utah since 1993. Mr. Quist holds a B.S. degree in Accounting from Brigham Young University and received his law degree also from Brigham Young University. Mr. Quist’s significant expertise and deep understanding of the technical, organizational and strategic business aspects of the insurance industry, his management expertise, his 20-year tenure as President of the Company and 35-year tenure as a director, and his years of business and leadership experience led the Board of Directors to conclude that Mr. Quist should serve as Chairman of the Board, President, and Chief Executive Officer of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8" w:name="page119"/>
    <w:bookmarkEnd w:id="118"/>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Jason G. Overbaugh </w:t>
      </w:r>
      <w:r>
        <w:rPr>
          <w:rFonts w:ascii="Arial" w:cs="Arial" w:eastAsia="Arial" w:hAnsi="Arial"/>
          <w:sz w:val="16"/>
          <w:szCs w:val="16"/>
          <w:color w:val="auto"/>
        </w:rPr>
        <w:t>has served as a director of the Company since 2013. Mr. Overbaugh has also served as a Vice President and the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of the Company from 2002 to 2013. Mr. Overbaugh has additionally served as Vice President and National Marketing Director of Security National Life Insurance Company since 2006. From 2003 to 2006, he served as a Vice President of Security National Life Insurance Company with responsibilities as an investment manager over construction lending and commercial real estate investments. From 2000 to 2003, he served as a Vice President of Memorial Estates, Inc., with responsibilities over operations and sales. Mr. Overbaugh has served since 2007 as a director of the LOMA Life Insurance Council, a trade association of life insurance companies. He is also a member of the NFDA Trade Association. Mr. Overbaugh received a B.S. degree in Finance from the University of Utah. Mr. Overbaugh’s expertise in insurance and marketing, and his 25 years of experience with the Company in its insurance, real estate, and mortuary and cemetery operations led the Board of Directors to conclude that he should serve as a director of the Company.</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S. Andrew Quist </w:t>
      </w:r>
      <w:r>
        <w:rPr>
          <w:rFonts w:ascii="Arial" w:cs="Arial" w:eastAsia="Arial" w:hAnsi="Arial"/>
          <w:sz w:val="16"/>
          <w:szCs w:val="16"/>
          <w:color w:val="auto"/>
        </w:rPr>
        <w:t>has served as a director of the Company since 2013. Mr. Quist has also served as a Vice President of the Company since 2010.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from 2007 to December 2017, he served as the Company’s Associate General Counsel and since December 2017 as the Company’s General Counsel, where his responsibilities have included the Company’s regulatory matters and acquisitions. In addition, Mr. Quist has served as Executive Vice President and Chief Operating Officer since 2010, and as Vice President from 2008 to 2010, of C&amp;J Financial, LLC, which funds the purchase of funeral and burial policies from funeral homes after the death of the insureds. Mr. Quist has also served since 2013 as a director of the National Alliance of Life Companies (NALC), a national trade association of over 200 life insurance companies. From 2014 to 2016, he served as President of the NALC. Mr. Quist previously served as President of the Utah Life Convention, a consortium of Utah domestic life insurers. Mr. Quist holds a B.S. degree in Accounting from Brigham Young University and received his law degree from the University of Southern California. Mr. Quist is a member of the State Bar of California. Mr. Quist’s expertise in insurance, legal and regulatory matters led the Board of Directors to conclude that he should serve as a director of the Company.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Adam G. Quist </w:t>
      </w:r>
      <w:r>
        <w:rPr>
          <w:rFonts w:ascii="Arial" w:cs="Arial" w:eastAsia="Arial" w:hAnsi="Arial"/>
          <w:sz w:val="16"/>
          <w:szCs w:val="16"/>
          <w:color w:val="auto"/>
        </w:rPr>
        <w:t>has served as Vice President — Memorial Services and Assistant Secretary of the Company since 2015 and as a director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since 2021. From 2015 to 2017, he also served as the Company’s Associate General Counsel. Since 2017, Mr. Quist has served as the Company’s General Counsel. Mr. Quist has also served since 2015 as Vice President of Memorial Estates, Inc. (“Memorial Estates”) and since 2016 as Chief Operating Officer of Memorial Estates. Additionally, Mr. Quist has further served since 2015 as Vice President of Memorial Mortuary, Inc. (“Memorial Mortuary”) and since 2016 as Chief Operating Officer of Memorial Mortuary. Both Memorial Estates and Memorial Mortuary are wholly owned subsidiaries of the Company. Mr. Quist has served on the ACLI’s Life Insurance Committee since 2019. Additionally, he has been serving on the Board of Directors for Special Olympics Utah since January 2021. Mr. Quist hold a B.S. degree and a Master’s degree in Accounting with an emphasis on taxation from Brigham Young University. He received his law degree from the University of Utah. Mr. Quist is a member of the Utah State Bar. Mr. Quist’s expertise in administration, insurance, legal, and accounting matters led the Board of Directors to conclude that he should serve as a director of the Company.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John L. Cook </w:t>
      </w:r>
      <w:r>
        <w:rPr>
          <w:rFonts w:ascii="Arial" w:cs="Arial" w:eastAsia="Arial" w:hAnsi="Arial"/>
          <w:sz w:val="17"/>
          <w:szCs w:val="17"/>
          <w:color w:val="auto"/>
        </w:rPr>
        <w:t>has served as a director of the Company since 2013. Mr. Cook has served since 1982 as co-owner and operator of Cook Brothers</w:t>
      </w:r>
      <w:r>
        <w:rPr>
          <w:rFonts w:ascii="Arial" w:cs="Arial" w:eastAsia="Arial" w:hAnsi="Arial"/>
          <w:sz w:val="17"/>
          <w:szCs w:val="17"/>
          <w:i w:val="1"/>
          <w:iCs w:val="1"/>
          <w:color w:val="auto"/>
        </w:rPr>
        <w:t xml:space="preserve"> </w:t>
      </w:r>
      <w:r>
        <w:rPr>
          <w:rFonts w:ascii="Arial" w:cs="Arial" w:eastAsia="Arial" w:hAnsi="Arial"/>
          <w:sz w:val="17"/>
          <w:szCs w:val="17"/>
          <w:color w:val="auto"/>
        </w:rPr>
        <w:t>Painting, Inc., a company that provides painting services for contractors and builders of residential and commercial properties. In addition, Mr. Cook attended the University of Utah. As a director, Mr. Cook advised the Board concerning the Company’s investments in commercial and residential real estate projects. Moreover, Mr. Cook’s extensive background in construction and building is important as the Company continues to acquire new real estate holdings and develop its current portfolio of undeveloped land. Mr. Cook’s years of experience in the construction industry and with construction projects led the Board of Directors to conclude that he should serve as a director of the Company.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Gilbert A. Fuller </w:t>
      </w:r>
      <w:r>
        <w:rPr>
          <w:rFonts w:ascii="Arial" w:cs="Arial" w:eastAsia="Arial" w:hAnsi="Arial"/>
          <w:sz w:val="18"/>
          <w:szCs w:val="18"/>
          <w:color w:val="auto"/>
        </w:rPr>
        <w:t>has served as a director of the Company since 2012. From 2006 until his retirement in 2008, Mr. Fuller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Chief Financial Officer and Secretary of USANA Health Sciences, Inc., a multinational manufacturer and direct seller of nutritional supplements. Mr. Fuller joined USANA in 1996 as the Vice President of Finance and served in that role until 1999 when he was appointed as its Senior Vice President. Mr. Fuller has served as a member of the Board of Directors of USANA since 2008. Mr. Fuller received a B.S. degree in Accounting and an M.B.A. degree from the University of Utah. Mr. Fuller’s accounting, finance and corporate strategy expertise and his years of financial, accounting and business experience with public and private companies, including USANA Health Sciences, Inc., which is listed on the New York Stock Exchange, where he served as an executive officer and continues to serve as a director, led the Board of Directors to conclude that he should serve as a director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9" w:name="page120"/>
    <w:bookmarkEnd w:id="119"/>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Robert G. Hunter, M.D. </w:t>
      </w:r>
      <w:r>
        <w:rPr>
          <w:rFonts w:ascii="Arial" w:cs="Arial" w:eastAsia="Arial" w:hAnsi="Arial"/>
          <w:sz w:val="16"/>
          <w:szCs w:val="16"/>
          <w:color w:val="auto"/>
        </w:rPr>
        <w:t>has served as a director of the Company since 1998. Dr. Hunter is currently a practicing physician in private practice. Dr.</w:t>
      </w:r>
      <w:r>
        <w:rPr>
          <w:rFonts w:ascii="Arial" w:cs="Arial" w:eastAsia="Arial" w:hAnsi="Arial"/>
          <w:sz w:val="16"/>
          <w:szCs w:val="16"/>
          <w:i w:val="1"/>
          <w:iCs w:val="1"/>
          <w:color w:val="auto"/>
        </w:rPr>
        <w:t xml:space="preserve"> </w:t>
      </w:r>
      <w:r>
        <w:rPr>
          <w:rFonts w:ascii="Arial" w:cs="Arial" w:eastAsia="Arial" w:hAnsi="Arial"/>
          <w:sz w:val="16"/>
          <w:szCs w:val="16"/>
          <w:color w:val="auto"/>
        </w:rPr>
        <w:t>Hunter is Department Head of Otolaryngology, Head and Neck Surgery at Intermountain Medical Center and a past President of the medical staff of the Intermountain Medical Center. He is also a delegate to the Utah Medical Association and has served as a delegate representing the State of Utah to the American Medical Association. Dr. Hunter holds a B.S. degree in Microbiology from the University of Utah and received his medical degree from the University of Utah College of Medicine. Dr. Hunter’s medical expertise and experience, and his administrative and leadership experience from serving in a number of administrative positions in the medical profession led the Board of Directors to conclude that he should serve as a director of the Company.</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Ludmya (Mia) B. Love </w:t>
      </w:r>
      <w:r>
        <w:rPr>
          <w:rFonts w:ascii="Arial" w:cs="Arial" w:eastAsia="Arial" w:hAnsi="Arial"/>
          <w:sz w:val="17"/>
          <w:szCs w:val="17"/>
          <w:color w:val="auto"/>
        </w:rPr>
        <w:t>has served as a director of the Company since 2021. Ms. Love served two terms (2015-2019) as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for Utah’s 4th Congressional District. While serving in Congress, Ms. Love was a member of the prestigious House Financial Services Committee. She also served on the Terrorism and Illicit Finance Subcommittee, the Monetary Policy and Trade Subcommittee, and the Financial Institutions and Consumer Credit Subcommittee. Prior to her service in Congress, Ms. Love served for ten years on the Saratoga Springs City Council and as Mayor of Saratoga Springs, Utah. Ms. Love received a Bachelor of Fine Arts degree from the University of Hartford. She was also awarded an Honorary Doctorate of Law degree from the University of Hartford. Ms. Love taught as a Fellow at the Georgetown University Institute of Politics as part of the Fall 2020 cohort, and is currently a Senior Fellow for the United States Study Center for Politics in Sydney Australia. Ms. Love is also a regular political commentator on CNN cable news network. Ms. Love’s experience and leadership in financial and governmental affairs led the Board of Directors to conclude that she should serve as a director of the Company.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Shital A. Mehta (a/k/a Alexandra Mysoor) </w:t>
      </w:r>
      <w:r>
        <w:rPr>
          <w:rFonts w:ascii="Arial" w:cs="Arial" w:eastAsia="Arial" w:hAnsi="Arial"/>
          <w:sz w:val="17"/>
          <w:szCs w:val="17"/>
          <w:color w:val="auto"/>
        </w:rPr>
        <w:t>has served as a director of the Company since 2021. Ms. Mehta is the founder and Chairwoman of</w:t>
      </w:r>
      <w:r>
        <w:rPr>
          <w:rFonts w:ascii="Arial" w:cs="Arial" w:eastAsia="Arial" w:hAnsi="Arial"/>
          <w:sz w:val="17"/>
          <w:szCs w:val="17"/>
          <w:i w:val="1"/>
          <w:iCs w:val="1"/>
          <w:color w:val="auto"/>
        </w:rPr>
        <w:t xml:space="preserve"> </w:t>
      </w:r>
      <w:r>
        <w:rPr>
          <w:rFonts w:ascii="Arial" w:cs="Arial" w:eastAsia="Arial" w:hAnsi="Arial"/>
          <w:sz w:val="17"/>
          <w:szCs w:val="17"/>
          <w:color w:val="auto"/>
        </w:rPr>
        <w:t>Mysoor Industries, a multinational conglomerate involved in manufacturing, e-commerce, media, trading, and investments. Ms. Mehta is a self-made entrepreneur and operating executive. Ms. Mehta started her first company, a digital marketing agency, at the age of 24 and subsequently co-founded a social commerce company engaged in accelerating socially and environmentally conscious living. Ms. Mehta is also the executive producer and host of The Alexandra Mysoor Show, which airs on Rukus Avenue Radio, Dash Radio, YouTube, Amazon, Spotify, JioSaavn and wherever podcasts are found. Ms. Mehta received a Bachelor of Arts degree from the University of California at Berkeley in Interdisciplinary Field Studies and studied fashion at the Fashion Institute of Design &amp; Merchandising in Los Angeles. Ms. Mehta’s experience in administration, marketing, sales, and e-commerce led the Board of Directors to conclude that she should serve as a director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H. Craig Moody </w:t>
      </w:r>
      <w:r>
        <w:rPr>
          <w:rFonts w:ascii="Arial" w:cs="Arial" w:eastAsia="Arial" w:hAnsi="Arial"/>
          <w:sz w:val="18"/>
          <w:szCs w:val="18"/>
          <w:color w:val="auto"/>
        </w:rPr>
        <w:t>has served as a director of the Company since 1995. Mr. Moody is owner of Moody &amp; Associates, a political consulting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company. He is a former Speaker and House Majority Leader of the House of Representatives of the State of Utah. From 1989 to 1992, Mr. Moody was Co-Chairman of the Utah Legislative Audit Committee. Mr. Moody holds a B.S. degree in Political Science from the University of Utah. Mr. Moody’s real estate and governmental affairs expertise and years of business and leadership experience led the Board of Directors to conclude that he should serve as a director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Board Committees, and Meetings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Bylaws provide that the Board of Directors shall consist of not fewer than five or more than twelve members. The term of office of each director is for a period of one year or until the election and qualification of a successor. A director is not required to be a resident of the State of Utah or a stockholder of the Company. The Board of Directors held a total of five meetings during the fiscal year ended December 31, 2021. Each of the directors attended 75% or more of the meetings of the Board of Directors during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size of the Board of Directors of the Company is ten members. A majority of the Board of Directors must qualify as “independent” as that term is defined in Rule 4200 of the listing standards of The Nasdaq Stock Market. The Board of Directors has affirmatively determined that six of the ten members of the Board of Directors, namely John L. Cook, Gilbert A. Fuller, Robert G. Hunter, M.D., Ludmya B. Love, Shital A. Mehta H. and Craig Moody are independent under the listing standards of the The Nasdaq Stock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0" w:name="page121"/>
    <w:bookmarkEnd w:id="120"/>
    <w:p>
      <w:pPr>
        <w:jc w:val="both"/>
        <w:ind w:right="20"/>
        <w:spacing w:after="0" w:line="277" w:lineRule="auto"/>
        <w:rPr>
          <w:sz w:val="20"/>
          <w:szCs w:val="20"/>
          <w:color w:val="auto"/>
        </w:rPr>
      </w:pPr>
      <w:r>
        <w:rPr>
          <w:rFonts w:ascii="Arial" w:cs="Arial" w:eastAsia="Arial" w:hAnsi="Arial"/>
          <w:sz w:val="18"/>
          <w:szCs w:val="18"/>
          <w:color w:val="auto"/>
        </w:rPr>
        <w:t>There are four committees of the Board of Directors, which meet periodically during the year: the Audit Committee, the Compensation Committee, the Executive Committee, and the Nominating and Corporate Governance Committee.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directs the auditing activities of the Company’s internal auditors and outside public accounting firm and approves the services of the outside public accounting firm. The Audit Committee consists of John L. Cook, Gilbert A. Fuller (Chairman of the committee), Ludmya B. Love, Shital A. Mehta and H. Craig Moody. During 2021, the Audit Committee met on three occasions.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Compensation Committee is responsible for recommending to the Board of Directors for approval the annual compensation of each executive officer of the Company and the executive officers of the Company’s subsidiaries, developing policy in the areas of compensation and fringe benefits, contributions under the 401(k) Retirement Savings Plans, Non-Qualified Deferred Compensation Plan, granting of options under the stock option plans and other awards under the stock option and incentive plans, and creating other employee compensation plans. The Compensation Committee consists of John L. Cook, Gilbert A. Fuller, Robert G. Hunter, M.D., Ludmya B. Love, Shital A. Mehta and H. Craig Moody (Chairman of the committee). The Compensation Committee is composed solely of independent directors, as defined in the listing standards of The Nasdaq Stock Market. During 2021, the Compensation Committee met on three occasions.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Executive Committee reviews Company policy, major investment activities and other pertinent transactions of the Company. The Executive Committee consists of Gilbert A. Fuller, H. Craig Moody, S. Andrew Quist and Scott M. Quist (Chairman of the committee). During 2021, the Executive Committee met on one occasion.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Nominating and Corporate Governance Committee identifies individuals qualified to become Board members consistent with criteria approved by the Board, recommends to the Board the persons to be nominated by the Board for election as directors at a meeting of stockholders, and develops and recommends to the Board a set of corporate governance principles. The Nominating and Corporate Governance Committee consists of John L. Cook, Gilbert A. Fuller, Robert G. Hunter, M.D., Ludmya B. Love, Shital A. Mehta and H. Craig Moody (Chairman of the committee). The Nominating and Corporate Governance Committee is composed solely of independent directors, as defined in the listing standards of The Nasdaq Stock Market. During 2021, the Nominating and Corporate Governance Committee met on two occasions.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Nominating Process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process for identifying and evaluating nominees for directors include the following steps: (1) the members of the Nominating and Corporate Governance Committee, Chairman of the Board or other board members identify a need to fill vacancies or add newly created directorships; (2) the Chairman of the Nominating and Corporate Governance Committee initiates a search and seeks input from board members and senior management and, if necessary, obtains advice from legal or other advisors; (3) director candidates, including any candidates properly proposed by stockholders in accordance with the Company’s Bylaws, are identified and presented to the Nominating and Corporate Governance Committee; (4) initial interviews with candidates are conducted by the Chairman of the Nominating and Corporate Governance Committee; (5) the Nominating and Corporate Governance Committee meets to consider and approve final candidate(s) and conduct further interviews as necessary; and (6) the Nominating and Corporate Governance Committee makes recommendations to the board for inclusion in the slate of directors at the annual meeting. The evaluation process will be the same whether the nominee is recommended by a stockholder or by a member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Non-Management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directors meet regularly in executive session without management. The Board of Directors has designated a lead director to preside at executive sessions of independent directors. Mr. H. Craig Moody is currently the lead director.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Garrett S. Sill </w:t>
      </w:r>
      <w:r>
        <w:rPr>
          <w:rFonts w:ascii="Arial" w:cs="Arial" w:eastAsia="Arial" w:hAnsi="Arial"/>
          <w:sz w:val="16"/>
          <w:szCs w:val="16"/>
          <w:color w:val="auto"/>
        </w:rPr>
        <w:t>has served as Chief Financial Officer and Treasurer since 2013. From 2011 to 2013, Mr. Sill served as Vice President and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Security National Life Insurance Company, a wholly owned subsidiary of the Company. From 2002 to 2011, Mr. Sill was Chief Financial Officer and Treasurer of SecurityNational Mortgage, a wholly owned subsidiary of the Company. Mr. Sill is a certified public accountant, having been licensed since 2002. He holds a B.A. degree in Accounting from Weber State University and a Master’s degree in Business Administration from the University of Utah. Mr. Sill also serves as the chairman of the Advisory Council of the School of Accounting and Taxation at Weber State University.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Jeffrey R. Stephens </w:t>
      </w:r>
      <w:r>
        <w:rPr>
          <w:rFonts w:ascii="Arial" w:cs="Arial" w:eastAsia="Arial" w:hAnsi="Arial"/>
          <w:sz w:val="18"/>
          <w:szCs w:val="18"/>
          <w:color w:val="auto"/>
        </w:rPr>
        <w:t>has served as Senior General Counsel of the Company since 2017, as General Counsel from 2006 to 2017, and as Secretary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since 2008. Mr. Stephens was in private practice from 1981 to 2006 in the states of Washington and Utah. Mr. Stephens holds a B.A. degree in Geography from the University of Utah and received his law degree from Brigham Young University. Mr. Stephens is a member of the Utah State Bar Association and the Washington State Bar Association.</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Stephen C. Johnson </w:t>
      </w:r>
      <w:r>
        <w:rPr>
          <w:rFonts w:ascii="Arial" w:cs="Arial" w:eastAsia="Arial" w:hAnsi="Arial"/>
          <w:sz w:val="17"/>
          <w:szCs w:val="17"/>
          <w:color w:val="auto"/>
        </w:rPr>
        <w:t>has served as the Vice President of Mortgage Operations of the Company and as the President of SecurityNational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2016. Prior to Mr. Johnson’s appointment as President of SecurityNational Mortgage, Mr. Johnson served as Executive Vice President and Chief Operating Officer of SecurityNational Mortgage. Mr. Johnson has over 30 years of experience at the executive management level in the mortgage banking industry. Mr. Johnson holds a B.A. degree in International Relations from Brigham Young University and Master’s degree in International Management and Finance from the American Graduate School of International Management (Thunderbird).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of the Company has a written procedure, which requires disclosure to the board of any material interest or any affiliation on the part of any of its officers, directors or employees that is in conflict or may be in conflict with the Company’s interests.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executive officers and directors of the Company hold office until the next Annual Meeting of Stockholders and until their successors have been elected and qualified.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Corporate Governance Guidelines</w:t>
      </w:r>
      <w:r>
        <w:rPr>
          <w:rFonts w:ascii="Arial" w:cs="Arial" w:eastAsia="Arial" w:hAnsi="Arial"/>
          <w:sz w:val="18"/>
          <w:szCs w:val="18"/>
          <w:color w:val="auto"/>
        </w:rPr>
        <w:t>. The Board of Directors has adopted the Security National Financial Corporation Corporate Governance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These guidelines outline the functions of the board, director qualifications and responsibilities, and various processes and procedures designed to insure effective and responsive governance. The Board of Directors has also adopted a written committee charter for its Audit Committee, Compensation Committee and Nominating and Corporate Governance Committee. The guidelines and committee charters are reviewed from time to time in response to regulatory requirements and best practices and are revised accordingly. The full text of the guidelines and the committee charters is published on the Company’s website at </w:t>
      </w:r>
      <w:r>
        <w:rPr>
          <w:rFonts w:ascii="Arial" w:cs="Arial" w:eastAsia="Arial" w:hAnsi="Arial"/>
          <w:sz w:val="18"/>
          <w:szCs w:val="18"/>
          <w:u w:val="single" w:color="auto"/>
          <w:color w:val="auto"/>
        </w:rPr>
        <w:t>www.securitynational.com/governance.</w:t>
      </w:r>
      <w:r>
        <w:rPr>
          <w:rFonts w:ascii="Arial" w:cs="Arial" w:eastAsia="Arial" w:hAnsi="Arial"/>
          <w:sz w:val="18"/>
          <w:szCs w:val="18"/>
          <w:color w:val="auto"/>
        </w:rPr>
        <w:t xml:space="preserve"> A copy of the committee charters and guidelines may also be obtained at no charge by written request to the attention of Jeffrey R. Stephens, Senior General Counsel and Secretary, Security National Financial Corporation, 433 West Ascension Way,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Salt Lake City, Utah 84123.</w:t>
      </w:r>
    </w:p>
    <w:p>
      <w:pPr>
        <w:spacing w:after="0" w:line="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Code of Business Conduct and Ethics</w:t>
      </w:r>
      <w:r>
        <w:rPr>
          <w:rFonts w:ascii="Arial" w:cs="Arial" w:eastAsia="Arial" w:hAnsi="Arial"/>
          <w:sz w:val="16"/>
          <w:szCs w:val="16"/>
          <w:color w:val="auto"/>
        </w:rPr>
        <w:t>. All of the Company’s officers, employees, and directors are required to comply with the Company’s Code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Business Conduct and Ethics to help ensure that the Company’s business is conducted in accordance with appropriate standards of ethical behavior. The Company’s Code of Business Conduct and Ethics covers all areas of professional conduct, including customer relationships, conflicts of interest, insider trading, financial disclosures, intellectual property, and confidential information, as well as requiring adherence to all laws and regulations applicable to the Company’s business. Employees are required to report any violations or suspected violations of the Code. The Code includes an anti-retaliation statement. The full text of the Code of Business Conduct and Ethics is published on the Company’s website at </w:t>
      </w:r>
      <w:r>
        <w:rPr>
          <w:rFonts w:ascii="Arial" w:cs="Arial" w:eastAsia="Arial" w:hAnsi="Arial"/>
          <w:sz w:val="16"/>
          <w:szCs w:val="16"/>
          <w:u w:val="single" w:color="auto"/>
          <w:color w:val="auto"/>
        </w:rPr>
        <w:t>www.securitynational.com/governance</w:t>
      </w:r>
      <w:r>
        <w:rPr>
          <w:rFonts w:ascii="Arial" w:cs="Arial" w:eastAsia="Arial" w:hAnsi="Arial"/>
          <w:sz w:val="16"/>
          <w:szCs w:val="16"/>
          <w:color w:val="auto"/>
        </w:rPr>
        <w:t>. A copy of the Code of Business Conduct and Ethics may also be obtained at no charge by written request to the attention of Jeffrey R. Stephens, Senior General Counsel and Secretary, Security National Financial Corporation, 433 West Ascension Way,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Salt Lake City, Utah 84123.</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compensation information for fiscal 2021 and 2020 for (i) the Company’s Chief Executive Officer, (ii) the Company’s Chief Financial Officer, and (iii) the Company’s three other executive officers who, based on their total compensation, were the most highly compensated in 2021. The Company refers to them collectively as the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60" w:type="dxa"/>
            <w:vAlign w:val="bottom"/>
            <w:gridSpan w:val="12"/>
          </w:tcPr>
          <w:p>
            <w:pPr>
              <w:ind w:left="60"/>
              <w:spacing w:after="0"/>
              <w:rPr>
                <w:sz w:val="20"/>
                <w:szCs w:val="20"/>
                <w:color w:val="auto"/>
              </w:rPr>
            </w:pPr>
            <w:r>
              <w:rPr>
                <w:rFonts w:ascii="Arial" w:cs="Arial" w:eastAsia="Arial" w:hAnsi="Arial"/>
                <w:sz w:val="18"/>
                <w:szCs w:val="18"/>
                <w:b w:val="1"/>
                <w:bCs w:val="1"/>
                <w:color w:val="auto"/>
              </w:rPr>
              <w:t>SUMMARY COMPENSATION TABLE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Change in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Non-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Pension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Non-qualified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Incentive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Deferred</w:t>
            </w:r>
          </w:p>
        </w:tc>
        <w:tc>
          <w:tcPr>
            <w:tcW w:w="10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Options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Compensation</w:t>
            </w:r>
          </w:p>
        </w:tc>
        <w:tc>
          <w:tcPr>
            <w:tcW w:w="10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Compen-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Awards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Compen-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Earnings (1)</w:t>
            </w:r>
          </w:p>
        </w:tc>
        <w:tc>
          <w:tcPr>
            <w:tcW w:w="10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sation (2)</w:t>
            </w:r>
          </w:p>
        </w:tc>
        <w:tc>
          <w:tcPr>
            <w:tcW w:w="1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37"/>
        </w:trPr>
        <w:tc>
          <w:tcPr>
            <w:tcW w:w="3240" w:type="dxa"/>
            <w:vAlign w:val="bottom"/>
          </w:tcPr>
          <w:p>
            <w:pPr>
              <w:ind w:left="600"/>
              <w:spacing w:after="0"/>
              <w:rPr>
                <w:sz w:val="20"/>
                <w:szCs w:val="20"/>
                <w:color w:val="auto"/>
              </w:rPr>
            </w:pPr>
            <w:r>
              <w:rPr>
                <w:rFonts w:ascii="Arial" w:cs="Arial" w:eastAsia="Arial" w:hAnsi="Arial"/>
                <w:sz w:val="18"/>
                <w:szCs w:val="18"/>
                <w:color w:val="auto"/>
              </w:rPr>
              <w:t>Name and Principal Position</w:t>
            </w:r>
          </w:p>
        </w:tc>
        <w:tc>
          <w:tcPr>
            <w:tcW w:w="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xml:space="preserve">Salary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w:t>
            </w: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 xml:space="preserve">Bonus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w:t>
            </w:r>
          </w:p>
        </w:tc>
        <w:tc>
          <w:tcPr>
            <w:tcW w:w="100" w:type="dxa"/>
            <w:vAlign w:val="bottom"/>
          </w:tcPr>
          <w:p>
            <w:pPr>
              <w:spacing w:after="0"/>
              <w:rPr>
                <w:sz w:val="20"/>
                <w:szCs w:val="20"/>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 xml:space="preserve">sation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$ 588,950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2"/>
              </w:rPr>
              <w:t>$ 429,300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$ 149,410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50,978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1,218,638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Chairman of the Board, President and Chief</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558,950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157,800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29,289</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49,969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796,008</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Garrett S. Sill</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$ 259,167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338,000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89,346</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39,110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725,623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112,000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17,243</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37,986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406,562</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$ 360,000</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$ 394,447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29,939</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809,887</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Mortgage Operations</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284,828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6,896</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24,400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676,124</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 Andrew Quist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$ 285,667</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$ 339,325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$ 179,455</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839,513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General Counsel</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265,667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138,325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27,589</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33,561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465,142</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$ 219,875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22,454</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27,894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366,248</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General Counsel and Secretary</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205,167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24,928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ind w:left="340" w:hanging="332"/>
        <w:spacing w:after="0" w:line="291"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amounts indicated under “Change in Pension Value and Non-Qualified Deferred Compensation Earnings” consist of amounts that the Company contributed into a trust for the benefit of the Named Executive Officers under the Company’s Non-Qualified Deferred Compensation Plan.</w:t>
      </w:r>
    </w:p>
    <w:p>
      <w:pPr>
        <w:ind w:left="340" w:hanging="332"/>
        <w:spacing w:after="0" w:line="250"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indicated under “All Other Compensation” consist of the following amounts that the Company paid for the benefit of the Named Executive Officers:</w:t>
      </w:r>
    </w:p>
    <w:p>
      <w:pPr>
        <w:jc w:val="both"/>
        <w:ind w:left="660" w:hanging="328"/>
        <w:spacing w:after="0" w:line="250"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payments related to the operation of automobiles for Scott M. Quist ($7,200 for each of the years 2021 and 2020); Garrett S. Sill ($4,200 for 2021 and $4,400 for 2020) and, Stephen C. Johnson, S. Andrew Quist, and Jeffrey R. Stephens ($-0- for each of the years 2021 and 2020). However, such payments do not include the furnishing of an automobile by the Company to Scott M. Quist, nor the payment of insurance and property taxes with respect to the automobile operated by such executive officer;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group life insurance premiums that the Company paid to a group life insurance plan for Scott M. Quist, Garrett S. Sill, Stephen C. Johnson, S. Andrew Quist, and Jeffrey R. Stephens ($114 for each of the years 2021 and 2020);</w:t>
      </w:r>
    </w:p>
    <w:p>
      <w:pPr>
        <w:ind w:left="660" w:hanging="328"/>
        <w:spacing w:after="0" w:line="250"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life insurance premiums that the Company paid for the benefit of Scott M. Quist ($15,765 for each of the years 2021 and 2020); and Garrett S. Sill, Stephen C. Johnson, S. Andrew Quist, and Jeffrey R. Stephens ($-0- for each of the years 2021 and 2020);</w:t>
      </w:r>
    </w:p>
    <w:p>
      <w:pPr>
        <w:jc w:val="both"/>
        <w:ind w:left="660" w:hanging="328"/>
        <w:spacing w:after="0" w:line="250"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medical insurance premiums that the Company paid to a medical insurance plan for Scott M. Quist ($15,849 for 2021 and $15,118 for 2020); Garrett S. Sill ($22,806 for 2021 and $21,756 for 2020); Stephen C. Johnson ($12,321 for 2021 and $11,764 for 2020); S. Andrew Quist ($22,806 for 2021 and $21,756 for 2020); and Jeffrey R. Stephens ($15,849 for 2021 and $15,118 for 2020);</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long term disability insurance premiums that the Company paid to a provider of such insurance for Scott M. Quist ($450 for 2021 and $372 for 2020), Garrett S. Sill ($390 for 2021 and $316 for 2020), Stephen C. Johnson ($450 for 2021 and $372 for 2020), S. Andrew Quist ($430 for 2021 and $339 for 2020), and Jeffrey R. Stephens ($331 for 2021 and $278 for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ind w:left="660" w:hanging="328"/>
        <w:spacing w:after="0" w:line="255"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contributions that the Company made to defined contribution plans for Scott M. Quist ($11,600 for 2021 and $11,400 for 2020); Garrett S. Sill ($11,600 for 2021 and $11,400 for 2020); Stephen C. Johnson ($11,600 for 2021 and $11,400 for 2020); S. Andrew Quist ($11,497 for 2021 and $10,927 for 2020); and Jeffrey R. Stephens ($11,600 for 2021 and $9,418 for 2020); and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contributions that the Company made to health savings accounts for Scott M. Quist, Garrett S. Sill, S. Andrew Quist and Jeffrey R. Stephens ($-0-for each of the years 2021 and 2020); and Stephen C. Johnson ($1,016 for 2021 and $750 for 2020);</w:t>
      </w:r>
    </w:p>
    <w:p>
      <w:pPr>
        <w:ind w:left="660" w:hanging="328"/>
        <w:spacing w:after="0" w:line="260"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gym membership incentives for Scott M. Quist, Garrett S. Sill, and Stephen C. Johnson ($-0- for each of the years 2021 and 2020); S. Andrew Quist ($219 for 2021 and $425 for 2020); and Jeffrey R. Stephens ($-0- for each of the years 2021 and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ALL OTHER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all other compensation provided the Named Executive Officers for fiscal years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Dividends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Perks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Registrant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or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Payments/</w:t>
            </w:r>
          </w:p>
        </w:tc>
        <w:tc>
          <w:tcPr>
            <w:tcW w:w="1240" w:type="dxa"/>
            <w:vAlign w:val="bottom"/>
            <w:gridSpan w:val="3"/>
          </w:tcPr>
          <w:p>
            <w:pPr>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Tax</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Discounted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Accruals on</w:t>
            </w:r>
          </w:p>
        </w:tc>
        <w:tc>
          <w:tcPr>
            <w:tcW w:w="1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to Defined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Personal</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Reimburse-</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Securities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Termination</w:t>
            </w: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Contribution</w:t>
            </w: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Option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Name of Executive Officer</w:t>
            </w:r>
          </w:p>
        </w:tc>
        <w:tc>
          <w:tcPr>
            <w:tcW w:w="160" w:type="dxa"/>
            <w:vAlign w:val="bottom"/>
          </w:tcPr>
          <w:p>
            <w:pPr>
              <w:spacing w:after="0"/>
              <w:rPr>
                <w:sz w:val="20"/>
                <w:szCs w:val="20"/>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Year</w:t>
            </w:r>
          </w:p>
        </w:tc>
        <w:tc>
          <w:tcPr>
            <w:tcW w:w="86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Benefits</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ments</w:t>
            </w:r>
          </w:p>
        </w:tc>
        <w:tc>
          <w:tcPr>
            <w:tcW w:w="14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Purchases</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Plans</w:t>
            </w:r>
          </w:p>
        </w:tc>
        <w:tc>
          <w:tcPr>
            <w:tcW w:w="10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Plans</w:t>
            </w:r>
          </w:p>
        </w:tc>
        <w:tc>
          <w:tcPr>
            <w:tcW w:w="1000" w:type="dxa"/>
            <w:vAlign w:val="bottom"/>
            <w:gridSpan w:val="3"/>
          </w:tcPr>
          <w:p>
            <w:pPr>
              <w:spacing w:after="0"/>
              <w:rPr>
                <w:sz w:val="20"/>
                <w:szCs w:val="20"/>
                <w:color w:val="auto"/>
              </w:rPr>
            </w:pPr>
            <w:r>
              <w:rPr>
                <w:rFonts w:ascii="Arial" w:cs="Arial" w:eastAsia="Arial" w:hAnsi="Arial"/>
                <w:sz w:val="18"/>
                <w:szCs w:val="18"/>
                <w:color w:val="auto"/>
              </w:rPr>
              <w:t>Premiums</w:t>
            </w: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Awards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Other</w:t>
            </w:r>
          </w:p>
        </w:tc>
      </w:tr>
      <w:tr>
        <w:trPr>
          <w:trHeight w:val="209"/>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32,178</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31,369</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Garrett S. Sill</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23,310</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22,186</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13,901</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13,000</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 Andrew Quist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23,350</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10,927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22,209</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16,294</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15,510</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information regarding options granted to the Named Executive Officers during the fiscal year ended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All Other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Date Fair</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Awards:</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or Base</w:t>
            </w: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Closing</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7"/>
          </w:tcPr>
          <w:p>
            <w:pPr>
              <w:jc w:val="center"/>
              <w:ind w:right="320"/>
              <w:spacing w:after="0"/>
              <w:rPr>
                <w:sz w:val="20"/>
                <w:szCs w:val="20"/>
                <w:color w:val="auto"/>
              </w:rPr>
            </w:pPr>
            <w:r>
              <w:rPr>
                <w:rFonts w:ascii="Arial" w:cs="Arial" w:eastAsia="Arial" w:hAnsi="Arial"/>
                <w:sz w:val="18"/>
                <w:szCs w:val="18"/>
                <w:color w:val="auto"/>
                <w:w w:val="89"/>
              </w:rPr>
              <w:t>Estimated Future Payouts Under</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Price of</w:t>
            </w: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Price on</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and</w:t>
            </w:r>
          </w:p>
        </w:tc>
      </w:tr>
      <w:tr>
        <w:trPr>
          <w:trHeight w:val="251"/>
        </w:trPr>
        <w:tc>
          <w:tcPr>
            <w:tcW w:w="3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0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Equity Incentive Plan Awards</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Underlying</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16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Grant</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r>
      <w:tr>
        <w:trPr>
          <w:trHeight w:val="202"/>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Grant</w:t>
            </w:r>
          </w:p>
        </w:tc>
        <w:tc>
          <w:tcPr>
            <w:tcW w:w="10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Threshold</w:t>
            </w:r>
          </w:p>
        </w:tc>
        <w:tc>
          <w:tcPr>
            <w:tcW w:w="820" w:type="dxa"/>
            <w:vAlign w:val="bottom"/>
            <w:tcBorders>
              <w:top w:val="single" w:sz="8" w:color="auto"/>
            </w:tcBorders>
            <w:gridSpan w:val="2"/>
          </w:tcPr>
          <w:p>
            <w:pPr>
              <w:jc w:val="center"/>
              <w:ind w:right="160"/>
              <w:spacing w:after="0" w:line="201" w:lineRule="exact"/>
              <w:rPr>
                <w:sz w:val="20"/>
                <w:szCs w:val="20"/>
                <w:color w:val="auto"/>
              </w:rPr>
            </w:pPr>
            <w:r>
              <w:rPr>
                <w:rFonts w:ascii="Arial" w:cs="Arial" w:eastAsia="Arial" w:hAnsi="Arial"/>
                <w:sz w:val="18"/>
                <w:szCs w:val="18"/>
                <w:color w:val="auto"/>
                <w:w w:val="88"/>
              </w:rPr>
              <w:t>Target</w:t>
            </w:r>
          </w:p>
        </w:tc>
        <w:tc>
          <w:tcPr>
            <w:tcW w:w="9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Maximum</w:t>
            </w:r>
          </w:p>
        </w:tc>
        <w:tc>
          <w:tcPr>
            <w:tcW w:w="320" w:type="dxa"/>
            <w:vAlign w:val="bottom"/>
          </w:tcPr>
          <w:p>
            <w:pPr>
              <w:spacing w:after="0"/>
              <w:rPr>
                <w:sz w:val="17"/>
                <w:szCs w:val="17"/>
                <w:color w:val="auto"/>
              </w:rPr>
            </w:pPr>
          </w:p>
        </w:tc>
        <w:tc>
          <w:tcPr>
            <w:tcW w:w="11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3"/>
              </w:rPr>
              <w:t>Options</w:t>
            </w:r>
          </w:p>
        </w:tc>
        <w:tc>
          <w:tcPr>
            <w:tcW w:w="8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9"/>
              </w:rPr>
              <w:t>Awards</w:t>
            </w:r>
          </w:p>
        </w:tc>
        <w:tc>
          <w:tcPr>
            <w:tcW w:w="160" w:type="dxa"/>
            <w:vAlign w:val="bottom"/>
          </w:tcPr>
          <w:p>
            <w:pPr>
              <w:spacing w:after="0"/>
              <w:rPr>
                <w:sz w:val="17"/>
                <w:szCs w:val="17"/>
                <w:color w:val="auto"/>
              </w:rPr>
            </w:pPr>
          </w:p>
        </w:tc>
        <w:tc>
          <w:tcPr>
            <w:tcW w:w="9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9"/>
              </w:rPr>
              <w:t>Date</w:t>
            </w:r>
          </w:p>
        </w:tc>
        <w:tc>
          <w:tcPr>
            <w:tcW w:w="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Awards</w:t>
            </w:r>
          </w:p>
        </w:tc>
      </w:tr>
      <w:tr>
        <w:trPr>
          <w:trHeight w:val="237"/>
        </w:trPr>
        <w:tc>
          <w:tcPr>
            <w:tcW w:w="3220" w:type="dxa"/>
            <w:vAlign w:val="bottom"/>
            <w:gridSpan w:val="2"/>
          </w:tcPr>
          <w:p>
            <w:pPr>
              <w:ind w:left="540"/>
              <w:spacing w:after="0"/>
              <w:rPr>
                <w:sz w:val="20"/>
                <w:szCs w:val="20"/>
                <w:color w:val="auto"/>
              </w:rPr>
            </w:pPr>
            <w:r>
              <w:rPr>
                <w:rFonts w:ascii="Arial" w:cs="Arial" w:eastAsia="Arial" w:hAnsi="Arial"/>
                <w:sz w:val="18"/>
                <w:szCs w:val="18"/>
                <w:color w:val="auto"/>
              </w:rPr>
              <w:t>Name of Executive Officer</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Date</w:t>
            </w: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($/Sh)</w:t>
            </w: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($/Sh)</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12/3/21</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9.48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8.62</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$ 149,410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Garrett S. Sill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89,346</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29,939</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Andrew Quist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179,455</w:t>
            </w: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22,454</w:t>
            </w:r>
          </w:p>
        </w:tc>
      </w:tr>
      <w:tr>
        <w:trPr>
          <w:trHeight w:val="439"/>
        </w:trPr>
        <w:tc>
          <w:tcPr>
            <w:tcW w:w="3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outstanding equity awards held by Named Executive Officers at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Option Awards</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rPr>
              <w:t>Stock Awards</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00" w:type="dxa"/>
            <w:vAlign w:val="bottom"/>
          </w:tcPr>
          <w:p>
            <w:pPr>
              <w:spacing w:after="0"/>
              <w:rPr>
                <w:sz w:val="16"/>
                <w:szCs w:val="16"/>
                <w:color w:val="auto"/>
              </w:rPr>
            </w:pP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Incentive</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Equity</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Plan</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Incentive</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Awards:</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Plan</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Market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Awards:</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or</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Number</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Payout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rPr>
              <w:t>of</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Value of</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Number</w:t>
            </w:r>
          </w:p>
        </w:tc>
        <w:tc>
          <w:tcPr>
            <w:tcW w:w="16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Market</w:t>
            </w: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Unearned</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Unearned</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rPr>
              <w:t>of</w:t>
            </w:r>
          </w:p>
        </w:tc>
        <w:tc>
          <w:tcPr>
            <w:tcW w:w="1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Value of</w:t>
            </w: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Shares,</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Shares,</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w w:val="82"/>
              </w:rPr>
              <w:t>Shares</w:t>
            </w:r>
          </w:p>
        </w:tc>
        <w:tc>
          <w:tcPr>
            <w:tcW w:w="16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Shares</w:t>
            </w: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Units or</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Units or</w:t>
            </w:r>
          </w:p>
        </w:tc>
      </w:tr>
      <w:tr>
        <w:trPr>
          <w:trHeight w:val="202"/>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Number of</w:t>
            </w:r>
          </w:p>
        </w:tc>
        <w:tc>
          <w:tcPr>
            <w:tcW w:w="6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color w:val="auto"/>
                <w:w w:val="93"/>
              </w:rPr>
              <w:t>Number of</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w w:val="97"/>
              </w:rPr>
              <w:t>or Units</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or Units</w:t>
            </w: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Other</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Other</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Securities</w:t>
            </w:r>
          </w:p>
        </w:tc>
        <w:tc>
          <w:tcPr>
            <w:tcW w:w="60" w:type="dxa"/>
            <w:vAlign w:val="bottom"/>
          </w:tcPr>
          <w:p>
            <w:pPr>
              <w:spacing w:after="0"/>
              <w:rPr>
                <w:sz w:val="17"/>
                <w:szCs w:val="17"/>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6"/>
                <w:szCs w:val="16"/>
                <w:color w:val="auto"/>
                <w:w w:val="91"/>
              </w:rPr>
              <w:t>Securities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w w:val="93"/>
              </w:rPr>
              <w:t>of Stock</w:t>
            </w:r>
          </w:p>
        </w:tc>
        <w:tc>
          <w:tcPr>
            <w:tcW w:w="1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of Stock</w:t>
            </w: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Rights</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Rights</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Underlying</w:t>
            </w:r>
          </w:p>
        </w:tc>
        <w:tc>
          <w:tcPr>
            <w:tcW w:w="6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color w:val="auto"/>
                <w:w w:val="96"/>
              </w:rPr>
              <w:t>Underlying</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w w:val="93"/>
              </w:rPr>
              <w:t>That</w:t>
            </w:r>
          </w:p>
        </w:tc>
        <w:tc>
          <w:tcPr>
            <w:tcW w:w="16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That</w:t>
            </w: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That</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That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Unexercised</w:t>
            </w:r>
          </w:p>
        </w:tc>
        <w:tc>
          <w:tcPr>
            <w:tcW w:w="6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color w:val="auto"/>
                <w:w w:val="92"/>
              </w:rPr>
              <w:t>Unexercised</w:t>
            </w:r>
          </w:p>
        </w:tc>
        <w:tc>
          <w:tcPr>
            <w:tcW w:w="140" w:type="dxa"/>
            <w:vAlign w:val="bottom"/>
          </w:tcPr>
          <w:p>
            <w:pPr>
              <w:spacing w:after="0"/>
              <w:rPr>
                <w:sz w:val="17"/>
                <w:szCs w:val="17"/>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6"/>
                <w:szCs w:val="16"/>
                <w:color w:val="auto"/>
                <w:w w:val="97"/>
              </w:rPr>
              <w:t>Option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Stock</w:t>
            </w:r>
          </w:p>
        </w:tc>
        <w:tc>
          <w:tcPr>
            <w:tcW w:w="60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Have</w:t>
            </w:r>
          </w:p>
        </w:tc>
        <w:tc>
          <w:tcPr>
            <w:tcW w:w="16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Have</w:t>
            </w: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Have</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Have</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Option</w:t>
            </w: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Options</w:t>
            </w:r>
          </w:p>
        </w:tc>
        <w:tc>
          <w:tcPr>
            <w:tcW w:w="6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color w:val="auto"/>
                <w:w w:val="90"/>
              </w:rPr>
              <w:t>Options</w:t>
            </w:r>
          </w:p>
        </w:tc>
        <w:tc>
          <w:tcPr>
            <w:tcW w:w="14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Exercise</w:t>
            </w:r>
          </w:p>
        </w:tc>
        <w:tc>
          <w:tcPr>
            <w:tcW w:w="900" w:type="dxa"/>
            <w:vAlign w:val="bottom"/>
            <w:gridSpan w:val="3"/>
          </w:tcPr>
          <w:p>
            <w:pPr>
              <w:jc w:val="center"/>
              <w:ind w:right="220"/>
              <w:spacing w:after="0"/>
              <w:rPr>
                <w:sz w:val="20"/>
                <w:szCs w:val="20"/>
                <w:color w:val="auto"/>
              </w:rPr>
            </w:pPr>
            <w:r>
              <w:rPr>
                <w:rFonts w:ascii="Arial" w:cs="Arial" w:eastAsia="Arial" w:hAnsi="Arial"/>
                <w:sz w:val="16"/>
                <w:szCs w:val="16"/>
                <w:color w:val="auto"/>
                <w:w w:val="93"/>
              </w:rPr>
              <w:t>Option</w:t>
            </w:r>
          </w:p>
        </w:tc>
        <w:tc>
          <w:tcPr>
            <w:tcW w:w="7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Award</w:t>
            </w:r>
          </w:p>
        </w:tc>
        <w:tc>
          <w:tcPr>
            <w:tcW w:w="60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Not</w:t>
            </w:r>
          </w:p>
        </w:tc>
        <w:tc>
          <w:tcPr>
            <w:tcW w:w="16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Not</w:t>
            </w: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Not</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Not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Grant</w:t>
            </w: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Exercisable</w:t>
            </w:r>
          </w:p>
        </w:tc>
        <w:tc>
          <w:tcPr>
            <w:tcW w:w="1460" w:type="dxa"/>
            <w:vAlign w:val="bottom"/>
            <w:gridSpan w:val="3"/>
          </w:tcPr>
          <w:p>
            <w:pPr>
              <w:jc w:val="center"/>
              <w:ind w:right="420"/>
              <w:spacing w:after="0"/>
              <w:rPr>
                <w:sz w:val="20"/>
                <w:szCs w:val="20"/>
                <w:color w:val="auto"/>
              </w:rPr>
            </w:pPr>
            <w:r>
              <w:rPr>
                <w:rFonts w:ascii="Arial" w:cs="Arial" w:eastAsia="Arial" w:hAnsi="Arial"/>
                <w:sz w:val="16"/>
                <w:szCs w:val="16"/>
                <w:color w:val="auto"/>
                <w:w w:val="90"/>
              </w:rPr>
              <w:t>Unexercisable</w:t>
            </w:r>
          </w:p>
        </w:tc>
        <w:tc>
          <w:tcPr>
            <w:tcW w:w="14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Price (2)</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w w:val="92"/>
              </w:rPr>
              <w:t>Expiration</w:t>
            </w: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Grant</w:t>
            </w:r>
          </w:p>
        </w:tc>
        <w:tc>
          <w:tcPr>
            <w:tcW w:w="600" w:type="dxa"/>
            <w:vAlign w:val="bottom"/>
            <w:gridSpan w:val="2"/>
          </w:tcPr>
          <w:p>
            <w:pPr>
              <w:ind w:left="40"/>
              <w:spacing w:after="0"/>
              <w:rPr>
                <w:sz w:val="20"/>
                <w:szCs w:val="20"/>
                <w:color w:val="auto"/>
              </w:rPr>
            </w:pPr>
            <w:r>
              <w:rPr>
                <w:rFonts w:ascii="Arial" w:cs="Arial" w:eastAsia="Arial" w:hAnsi="Arial"/>
                <w:sz w:val="16"/>
                <w:szCs w:val="16"/>
                <w:color w:val="auto"/>
              </w:rPr>
              <w:t>Vested</w:t>
            </w:r>
          </w:p>
        </w:tc>
        <w:tc>
          <w:tcPr>
            <w:tcW w:w="16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Vested</w:t>
            </w: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Vested</w:t>
            </w: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Vested</w:t>
            </w:r>
          </w:p>
        </w:tc>
      </w:tr>
      <w:tr>
        <w:trPr>
          <w:trHeight w:val="209"/>
        </w:trPr>
        <w:tc>
          <w:tcPr>
            <w:tcW w:w="2280" w:type="dxa"/>
            <w:vAlign w:val="bottom"/>
            <w:gridSpan w:val="2"/>
          </w:tcPr>
          <w:p>
            <w:pPr>
              <w:ind w:left="220"/>
              <w:spacing w:after="0"/>
              <w:rPr>
                <w:sz w:val="20"/>
                <w:szCs w:val="20"/>
                <w:color w:val="auto"/>
              </w:rPr>
            </w:pPr>
            <w:r>
              <w:rPr>
                <w:rFonts w:ascii="Arial" w:cs="Arial" w:eastAsia="Arial" w:hAnsi="Arial"/>
                <w:sz w:val="16"/>
                <w:szCs w:val="16"/>
                <w:color w:val="auto"/>
              </w:rPr>
              <w:t>Name of Executive Officer</w:t>
            </w: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Date</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 (#)</w:t>
            </w:r>
          </w:p>
        </w:tc>
        <w:tc>
          <w:tcPr>
            <w:tcW w:w="2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6"/>
              </w:rPr>
              <w:t>(1) (#)</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6"/>
                <w:szCs w:val="16"/>
                <w:color w:val="auto"/>
                <w:w w:val="94"/>
              </w:rPr>
              <w:t>Date</w:t>
            </w:r>
          </w:p>
        </w:tc>
        <w:tc>
          <w:tcPr>
            <w:tcW w:w="7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Date</w:t>
            </w:r>
          </w:p>
        </w:tc>
        <w:tc>
          <w:tcPr>
            <w:tcW w:w="54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60" w:type="dxa"/>
            <w:vAlign w:val="bottom"/>
          </w:tcPr>
          <w:p>
            <w:pPr>
              <w:spacing w:after="0"/>
              <w:rPr>
                <w:sz w:val="18"/>
                <w:szCs w:val="18"/>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199"/>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Scott M. Quist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12/1/17</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93,443</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3"/>
              </w:rPr>
              <w:t>4.42</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11/30/18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83,059</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5.07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12/6/19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56,504(5)</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5.04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3/27/20</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53,813(6)</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3.66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03/27/25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12/3/21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50,000(7)(8)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9.48</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80" w:type="dxa"/>
            <w:vAlign w:val="bottom"/>
            <w:gridSpan w:val="2"/>
          </w:tcPr>
          <w:p>
            <w:pPr>
              <w:spacing w:after="0"/>
              <w:rPr>
                <w:sz w:val="20"/>
                <w:szCs w:val="20"/>
                <w:color w:val="auto"/>
              </w:rPr>
            </w:pPr>
            <w:r>
              <w:rPr>
                <w:rFonts w:ascii="Arial" w:cs="Arial" w:eastAsia="Arial" w:hAnsi="Arial"/>
                <w:sz w:val="16"/>
                <w:szCs w:val="16"/>
                <w:color w:val="auto"/>
              </w:rPr>
              <w:t>Garrett S. Sill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12/6/13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6,059</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w w:val="83"/>
              </w:rPr>
              <w:t>3.14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12/06/23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7/2/14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2.93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07/02/24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12/5/14</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11,538</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3.43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12/05/24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12/1/17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18,689(3)</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4.01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11/30/18</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23,731(4)</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4.62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11/30/28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12/6/19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28,251(5)</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4.81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3/27/20</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26,906(6)</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3.49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03/27/30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12/3/21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30,000(7)(8)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8.62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C. Johnson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12/6/13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3.14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12/5/14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8,654</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3.43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12/05/24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12/4/15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13,736</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4.82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12/2/16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6,542</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5.31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12/02/26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12/1/17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12,458</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4.01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12/6/19</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11,301</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4.81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12/06/29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3/27/20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10,763</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3.49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03/27/30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12/3/21</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300"/>
              <w:spacing w:after="0"/>
              <w:rPr>
                <w:sz w:val="20"/>
                <w:szCs w:val="20"/>
                <w:color w:val="auto"/>
              </w:rPr>
            </w:pPr>
            <w:r>
              <w:rPr>
                <w:rFonts w:ascii="Arial" w:cs="Arial" w:eastAsia="Arial" w:hAnsi="Arial"/>
                <w:sz w:val="16"/>
                <w:szCs w:val="16"/>
                <w:color w:val="auto"/>
              </w:rPr>
              <w:t>10,000(8)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8.62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12/03/31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280" w:type="dxa"/>
            <w:vAlign w:val="bottom"/>
            <w:gridSpan w:val="2"/>
          </w:tcPr>
          <w:p>
            <w:pPr>
              <w:spacing w:after="0"/>
              <w:rPr>
                <w:sz w:val="20"/>
                <w:szCs w:val="20"/>
                <w:color w:val="auto"/>
              </w:rPr>
            </w:pPr>
            <w:r>
              <w:rPr>
                <w:rFonts w:ascii="Arial" w:cs="Arial" w:eastAsia="Arial" w:hAnsi="Arial"/>
                <w:sz w:val="16"/>
                <w:szCs w:val="16"/>
                <w:color w:val="auto"/>
              </w:rPr>
              <w:t>S. Andrew Quist</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4/13/12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23,852</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w w:val="83"/>
              </w:rPr>
              <w:t>0.96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04/13/22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12/6/13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15,144</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3.14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7/2/14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14,423</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2.93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07/02/24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12/5/14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28,847</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3.43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12/4/15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27,473</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4.82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12/04/25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12/2/16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26,165</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5.31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12/1/17</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24,919(3)</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4.01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12/01/27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11/30/18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29,665(4)</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4.62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12/6/19</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45,203(5)</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4.81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12/06/29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3/27/20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43,050(6)</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3.49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03/27/30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12/3/21</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60,000(7)(8)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8.62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12/03/31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R. Stephens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7/2/14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2.93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07/02/24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12/5/14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7,212</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3.43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12/05/24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12/4/15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4.82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12/2/16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6,542</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5.31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12/02/26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12/1/17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4.01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11/30/18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8,900</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4.62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11/30/28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12/6/19</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8,476</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4.81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3/27/20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8,072</w:t>
            </w:r>
          </w:p>
        </w:tc>
        <w:tc>
          <w:tcPr>
            <w:tcW w:w="240" w:type="dxa"/>
            <w:vAlign w:val="bottom"/>
          </w:tcPr>
          <w:p>
            <w:pPr>
              <w:spacing w:after="0"/>
              <w:rPr>
                <w:sz w:val="17"/>
                <w:szCs w:val="17"/>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3"/>
              </w:rPr>
              <w:t>3.49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03/27/30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12/3/21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7,500(8)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83"/>
              </w:rPr>
              <w:t>8.62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for options granted to Scott M. Quist that have five-year terms, such grants have ten-year terms. The vesting of any unvested shares is subject to the recipient’s continuous employment. This reflects the equivalent of Class A common shares.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Exercise prices have been adjusted for the effect of annual stock dividends.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81" w:gutter="0" w:footer="0" w:header="0"/>
        </w:sectPr>
      </w:pPr>
    </w:p>
    <w:bookmarkStart w:id="125" w:name="page126"/>
    <w:bookmarkEnd w:id="125"/>
    <w:p>
      <w:pPr>
        <w:jc w:val="both"/>
        <w:ind w:left="340" w:hanging="332"/>
        <w:spacing w:after="0" w:line="269"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December 1, 2017, Garrett S. Sill was granted stock options to purchase 15,000 shares of Class A common stock at an exercise price of $4.01 per share or 15,000 shares of Class C common stock at an exercise price of $4.01 per share, or any combination thereof. Also, on December 1, 2017, S. Andrew Quist was granted stock options to purchase 20,000 shares of Class A common stock at an exercise price of $4.01 per share or 20,000 shares of Class C common stock at an exercise price of $4.01 per share, or any combination thereof.</w:t>
      </w:r>
    </w:p>
    <w:p>
      <w:pPr>
        <w:spacing w:after="0" w:line="1" w:lineRule="exact"/>
        <w:rPr>
          <w:rFonts w:ascii="Arial" w:cs="Arial" w:eastAsia="Arial" w:hAnsi="Arial"/>
          <w:sz w:val="17"/>
          <w:szCs w:val="17"/>
          <w:color w:val="auto"/>
        </w:rPr>
      </w:pPr>
    </w:p>
    <w:p>
      <w:pPr>
        <w:jc w:val="both"/>
        <w:ind w:left="340" w:hanging="332"/>
        <w:spacing w:after="0" w:line="265"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November 30, 2018, Garrett S. Sill was granted stock options to purchase 20,000 shares of Class A common stock at an exercise price of $4.62 per share or 20,000 shares of Class C common stock at an exercise price of $4.62 per share, or any combination thereof. Also, on November 30, 2018, S. Andrew Quist was granted stock options to purchase 25,000 shares of Class A common stock at an exercise price of $4.62 per share or 20,000 shares of Class C common stock at an exercise price of $4.62 per share, or any combination thereof.</w:t>
      </w:r>
    </w:p>
    <w:p>
      <w:pPr>
        <w:jc w:val="both"/>
        <w:ind w:left="340" w:hanging="332"/>
        <w:spacing w:after="0" w:line="265"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December 6, 2019, Scott M. Quist was granted stock options to purchase 50,000 shares of Class A common stock at an exercise price of $5.04 per share or 50,000 shares of Class C common stock at an exercise price of $5.04 per share, or any combination thereof. Also, on December 6, 2019, Garrett S. Sill was granted stock options to purchase 25,000 shares of Class A common stock at an exercise price of $4.81 per share or 25,000 shares of Class C common stock at an exercise price of $4.81 per share, or any combination thereof. Also, on December 6, 2019, S. Andrew Quist was granted stock options to purchase 40,000 shares of Class A common stock at an exercise price of $4.81 per share or 40,000 shares of Class C common stock at an exercise price of $4.81 per share, or any combination thereof.</w:t>
      </w:r>
    </w:p>
    <w:p>
      <w:pPr>
        <w:jc w:val="both"/>
        <w:ind w:left="3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March 27, 2020, Scott M. Quist was granted stock options to purchase 50,000 shares of Class A common stock at an exercise price of $3.66 per share or 50,000 shares of Class C common stock at an exercise price of $3.66 per share, or any combination thereof. Also, on March 27, 2020, Garrett S. Sill was granted stock options to purchase 25,000 shares of Class A common stock at an exercise price of $3.49 per share or 25,000 shares of Class C common stock at an exercise price of $3.49 per share, or any combination thereof. Also, on March 27, 2020, S. Andrew Quist was granted stock options to purchase 40,000 shares of Class A common stock at an exercise price of $3.49 per share or 40,000 shares of Class C common stock at an exercise price of $3.49 per share, or any combination thereof.</w:t>
      </w:r>
    </w:p>
    <w:p>
      <w:pPr>
        <w:spacing w:after="0" w:line="2"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December 3, 2021, Scott M. Quist was granted stock options to purchase 50,000 shares of Class A common stock at an exercise price of $9.48 per share or 50,000 shares of Class C common stock at an exercise price of $9.48 per share, or any combination thereof. Also, on December 3, 2021, Garrett S. Sill was granted stock options to purchase 30,000 shares of Class A common stock at an exercise price of $8.62 per share or 30,000 shares of Class C common stock at an exercise price of $8.62 per share, or any combination thereof. Also, on December 3, 2021, S. Andrew Quist was granted stock options to purchase 60,000 shares of Class A common stock at an exercise price of $8.62 per share or 60,000 shares of Class C common stock at an exercise price of $8.62 per share, or any combination thereof.</w:t>
      </w: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options vest at the rate of 25% of the total number of shares per quarter over a one-year period after the grant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AWARDS VESTING SCHEDULE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vesting schedule of unexercisable options reported in the “Number of Securities Underlying Unexercised Options — Unexercisable” column of the table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280"/>
              <w:spacing w:after="0"/>
              <w:rPr>
                <w:sz w:val="20"/>
                <w:szCs w:val="20"/>
                <w:color w:val="auto"/>
              </w:rPr>
            </w:pPr>
            <w:r>
              <w:rPr>
                <w:rFonts w:ascii="Arial" w:cs="Arial" w:eastAsia="Arial" w:hAnsi="Arial"/>
                <w:sz w:val="18"/>
                <w:szCs w:val="18"/>
                <w:color w:val="auto"/>
              </w:rPr>
              <w:t>Grant Date</w:t>
            </w:r>
          </w:p>
        </w:tc>
        <w:tc>
          <w:tcPr>
            <w:tcW w:w="9660" w:type="dxa"/>
            <w:vAlign w:val="bottom"/>
          </w:tcPr>
          <w:p>
            <w:pPr>
              <w:ind w:left="4560"/>
              <w:spacing w:after="0"/>
              <w:rPr>
                <w:sz w:val="20"/>
                <w:szCs w:val="20"/>
                <w:color w:val="auto"/>
              </w:rPr>
            </w:pPr>
            <w:r>
              <w:rPr>
                <w:rFonts w:ascii="Arial" w:cs="Arial" w:eastAsia="Arial" w:hAnsi="Arial"/>
                <w:sz w:val="18"/>
                <w:szCs w:val="18"/>
                <w:color w:val="auto"/>
              </w:rPr>
              <w:t>Vesting</w:t>
            </w:r>
          </w:p>
        </w:tc>
      </w:tr>
      <w:tr>
        <w:trPr>
          <w:trHeight w:val="195"/>
        </w:trPr>
        <w:tc>
          <w:tcPr>
            <w:tcW w:w="1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4/13/12</w:t>
            </w:r>
          </w:p>
        </w:tc>
        <w:tc>
          <w:tcPr>
            <w:tcW w:w="240" w:type="dxa"/>
            <w:vAlign w:val="bottom"/>
          </w:tcPr>
          <w:p>
            <w:pPr>
              <w:spacing w:after="0"/>
              <w:rPr>
                <w:sz w:val="16"/>
                <w:szCs w:val="16"/>
                <w:color w:val="auto"/>
              </w:rPr>
            </w:pPr>
          </w:p>
        </w:tc>
        <w:tc>
          <w:tcPr>
            <w:tcW w:w="9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12/06/13</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07/02/14</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12/05/14</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12/04/15</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12/02/16</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12/01/17</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11/30/18</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12/06/19</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03/27/20</w:t>
            </w:r>
          </w:p>
        </w:tc>
        <w:tc>
          <w:tcPr>
            <w:tcW w:w="2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vested 25% per quarter over a one year period after the grant date.</w:t>
            </w: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12/03/21</w:t>
            </w:r>
          </w:p>
        </w:tc>
        <w:tc>
          <w:tcPr>
            <w:tcW w:w="240" w:type="dxa"/>
            <w:vAlign w:val="bottom"/>
          </w:tcPr>
          <w:p>
            <w:pPr>
              <w:spacing w:after="0"/>
              <w:rPr>
                <w:sz w:val="20"/>
                <w:szCs w:val="20"/>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These options vest 25% per quarter over a one year period after the grant date.</w:t>
            </w:r>
          </w:p>
        </w:tc>
      </w:tr>
      <w:tr>
        <w:trPr>
          <w:trHeight w:val="439"/>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90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240"/>
          </w:cols>
          <w:pgMar w:left="320" w:top="719"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all stock options exercised and value received upon exercise, and all stock awards vested and value realized upon vesting, by the Named Executive Officers during the year ended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ind w:left="640"/>
              <w:spacing w:after="0"/>
              <w:rPr>
                <w:sz w:val="20"/>
                <w:szCs w:val="20"/>
                <w:color w:val="auto"/>
              </w:rPr>
            </w:pPr>
            <w:r>
              <w:rPr>
                <w:rFonts w:ascii="Arial" w:cs="Arial" w:eastAsia="Arial" w:hAnsi="Arial"/>
                <w:sz w:val="18"/>
                <w:szCs w:val="18"/>
                <w:color w:val="auto"/>
              </w:rPr>
              <w:t>Option Awards</w:t>
            </w:r>
          </w:p>
        </w:tc>
        <w:tc>
          <w:tcPr>
            <w:tcW w:w="2360" w:type="dxa"/>
            <w:vAlign w:val="bottom"/>
            <w:gridSpan w:val="4"/>
          </w:tcPr>
          <w:p>
            <w:pPr>
              <w:ind w:left="640"/>
              <w:spacing w:after="0"/>
              <w:rPr>
                <w:sz w:val="20"/>
                <w:szCs w:val="20"/>
                <w:color w:val="auto"/>
              </w:rPr>
            </w:pPr>
            <w:r>
              <w:rPr>
                <w:rFonts w:ascii="Arial" w:cs="Arial" w:eastAsia="Arial" w:hAnsi="Arial"/>
                <w:sz w:val="18"/>
                <w:szCs w:val="18"/>
                <w:color w:val="auto"/>
              </w:rPr>
              <w:t>Stock Awards</w:t>
            </w:r>
          </w:p>
        </w:tc>
      </w:tr>
      <w:tr>
        <w:trPr>
          <w:trHeight w:val="195"/>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5"/>
              </w:rPr>
              <w:t>Number of</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Value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Shares</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Value</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Acquired on</w:t>
            </w:r>
          </w:p>
        </w:tc>
        <w:tc>
          <w:tcPr>
            <w:tcW w:w="138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Realized on</w:t>
            </w: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Acquired on</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Realized on</w:t>
            </w:r>
          </w:p>
        </w:tc>
      </w:tr>
      <w:tr>
        <w:trPr>
          <w:trHeight w:val="230"/>
        </w:trPr>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40" w:type="dxa"/>
            <w:vAlign w:val="bottom"/>
          </w:tcPr>
          <w:p>
            <w:pPr>
              <w:spacing w:after="0"/>
              <w:rPr>
                <w:sz w:val="19"/>
                <w:szCs w:val="19"/>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Vesting</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Vesting</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Name of Executive Officer</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20"/>
                <w:szCs w:val="20"/>
                <w:color w:val="auto"/>
              </w:rPr>
            </w:pP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312,921</w:t>
            </w: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Garrett S. Sill</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64,056</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 Andrew Quist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7,394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46,603</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present value as of December 31, 2021 of the benefit of the Named Executive Officers under the defined benefit pension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Present Value of</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Number of Years</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Payments During</w:t>
            </w:r>
          </w:p>
        </w:tc>
      </w:tr>
      <w:tr>
        <w:trPr>
          <w:trHeight w:val="216"/>
        </w:trPr>
        <w:tc>
          <w:tcPr>
            <w:tcW w:w="1920" w:type="dxa"/>
            <w:vAlign w:val="bottom"/>
            <w:gridSpan w:val="2"/>
          </w:tcPr>
          <w:p>
            <w:pPr>
              <w:ind w:left="560"/>
              <w:spacing w:after="0"/>
              <w:rPr>
                <w:sz w:val="20"/>
                <w:szCs w:val="20"/>
                <w:color w:val="auto"/>
              </w:rPr>
            </w:pPr>
            <w:r>
              <w:rPr>
                <w:rFonts w:ascii="Arial" w:cs="Arial" w:eastAsia="Arial" w:hAnsi="Arial"/>
                <w:sz w:val="18"/>
                <w:szCs w:val="18"/>
                <w:color w:val="auto"/>
              </w:rPr>
              <w:t>Name of</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Credited Service</w:t>
            </w: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Benefit</w:t>
            </w: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7"/>
              </w:rPr>
              <w:t>Last Fiscal Year</w:t>
            </w:r>
          </w:p>
        </w:tc>
      </w:tr>
      <w:tr>
        <w:trPr>
          <w:trHeight w:val="230"/>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Executive Officer</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Plan Name</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3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0"/>
        </w:trPr>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Garrett S. Sill</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None</w:t>
            </w:r>
          </w:p>
        </w:tc>
        <w:tc>
          <w:tcPr>
            <w:tcW w:w="15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 Andrew Quist</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R.Stephens</w:t>
            </w: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None</w:t>
            </w:r>
          </w:p>
        </w:tc>
        <w:tc>
          <w:tcPr>
            <w:tcW w:w="15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as of December 31, 2021 with respect to compensation plans (including individual compensation arrangements) under which the Company’s equity securities are authorized for issuance, aggregated as follows:</w:t>
      </w:r>
    </w:p>
    <w:p>
      <w:pPr>
        <w:spacing w:after="0" w:line="170"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w:t>
            </w: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w:t>
            </w:r>
          </w:p>
        </w:tc>
        <w:tc>
          <w:tcPr>
            <w:tcW w:w="11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Number of Securities</w:t>
            </w:r>
          </w:p>
        </w:tc>
        <w:tc>
          <w:tcPr>
            <w:tcW w:w="11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c>
          <w:tcPr>
            <w:tcW w:w="11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Future Issuance under</w:t>
            </w:r>
          </w:p>
        </w:tc>
        <w:tc>
          <w:tcPr>
            <w:tcW w:w="11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Number of Securities to be</w:t>
            </w:r>
          </w:p>
        </w:tc>
        <w:tc>
          <w:tcPr>
            <w:tcW w:w="2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 Average Exercise</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Equity Compensation</w:t>
            </w:r>
          </w:p>
        </w:tc>
        <w:tc>
          <w:tcPr>
            <w:tcW w:w="11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Issued upon Exercise of</w:t>
            </w: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 of Outstanding</w:t>
            </w: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 Securities</w:t>
            </w:r>
          </w:p>
        </w:tc>
        <w:tc>
          <w:tcPr>
            <w:tcW w:w="11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 Options,</w:t>
            </w:r>
          </w:p>
        </w:tc>
        <w:tc>
          <w:tcPr>
            <w:tcW w:w="2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Options, Warrants and</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Reflected in</w:t>
            </w:r>
          </w:p>
        </w:tc>
        <w:tc>
          <w:tcPr>
            <w:tcW w:w="114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Warrants and Rights</w:t>
            </w:r>
          </w:p>
        </w:tc>
        <w:tc>
          <w:tcPr>
            <w:tcW w:w="2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Rights</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Column A)</w:t>
            </w:r>
          </w:p>
        </w:tc>
        <w:tc>
          <w:tcPr>
            <w:tcW w:w="1140" w:type="dxa"/>
            <w:vAlign w:val="bottom"/>
          </w:tcPr>
          <w:p>
            <w:pPr>
              <w:spacing w:after="0"/>
              <w:rPr>
                <w:sz w:val="20"/>
                <w:szCs w:val="20"/>
                <w:color w:val="auto"/>
              </w:rPr>
            </w:pPr>
          </w:p>
        </w:tc>
      </w:tr>
      <w:tr>
        <w:trPr>
          <w:trHeight w:val="195"/>
        </w:trPr>
        <w:tc>
          <w:tcPr>
            <w:tcW w:w="2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Equity compensation plans</w:t>
            </w:r>
          </w:p>
        </w:tc>
        <w:tc>
          <w:tcPr>
            <w:tcW w:w="8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approved</w:t>
            </w:r>
          </w:p>
        </w:tc>
        <w:tc>
          <w:tcPr>
            <w:tcW w:w="2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by stockholders (1)</w:t>
            </w:r>
          </w:p>
        </w:tc>
        <w:tc>
          <w:tcPr>
            <w:tcW w:w="3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1,845,497 (2)</w:t>
            </w: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 (2)</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249,065 (3)</w:t>
            </w:r>
          </w:p>
        </w:tc>
        <w:tc>
          <w:tcPr>
            <w:tcW w:w="1140" w:type="dxa"/>
            <w:vAlign w:val="bottom"/>
          </w:tcPr>
          <w:p>
            <w:pPr>
              <w:spacing w:after="0"/>
              <w:rPr>
                <w:sz w:val="20"/>
                <w:szCs w:val="20"/>
                <w:color w:val="auto"/>
              </w:rPr>
            </w:pPr>
          </w:p>
        </w:tc>
      </w:tr>
      <w:tr>
        <w:trPr>
          <w:trHeight w:val="202"/>
        </w:trPr>
        <w:tc>
          <w:tcPr>
            <w:tcW w:w="5480" w:type="dxa"/>
            <w:vAlign w:val="bottom"/>
            <w:gridSpan w:val="5"/>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w w:val="96"/>
              </w:rPr>
              <w:t>approved by stockholders</w:t>
            </w:r>
          </w:p>
        </w:tc>
        <w:tc>
          <w:tcPr>
            <w:tcW w:w="3480" w:type="dxa"/>
            <w:vAlign w:val="bottom"/>
            <w:gridSpan w:val="4"/>
          </w:tcPr>
          <w:p>
            <w:pPr>
              <w:jc w:val="right"/>
              <w:ind w:right="300"/>
              <w:spacing w:after="0"/>
              <w:rPr>
                <w:sz w:val="20"/>
                <w:szCs w:val="20"/>
                <w:color w:val="auto"/>
              </w:rPr>
            </w:pPr>
            <w:r>
              <w:rPr>
                <w:rFonts w:ascii="Arial" w:cs="Arial" w:eastAsia="Arial" w:hAnsi="Arial"/>
                <w:sz w:val="18"/>
                <w:szCs w:val="18"/>
                <w:color w:val="auto"/>
              </w:rPr>
              <w:t>0</w:t>
            </w: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r>
      <w:tr>
        <w:trPr>
          <w:trHeight w:val="439"/>
        </w:trPr>
        <w:tc>
          <w:tcPr>
            <w:tcW w:w="2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w w:val="86"/>
              </w:rPr>
              <w:t>122</w:t>
            </w: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7" w:name="page128"/>
    <w:bookmarkEnd w:id="127"/>
    <w:p>
      <w:pPr>
        <w:jc w:val="both"/>
        <w:ind w:left="1140" w:right="100" w:hanging="522"/>
        <w:spacing w:after="0" w:line="286" w:lineRule="auto"/>
        <w:tabs>
          <w:tab w:leader="none" w:pos="1140"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0712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71245" cy="8890"/>
                    </a:xfrm>
                    <a:prstGeom prst="rect">
                      <a:avLst/>
                    </a:prstGeom>
                    <a:noFill/>
                  </pic:spPr>
                </pic:pic>
              </a:graphicData>
            </a:graphic>
          </wp:anchor>
        </w:drawing>
        <w:t>This reflects the 2013 Amended and Restated Stock Option and other Equity Incentive Awards Plan (the “2013 Plan”) and the 2014 Amended and Restated Director Stock Option Plan (the “2014 Director Plan”). The 2013 Plan was approved by the stockholders at the annual stockholders meeting held on July 12, 2013, which reserved 450,000 shares of Class A common stock, of which 150,000 shares of Class C common stock could be issued as an alternative to up to 150,000 shares of Class A common stock. The 2014 Director Plan was approved by stockholders at the annual stockholders meeting held on July 2, 2014, which reserved 150,000 shares of Class A common stock for issuance thereunder. The 2013 Plan was amended by the stockholders at the annual stockholders meeting held on July 1, 2015 to authorize an additional 450,000 shares of Class A common stock to be available for issuance under the Plan, of which up to 200,000 Class C common shares may be issued as an alternative to up to 200,000 shares of Class A common stock. The 2013 Plan was further amended by the stockholders at the annual stockholders meeting held on June 29, 2017 to authorize an additional 500,000 shares of Class A common stock to be available for issuance under the Plan, of which up to 250,000 Class C common shares may be issued as an alternative to up to 250,000 shares of Class A common stock. The 2013 Plan was further amended by the stockholders at the annual stockholders meeting held on June 26, 2020 to authorize an additional 500,000 shares of Class A common stock to be available for issuance under the Plan, of which up to 350,000 Class C common stock may be issued as an alternative to up to 350,000 shares of Class A common stock. The 2014 Director Plan was amended by the stockholders at the annual stockholders meeting held on June 26, 2020 to authorize an additional 100,000 shares of Class A common stock to be available for issuance under the Plan.</w:t>
      </w:r>
    </w:p>
    <w:p>
      <w:pPr>
        <w:spacing w:after="0" w:line="167" w:lineRule="exact"/>
        <w:rPr>
          <w:rFonts w:ascii="Arial" w:cs="Arial" w:eastAsia="Arial" w:hAnsi="Arial"/>
          <w:sz w:val="16"/>
          <w:szCs w:val="16"/>
          <w:color w:val="auto"/>
        </w:rPr>
      </w:pPr>
    </w:p>
    <w:p>
      <w:pPr>
        <w:ind w:left="1140" w:right="100" w:hanging="522"/>
        <w:spacing w:after="0" w:line="277"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weighted average exercise prices reflect solely the shares of Class A common stock that will be issued upon exercise of outstanding options.</w:t>
      </w:r>
    </w:p>
    <w:p>
      <w:pPr>
        <w:spacing w:after="0" w:line="170" w:lineRule="exact"/>
        <w:rPr>
          <w:rFonts w:ascii="Arial" w:cs="Arial" w:eastAsia="Arial" w:hAnsi="Arial"/>
          <w:sz w:val="18"/>
          <w:szCs w:val="18"/>
          <w:color w:val="auto"/>
        </w:rPr>
      </w:pPr>
    </w:p>
    <w:p>
      <w:pPr>
        <w:ind w:left="1140" w:right="100" w:hanging="522"/>
        <w:spacing w:after="0" w:line="277"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number includes 201,113 shares of Class A common stock available for future issuance under the 2013 Plan, and 47,952 shares of Class A common stock available for future issuance under the 2014 Director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Scott M. Quist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4, 2012, the Company entered into an employment agreement with Scott M. Quist, Chairman of the Board, President, and Chief Executive Officer of the Company. The agreement was for a six-year term beginning on December 4, 2012 and ending on December 4, 2018. Under the terms of the Agreement, the Board of Directors may, in its sole discretion, extend the term of the agreement for an additional four-year term provided that Mr. Quist has continued to perform his duties with usual and customary care, diligence and prudence commensurate with his position with the Company. In addition, Mr. Quist is required to perform such additional duties as may be assigned to him from time to time by the Company’s Board of Directors.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December 4, 2018, the Board members approved a motion to extend Mr. Quist’s employment agreement for an additional four-year term ending December 2022. Mr. Quist abstained from voting on the motion to extend his employment agreement for the additional four-year term. Under the terms of the agreement, Mr. Quist is to devote his full time to the Company, serving as Chairman of the Board, President and Chief Executive Officer at not less than his current salary and benefits. The Company also agrees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of a sale or merger of the Company and Mr. Quist is not retained in his current position, the Company would be obligated to continue paying Mr. Quist’s current compensation and benefits for seven years following the merger or sale. The employment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$900,000 and $900,000 during the years ended December 31, 2021 and 2020, respectively, to cover the present value of anticipated retirement benefits under the employment agreement. The liability accrued was $7,556,363 and $6,656,363 as of December 31, 2021 and 2020,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Independent Director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Independent directors of the Company (but not including directors who are employees) are currently paid a director’s fee of $36,000 per year ($3,000 monthly) by the Company for their services and are reimbursed for their expenses in attending board and committee meetings. An additional fee of $750 is paid to each audit committee member for each audit committee meeting attended. Each independent director is provided with an annual grant of stock options to purchase 1,000 shares of Class A common stock. During 2021 each independent director was granted additional stock options to purchase 5,000 shares of Class A common stock. Upon retirement from the board, each independent director will receive “retirement compensation” equal to one month director’s fee for every year of service.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7"/>
          </w:tcPr>
          <w:p>
            <w:pPr>
              <w:ind w:left="80"/>
              <w:spacing w:after="0"/>
              <w:rPr>
                <w:sz w:val="20"/>
                <w:szCs w:val="20"/>
                <w:color w:val="auto"/>
              </w:rPr>
            </w:pPr>
            <w:r>
              <w:rPr>
                <w:rFonts w:ascii="Arial" w:cs="Arial" w:eastAsia="Arial" w:hAnsi="Arial"/>
                <w:sz w:val="18"/>
                <w:szCs w:val="18"/>
                <w:b w:val="1"/>
                <w:bCs w:val="1"/>
                <w:color w:val="auto"/>
              </w:rPr>
              <w:t>DIRECTOR COMPENSATION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gridSpan w:val="11"/>
          </w:tcPr>
          <w:p>
            <w:pPr>
              <w:spacing w:after="0"/>
              <w:rPr>
                <w:sz w:val="20"/>
                <w:szCs w:val="20"/>
                <w:color w:val="auto"/>
              </w:rPr>
            </w:pPr>
            <w:r>
              <w:rPr>
                <w:rFonts w:ascii="Arial" w:cs="Arial" w:eastAsia="Arial" w:hAnsi="Arial"/>
                <w:sz w:val="18"/>
                <w:szCs w:val="18"/>
                <w:color w:val="auto"/>
                <w:w w:val="92"/>
              </w:rPr>
              <w:t>The following table sets forth the compensation of the Company’s non-employee directors for fiscal 2021.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Change in</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Pension Value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Fees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and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Earned</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Non-Equity</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Nonqualified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or Paid</w:t>
            </w: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Incentive Plan</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Deferred</w:t>
            </w:r>
          </w:p>
        </w:tc>
        <w:tc>
          <w:tcPr>
            <w:tcW w:w="120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 Cash</w:t>
            </w: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Awards</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Awards</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Compensation</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Compensation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Compensation</w:t>
            </w:r>
          </w:p>
        </w:tc>
        <w:tc>
          <w:tcPr>
            <w:tcW w:w="16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Name</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8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w:t>
            </w:r>
          </w:p>
        </w:tc>
        <w:tc>
          <w:tcPr>
            <w:tcW w:w="3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Earnings</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L. Cook (1)</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$ 31,050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$ 17,963</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$ 49,013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Gilbert A. Fuller (2)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31,050</w:t>
            </w:r>
          </w:p>
        </w:tc>
        <w:tc>
          <w:tcPr>
            <w:tcW w:w="2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17,963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49,013</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Robert G. Hunter, M.D. (3)</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17,963</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46,763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Ludmya B. Love (4)</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18,750</w:t>
            </w:r>
          </w:p>
        </w:tc>
        <w:tc>
          <w:tcPr>
            <w:tcW w:w="2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17,963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36,713</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Shital A. Mehta (5)</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17,963</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36,713</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H. Craig Moody (6)</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31,050</w:t>
            </w:r>
          </w:p>
        </w:tc>
        <w:tc>
          <w:tcPr>
            <w:tcW w:w="220" w:type="dxa"/>
            <w:vAlign w:val="bottom"/>
          </w:tcPr>
          <w:p>
            <w:pPr>
              <w:spacing w:after="0"/>
              <w:rPr>
                <w:sz w:val="20"/>
                <w:szCs w:val="20"/>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17,963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49,013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Cook has options to purchase 61,201 shares of the Company’s Class A common stock.</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Fuller has options to purchase 61,201 shares of the Company’s Class A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Hunter has options to purchase 70,744 shares of the Company’s Class A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Love has options to purchase 6,000 shares of the Company’s Class A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Mehta has options to purchase 6,000 shares of the Company’s Class A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Moody has options to purchase 70,744 shares of the Company’s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Retirement Savings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1995, the Company’s Board of Directors adopted a 401(k) Retirement Savings Plan. Under the terms of the 401(k) plan, effective as of January 1, 1995, the Company made discretionary employer matching contributions to its employees who choose to participate in the plan. The plan allowed the board to determine the amount of the contribution at the end of each year. During the period from January 1, 1995 to December 31, 2007 the Board had adopted a contribution formula specifying that such discretionary employer matching contributions would equal 50% of the participating employee’s contribution to the plan to purchase the Company’s stock up to a maximum discretionary employee contribution of 1/2 of 1% of participating employees’ compensation, as defined by the plan.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persons who have completed at least one year’s service with the Company and satisfy other plan requirements are eligible to participate in the 401(k) plan. All Company matching contributions are invested in the Company’s Class A common stock. Also, the Company may contribute at the discretion of the Company’s Board of Directors an Employer Profit Sharing Contribution to the 401(k) plan. The Employer Profit Sharing Contribution is to be divided among three different classes of participants in the plan based upon the participant’s title in the Company. All amounts contributed to the plan are deposited into a trust fund administered by an independent trustee.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Beginning January 1, 2008, the Company elected to be a “Safe Harbor” Plan for its matching 401(k) contributions. The Company will match 100% of up to 3% of an employee’s total annual compensation and 50% of 4% to 5% of an employee’s annual compensation. The match is in shares of the Company’s Class A common stock. The Company’s contribution for 2021 and 2020 was $2,820,315 and $1,690,568 respectively, under the “Safe Harbor”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 and for shares held in the Deferred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 (ESOP)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25, 2019, the Company distributed a notice of intent to terminate the ESOP Plan to all current plan participants. The Company also filed Form 5310, an application for determination for terminating plan, with the IRS on December 6, 2019. The IRS approved the ESOP termination on April 8, 2021, and the Company had until September 5, 2021, to distribute the ESOP assets and terminate the ESOP. The Company distributed the ESOP assets and terminated the ESOP, filing its final Form 5500 for the ESOP with the IRS on December 6,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2001, the Company’s Board of Directors adopted a Non-Qualified Deferred Compensation Plan, and this plan was amended in 2005 and later in 2019.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2021 and 2020. The investment committees of the Company’s Non-Qualified Deferred Compensation Plan consists of Scott M. Quist, Stephen C. Johnson, and Garrett S. Sill.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balances of the non-qualified deferred compensation account of the Named Executive Officers in fiscal 2021 and the aggregate balance of deferred compensation of the Named Executive Officers at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Executive</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Registrant</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Aggregate</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Aggregate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Aggregate</w:t>
            </w:r>
          </w:p>
        </w:tc>
      </w:t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Contributions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Contributions</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Withdrawals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Balance</w:t>
            </w:r>
          </w:p>
        </w:tc>
      </w:tr>
      <w:tr>
        <w:trPr>
          <w:trHeight w:val="229"/>
        </w:trPr>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Last FY</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Last FY</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last FY</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Distributions</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at last FYE</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Name</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r>
      <w:tr>
        <w:trPr>
          <w:trHeight w:val="210"/>
        </w:trPr>
        <w:tc>
          <w:tcPr>
            <w:tcW w:w="2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Quist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$ 1,006,572(1)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Garrett S. Sill</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94,254(2)</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155,912(3)</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 Andrew Quist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109,410 shares of the Company’s Class A common stock, based on the closing price of $9.20 at December 31, 2021.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10,245 shares of the Company’s Class A common stock, based on the closing price of $9.20 at December 31,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16,947 shares of the Company’s Class A common stock, based on the closing price of $9.20 at December 31,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2013 Stock Option and Other Equity Incentive Awards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24, 2013, the Company adopted the Security National Financial Corporation 2013 Stock Option Plan (the “2013 Plan”), which reserved 450,000 shares of Class A common stock to be made available for issuance thereunder, of which up to 150,000 shares of Class C common stock could be issued as an alternative to up to 150,000 shares of Class A common stock. The 2013 Plan provides for the grant of options and the award or sale of stock to officers, directors, and employees of the Company. Both “incentive stock options”, as defined under Section 422A of the Internal Revenue Code of 1986 and “non-qualified options” may be granted under the 2013 Plan. The 2013 Plan was approved by the stockholders at the Company’s Annual Meeting, which was held on July 12, 2013.</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 2015, the stockholders approved an amendment to the 2013 Plan to authorize an additional 450,000 shares of Class A common stock under the 2013 Plan, of which up to 200,000 Class C common stock may be issued as an alternative to up to 200,000 shares of Class A common stock. On June 29, 2017, the stockholders approved an amendment to the 2013 Plan to authorize an additional 500,000 shares of Class A common stock to be available for issuance under the Plan, of which up to 250,000 Class C common stock may be issued as an alternative to up to 250,000 shares of Class A common stock. On June 26, 2020, the stockholders approved an amendment to the 2013 Plan to authorize an additional 500,000 shares of Class A common stock under the Plan, of which up to 350,000 Class C common stock may be issued as an alternative to up to 350,000 shares of Class A common stock.</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2013 Plan is to be administered by the Board of Directors or by a committee designated by the Board. The terms of options granted or stock awards or sales affected under the 2013 Plan are to be determined by the Board of Directors or its committee. No options may be exercised for a term of more than ten years from the date of the grant. Options intended as incentive stock options may be issued only to employees, and must meet certain conditions imposed by the Internal Revenue Code, including a requirement that the option exercise price be no less than the fair market value of the option shares on the date of grant. The 2013 Plan provides that the exercise price for non-qualified options will not be less than at least 50% of the fair market value of the stock subject to such option as of the date of grant of such options, as determined by the Company’s Board of Directors.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2013 Plan also provides that if the shares of common stock shall be subdivided or combined into a greater or smaller number of shares or if the Company shall issue any shares of common stock as a stock dividend on its outstanding common stock, the number of shares of common stock deliverable upon the exercise of options shall be increased or decreased proportionately and an appropriate adjustment shall be made in the purchase price to reflect such subdivision, combination or stock dividend. In addition, the number of shares of common stock reserved for purposes of the 2013 Plan shall be adjusted by the same proportion. No options may be exercised for a term of more than ten years from the date of grant.</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2013 Plan further provides that an option shall be exercised by giving written notice to the Company. Such notice shall identify the option being exercised and specify the number of shares as to which such option is being exercised, accompanied by payment of the purchase price. The purchase price may be made either in cash or by check or, at the discretion of the Board, through delivery of shares of common stock having a fair market value equal as of the date of the exercise to the cash exercise price of the option or, at the discretion of the Board, through the use of some of the shares for which the option is being exercised (a cashless transaction), or by any combination of the foregoing means of payment.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4, 2015, the Board of Directors approved a resolution to amend the 2013 Plan to include additional equity incentive awards. These additional incentive awards under the plan consist of Stock Appreciation Rights (SARs), Restricted Stock Units (RSUs), and Performance Share Awards. Stock Appreciation Rights are awards that entitle the recipient to receive cash or stock equal to the excess of the Company’s stock price on the date the SAR is exercised over the Company’s stock price on the date the SAR was granted times the number of shares of stock with respect to which the SAR is exercised. Restricted Stock Units entitle the recipient to receive RSUs that require the Company on the distribution dates to transfer to the recipient one unrestricted, fully transferable share of stock for each RSU scheduled to be paid out on that date. Performance Share Awards entitle the recipient to receive stock based on the Company meeting certain performance goals. As amended, the 2013 Plan is now entitled, the “Security National Financial Corporation Amended and Restated 2013 Stock Option and Other Equity Incentive Awards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both"/>
        <w:ind w:right="20"/>
        <w:spacing w:after="0" w:line="277" w:lineRule="auto"/>
        <w:rPr>
          <w:sz w:val="20"/>
          <w:szCs w:val="20"/>
          <w:color w:val="auto"/>
        </w:rPr>
      </w:pPr>
      <w:r>
        <w:rPr>
          <w:rFonts w:ascii="Arial" w:cs="Arial" w:eastAsia="Arial" w:hAnsi="Arial"/>
          <w:sz w:val="18"/>
          <w:szCs w:val="18"/>
          <w:color w:val="auto"/>
        </w:rPr>
        <w:t>The 2013 Plan has a term of ten years. The Board of Directors may amend or terminate the 2013 Plan at any time, from time to time, subject to approval of certain modifications to the 2013 Plan by the stockholders of the Company as may be required by law or the 2013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Stock Option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16, 2014, the Company adopted the Security National Financial Corporation 2014 Director Stock Option Plan (the “2014 Director Plan”). The 2014 Director Plan was approved by the stockholders at the Company’s Annual Meeting on July 2, 2014 and replaced the Company’s 2006 Director Stock Option Plan. The 2014 Director Plan provides for the grant by the Company of stock options to directors who are not employees or paid consultants (the “Independent Directors”) to purchase shares of Class A common stock made available for issuance under the plan. The 2014 Director Plan also provides that annually each Independent Director is automatically eligible to receive options to purchase 1,000 shares of the Company’s Class A common stock. On December 1, 2017, the 2014 Director Plan was amended to authorize the Board of Directors to establish, each year, the effective date of such automatic grants.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Board approved an amendment to the 2014 Director Plan to provide for the cashless exercise of stock options. Prior to the approval of the amendment, the consideration for the shares to be issued upon the exercise of a stock option under the 2014 Director Plan included cash, check, or at the discretion of the Board, through the delivery of shares of common stock having a fair market value equal to the cash exercise price of the option, or a combination of the foregoing. As amended, at the discretion of the Board, the consideration for exercising the option may also include the use of some or all of the shares for which the option is exercised (cashless exercise of the option), or by any combination of the foregoing methods of payment. As a result of the amendment, the 2014 Director Plan is now entitled, “Security National Financial Corporation Amended and Restated 2014 Director Stock Option Plan.” On June 26, 2020, the stockholders approved an amendment to the 2014 Director Plan to authorize an additional 100,000 shares of Class A common stock to be made available for issuance under the plan, thereby increasing the total number of available shares from 150,000 to 250,000.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stock options granted to Independent Directors shall vest in four equal quarterly installments over a one-year period from the date of grant, until such shares are fully vested. The primary purposes of the 2014 Director Plan are to enhance the Company’s ability to attract and retain well-qualified persons for service as directors and to provide incentives to such directors to continue their association with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 merger of the Company with or into another company, or a consolidation, acquisition of stock or assets, or other change in control transaction involving the Company, each option granted under the 2014 Director Plan becomes exercisable in full, unless such option is assumed by the successor company. In the event the transaction is not approved by a majority of the “Continuing Directors” (as defined in the 2014 Director Plan), each option becomes fully vested and exercisable in full immediately prior to the consummation of such transaction, whether or not assumed by the successor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2015, the Board approved the Security National Financial Corporation Stock Purchase Plan for the mutual benefit of the Company and its stockholders. Under the terms of the Stock Purchase Plan, the Company has the option to purchase shares of Class A common stock from its officers and directors who exercise the stock options granted to them under any of the Company’s stock option plans with the proceeds from such purchase to be used to pay the taxes owed by such officers and directors as a result of the exercise of their stock options. Additionally, the officers and directors who exercise their stock options may, in their discretion, request that the Company purchase shares of their Class A common stock with the proceeds from such sale to be used to pay the taxes owed by such officers and directors as a result of the exercise of their stock options.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authorized under the plan to purchase no more than 60,000 shares of Class A common stock in any calendar year to pay the taxes owed by the officers and directors who exercise their stock options under the Stock Purchase Plan. The Company’s purchase price for the Class A common stock under the Stock Purchase Plan shall be equal to the closing sales price of the Company’s Class A common stock as reported by The Nasdaq National Market on the day that the applicable stock options are exercised by such officers and directors. Under the Stock Purchase Plan, the Company may only purchase shares of Class A common stock from the officers and directors exercising their stock options under the Stock Purchase Plan during the “Trading Window” as defined in the Company’s Insider Trading Policy and Guidelines.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executive officers, directors and persons who own more than 10% of a registered class of the Company’s equity securities to file reports of ownership and periodic changes in ownership of the Company’s Class A and Class C common stock with the Securities and Exchange Commission. Such persons are also required to furnish the Company with copies of all Section 16(a) reports they file.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solely on its review of the copies of stock reports received by the Company with respect to fiscal 2021, or written representations from certain reporting persons, the Company believes that its directors, executive officers and greater than 10% beneficial owners complied with all Section 16(a) filing requirements applicable to them, except the timely filing of Form 4 reports disclosing the granting and exercise of stock options.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security ownership information of the Company’s Class A and Class C common stock as of March 31, 2022, (i) for persons who own beneficially more than 5% of the Company’s outstanding Class A or Class C common stock, (ii) for each director of the Company, and (iii) for all executive officers and directors of the Company as a group.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5"/>
          </w:tcPr>
          <w:p>
            <w:pPr>
              <w:jc w:val="center"/>
              <w:ind w:right="160"/>
              <w:spacing w:after="0"/>
              <w:rPr>
                <w:sz w:val="20"/>
                <w:szCs w:val="20"/>
                <w:color w:val="auto"/>
              </w:rPr>
            </w:pPr>
            <w:r>
              <w:rPr>
                <w:rFonts w:ascii="Arial" w:cs="Arial" w:eastAsia="Arial" w:hAnsi="Arial"/>
                <w:sz w:val="18"/>
                <w:szCs w:val="18"/>
                <w:color w:val="auto"/>
                <w:w w:val="88"/>
              </w:rPr>
              <w:t>Class A and</w:t>
            </w: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w w:val="90"/>
              </w:rPr>
              <w:t>Class A</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w w:val="88"/>
              </w:rPr>
              <w:t>Class C</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jc w:val="center"/>
              <w:ind w:left="590"/>
              <w:spacing w:after="0"/>
              <w:rPr>
                <w:sz w:val="20"/>
                <w:szCs w:val="20"/>
                <w:color w:val="auto"/>
              </w:rPr>
            </w:pPr>
            <w:r>
              <w:rPr>
                <w:rFonts w:ascii="Arial" w:cs="Arial" w:eastAsia="Arial" w:hAnsi="Arial"/>
                <w:sz w:val="18"/>
                <w:szCs w:val="18"/>
                <w:color w:val="auto"/>
                <w:w w:val="85"/>
              </w:rPr>
              <w:t>Class C</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color w:val="auto"/>
              </w:rPr>
              <w:t>Common Stock</w:t>
            </w:r>
          </w:p>
        </w:tc>
        <w:tc>
          <w:tcPr>
            <w:tcW w:w="2340" w:type="dxa"/>
            <w:vAlign w:val="bottom"/>
            <w:gridSpan w:val="5"/>
          </w:tcPr>
          <w:p>
            <w:pPr>
              <w:jc w:val="right"/>
              <w:ind w:right="800"/>
              <w:spacing w:after="0"/>
              <w:rPr>
                <w:sz w:val="20"/>
                <w:szCs w:val="20"/>
                <w:color w:val="auto"/>
              </w:rPr>
            </w:pPr>
            <w:r>
              <w:rPr>
                <w:rFonts w:ascii="Arial" w:cs="Arial" w:eastAsia="Arial" w:hAnsi="Arial"/>
                <w:sz w:val="18"/>
                <w:szCs w:val="18"/>
                <w:color w:val="auto"/>
              </w:rPr>
              <w:t>Common Stock</w:t>
            </w:r>
          </w:p>
        </w:tc>
        <w:tc>
          <w:tcPr>
            <w:tcW w:w="214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Common Stock</w:t>
            </w:r>
          </w:p>
        </w:tc>
      </w:tr>
      <w:tr>
        <w:trPr>
          <w:trHeight w:val="195"/>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6"/>
              </w:rPr>
              <w:t>Amount</w:t>
            </w: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Percent</w:t>
            </w:r>
          </w:p>
        </w:tc>
        <w:tc>
          <w:tcPr>
            <w:tcW w:w="38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6"/>
              </w:rPr>
              <w:t>Amount</w:t>
            </w: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Percent</w:t>
            </w:r>
          </w:p>
        </w:tc>
        <w:tc>
          <w:tcPr>
            <w:tcW w:w="380" w:type="dxa"/>
            <w:vAlign w:val="bottom"/>
          </w:tcPr>
          <w:p>
            <w:pPr>
              <w:spacing w:after="0"/>
              <w:rPr>
                <w:sz w:val="16"/>
                <w:szCs w:val="16"/>
                <w:color w:val="auto"/>
              </w:rPr>
            </w:pPr>
          </w:p>
        </w:tc>
        <w:tc>
          <w:tcPr>
            <w:tcW w:w="130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3"/>
              </w:rPr>
              <w:t>Amount</w:t>
            </w:r>
          </w:p>
        </w:tc>
        <w:tc>
          <w:tcPr>
            <w:tcW w:w="68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86"/>
              </w:rPr>
              <w:t>Percent</w:t>
            </w:r>
          </w:p>
        </w:tc>
        <w:tc>
          <w:tcPr>
            <w:tcW w:w="160" w:type="dxa"/>
            <w:vAlign w:val="bottom"/>
          </w:tcPr>
          <w:p>
            <w:pPr>
              <w:spacing w:after="0"/>
              <w:rPr>
                <w:sz w:val="16"/>
                <w:szCs w:val="16"/>
                <w:color w:val="auto"/>
              </w:rPr>
            </w:pPr>
          </w:p>
        </w:tc>
      </w:tr>
      <w:tr>
        <w:trPr>
          <w:trHeight w:val="229"/>
        </w:trPr>
        <w:tc>
          <w:tcPr>
            <w:tcW w:w="4200" w:type="dxa"/>
            <w:vAlign w:val="bottom"/>
          </w:tcPr>
          <w:p>
            <w:pPr>
              <w:spacing w:after="0"/>
              <w:rPr>
                <w:sz w:val="19"/>
                <w:szCs w:val="19"/>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8"/>
                <w:szCs w:val="18"/>
                <w:color w:val="auto"/>
                <w:w w:val="96"/>
              </w:rPr>
              <w:t>Beneficially</w:t>
            </w: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rPr>
              <w:t>of</w:t>
            </w: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color w:val="auto"/>
                <w:w w:val="96"/>
              </w:rPr>
              <w:t>Beneficially</w:t>
            </w: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rPr>
              <w:t>of</w:t>
            </w: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Beneficially</w:t>
            </w: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and Address (1)</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3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3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Class</w:t>
            </w:r>
          </w:p>
        </w:tc>
        <w:tc>
          <w:tcPr>
            <w:tcW w:w="160" w:type="dxa"/>
            <w:vAlign w:val="bottom"/>
            <w:tcBorders>
              <w:bottom w:val="single" w:sz="8" w:color="CCEEFF"/>
            </w:tcBorders>
          </w:tcPr>
          <w:p>
            <w:pPr>
              <w:spacing w:after="0"/>
              <w:rPr>
                <w:sz w:val="20"/>
                <w:szCs w:val="20"/>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401(k) Retirement Savings Plan (2)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2,925,736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3,138,446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George R. and Shirley C. Quist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Partnership, Ltd. (3)</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1,101,379</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1,087,212</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2,188,591</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M3 Funds, LLC (4)</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1,754,690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1,754,690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Non-Qualified Deferred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Compensation Plan (5)</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1,663,325</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1,663,325</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Scott M. and Lisa J. Quist Family</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Trust (6)</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1,327,872</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1,327,872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Scott M. Quist (7)(8)(9)(10)(11)</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568,720</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203,527</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772,247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Jason G. Overbaugh (12)</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263,925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128,274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392,199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 Andrew Quist (7)(13)</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220,581</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157,837</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378,418</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Associated Investors (14)</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90,782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142,983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233,765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Garrett S. Sill (9)(10)(15)</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102,534</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105,077</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207,611</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Estate of George R. Quist</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137,458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51,447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188,905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Adam G. Quist (7)(16)</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41,141</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134,641</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175,782</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Jeffrey R. Stephens (17)</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165,358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165,358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Stephen C. Johnson (9)(10)(18)</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126,901</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126,901</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Robert G. Hunter, M.D. (19)</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89,839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H. Craig Moody (20)</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89,638</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89,638</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Gilbert A. Fuller (21)</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57,865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John L. Cook (22)</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56,701</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56,701</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Ludmya B. Love (23)</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Shital A. Mehta (24)</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(13 persons)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1,786,203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729,356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2,515,559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9" w:lineRule="exact"/>
        <w:rPr>
          <w:sz w:val="20"/>
          <w:szCs w:val="20"/>
          <w:color w:val="auto"/>
        </w:rPr>
      </w:pPr>
    </w:p>
    <w:p>
      <w:pPr>
        <w:ind w:left="460" w:hanging="452"/>
        <w:spacing w:after="0" w:line="197" w:lineRule="auto"/>
        <w:tabs>
          <w:tab w:leader="none" w:pos="460" w:val="left"/>
        </w:tabs>
        <w:numPr>
          <w:ilvl w:val="0"/>
          <w:numId w:val="95"/>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address of each listed stockholder is c/o Security National Financial Corporation, 433 West Ascension Way, 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Salt Lake City, Utah 84123.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ind w:left="460" w:hanging="452"/>
        <w:spacing w:after="0" w:line="25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investment committee of the 401(k) Retirement Savings Plan consists of Scott M. Quist, Stephen C. Johnson and Garrett S. Sill, who exercise shared voting and investment powers with respect to such shares.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stock is owned by the George R. and Shirley C. Quist Partnership, Ltd., of which Scott M. Quist is the managing general partner and, accordingly, exercises sole voting and investment powers with respect to such shares.</w:t>
      </w:r>
    </w:p>
    <w:p>
      <w:pPr>
        <w:jc w:val="both"/>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solely on the Schedule 13G/A filed on February 14, 2022, Jason A. Stock, Manager of M3 Partners, LP, a Delaware limited partnership, and M3 Funds, LLC, a Delaware limited liability company, General Partner of M3 Partners, LP; Jason A. Stock, Manager of M3 Funds, LLC; Jason A. Stock, Managing Director of M3F, Inc., a Utah corporation; Jason A. Stock, individually, and William C. Waller, individually, exercise shared voting and investment powers with respect to 1,754,690 shares of the Company’s Class A common stock, or 10.0% of the outstanding shares of the Company’s Class A common stock. The address of all entities and individuals filing the Schedule 13G/A is 10 Exchange Place, Suite 510, Salt Lake City, Utah 84111.</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investment committee of the Company’s Non-Qualified Deferred Compensation Plan consists of Scott M. Quist, Stephen C. Johnson, and Garrett S. Sill, who exercise shared voting and investment powers with respect to such shares.</w:t>
      </w:r>
    </w:p>
    <w:p>
      <w:pPr>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stock is owned by the Scott M. and Lisa J. Quist Family Trust, of which S. Andrew Quist, Amanda J. Nelson and Adam G. Quist are the trustees and, accordingly, exercise shared voting and investment powers with respect to such shares.</w:t>
      </w:r>
    </w:p>
    <w:p>
      <w:pPr>
        <w:ind w:left="460" w:right="20" w:hanging="452"/>
        <w:spacing w:after="0" w:line="281"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Does not include 1,327,872 shares of Class C common stock owned by the Scott M. Quist and Lisa J. Quist Family Trust, of which S. Andrew Quist, Amanda J. Nelson and Adam G. Quist are the trustees and, accordingly, exercise shared voting and investment powers with respect to such shares.</w:t>
      </w:r>
    </w:p>
    <w:p>
      <w:pPr>
        <w:spacing w:after="0" w:line="1"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Scott Quist is the Company’s Chairman of the Board, President, and Chief Executive Officer. Includes options to purchase 176,502 shares of Class A common stock and 122,817 shares of Class C common stock that are currently exercisable. Mr. Quist’s options to purchase 122,817 shares of Class C common stock may also, at Mr. Quist’s election, consist of options to purchase 122,817 shares of Class A common stock, or any combination thereof. Mr.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2"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include 2,919,244 shares of Class A common stock and 212,710 shares of Class C common stock owned by the Company’s 401(k) Retirement Savings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include 1,620,881 shares of Class A common stock owned by the Company’s Non-Qualified Deferred Compensation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include 90,782 shares of Class A common stock and 142,983 shares of Class C common stock owned by Associated Investors, a Utah general partnership, of which Scott M. Quist is the managing partner and, accordingly, exercises sole voting and investment powers with respect to such shares.</w:t>
      </w:r>
    </w:p>
    <w:p>
      <w:pPr>
        <w:spacing w:after="0" w:line="1" w:lineRule="exact"/>
        <w:rPr>
          <w:rFonts w:ascii="Arial" w:cs="Arial" w:eastAsia="Arial" w:hAnsi="Arial"/>
          <w:sz w:val="18"/>
          <w:szCs w:val="18"/>
          <w:color w:val="auto"/>
        </w:rPr>
      </w:pPr>
    </w:p>
    <w:p>
      <w:pPr>
        <w:jc w:val="both"/>
        <w:ind w:left="460" w:hanging="452"/>
        <w:spacing w:after="0" w:line="265"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Mr. Overbaugh is the Company’s Vice President, National Marketing Director of Life Insurance, and a director. Includes options to purchase 53,638 shares of Class A common stock and options to purchase 128,274 shares of Class C common stock that are currently exercisable. The options to purchase 128,274 shares of Class C common stock may also, at Mr. Overbaugh’s election, consist of options to purchase 128,274 shares of Class A common stock, or any combination thereof. Mr. Overbaugh has elected to purchase Class C common shares with such options to the extent there are sufficient authorized but unissued Class C common shares available for issuance with respect to such options. Otherwise, Mr. Overbaugh will elect to purchase shares of Class A common stock with respect to such options.</w:t>
      </w:r>
    </w:p>
    <w:p>
      <w:pPr>
        <w:jc w:val="both"/>
        <w:ind w:left="460" w:hanging="452"/>
        <w:spacing w:after="0" w:line="252"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Andrew Quist is the Company’s Vice President, General Counsel, and a director. Includes options to purchase 112,052 shares of Class A common stock and options to purchase 157,837 shares of Class C common stock that are currently exercisable. The options to purchase 157,837 shares of Class C common stock may also, at Mr. Quist’s election, consist of options to purchase 157,837 shares of Class A common stock, or any combination thereof. Mr. Andrew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4" w:name="page135"/>
    <w:bookmarkEnd w:id="134"/>
    <w:p>
      <w:pPr>
        <w:ind w:left="460" w:right="20" w:hanging="452"/>
        <w:spacing w:after="0" w:line="25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managing general partner of Associated Investors is Scott M. Quist, who exercises sole voting and investment powers with respect to such shares.</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Sill is the Company’s Chief Financial Officer and Treasurer. Includes options to purchase 23,367 shares of Class A common stock and options to purchase 105,077 shares of Class C common stock that are currently exercisable. The options to purchase 105,077 shares of Class C common stock may also, at Mr. Sill’s election, consist of options to purchase 105,077 shares of Class A common stock, or any combination thereof. Mr. Sill has elected to purchase Class C common shares with such options to the extent there are sufficient authorized but unissued Class C common shares available for issuance with respect to such options. Otherwise, Mr. Sill will elect to purchase shares of Class A common stock with respect to such options.</w:t>
      </w:r>
    </w:p>
    <w:p>
      <w:pPr>
        <w:spacing w:after="0" w:line="2" w:lineRule="exact"/>
        <w:rPr>
          <w:rFonts w:ascii="Arial" w:cs="Arial" w:eastAsia="Arial" w:hAnsi="Arial"/>
          <w:sz w:val="18"/>
          <w:szCs w:val="18"/>
          <w:color w:val="auto"/>
        </w:rPr>
      </w:pPr>
    </w:p>
    <w:p>
      <w:pPr>
        <w:jc w:val="both"/>
        <w:ind w:left="460" w:hanging="452"/>
        <w:spacing w:after="0" w:line="265"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Mr. Adam Quist is the Vice President — Memorial Services, Assistant Secretary, General Counsel, and a director of the Company. Includes options to purchase 17,203 shares of Class A common stock and options to purchase 134,641 shares of Class C common stock that are currently exercisable. The options to purchase 134,641 shares of Class C common stock may also, at Mr. Quist’s election, consist of options to purchase 134,641 shares of Class A common stock, or any combination thereof. Mr. Adam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Stephens is the Company’s Senior General Counsel and Secretary. Includes options to purchase 57,784 shares of Class A common stock granted to Mr. Stephens that are currently exercisable.</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Johnson is the Company’s Vice President of Mortgage Operations. Includes options to purchase 70,497 shares of Class A common stock granted to Mr. Johnson that are currently exercisable.</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Hunter is a director of the Company. Includes options to purchase 58,292 shares of Class A common stock granted to Dr. Hunter that are currently exercisable.</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Moody is a director of the Company. Includes options to purchase 66,244 shares of Class A common stock granted to Mr. Moody that are currently exercisable.</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Fuller is a director of the Company. Includes options to purchase 56,701 shares of Class A common stock granted to Mr. Fuller that are currently exercisable.</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Cook is a director of the Company. Includes options to purchase 56,701 shares of Class A common stock granted to Mr. Cook that are currently exercisable.</w:t>
      </w:r>
    </w:p>
    <w:p>
      <w:pPr>
        <w:ind w:left="460" w:right="2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Ms. Love is a director of the Company. Includes options to purchase 1,500 shares of Class A common stock granted to Ms. Love that are currently exercisable.</w:t>
      </w:r>
    </w:p>
    <w:p>
      <w:pPr>
        <w:ind w:left="460" w:hanging="452"/>
        <w:spacing w:after="0" w:line="26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Ms. Mehta is a director of the Company. Includes options to purchase 1,500 shares of Class A common stock granted to Ms. Mehta that are currently exercisable.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executive officers and directors, as a group, own beneficially approximately 11.5% of the outstanding shares of the Company’s Class A and Class C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5" w:name="page136"/>
    <w:bookmarkEnd w:id="135"/>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fees of the Company’s current independent auditors, billed to the Company for each of the last two fiscal years for audit and other services. All of these fees were reviewed and approved by the Audit Committee of the Board of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Fee Category</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20"/>
                <w:szCs w:val="20"/>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1,047,488</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Audit-Related Fees (2)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41,750</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36,000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108,928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106,010</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All Other Fees (4)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98,865</w:t>
            </w:r>
          </w:p>
        </w:tc>
      </w:tr>
      <w:tr>
        <w:trPr>
          <w:trHeight w:val="223"/>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1,288,363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63"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Audit fees consist of aggregate fees billed for professional services rendered for the audit of the Company’s annual financial statements and review of the interim financial statements included in quarterly reports or services that are normally provided by the independent auditor in connection with statutory and regulatory filings for the years ended December 31, 2021 and 2020.</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Audit related fees consist of aggregate fees billed for assurance and related services that are reasonably related to the performance of the audit or review of the Company’s financial statements and are not reported under “Audit Fees”. These fees include review of registration statements, and audits of the Company’s ESOP and 401(k) Plans.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 fees consist of aggregate fees billed for professional services for tax compliance, tax advice, and tax planning.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other fees consist of aggregate fees billed for products and services by the independent auditors, other than those disclosed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under Item 8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 Reinsurance</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 Valuation and Qualifying Accounts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85">
        <w:r>
          <w:rPr>
            <w:rFonts w:ascii="Arial" w:cs="Arial" w:eastAsia="Arial" w:hAnsi="Arial"/>
            <w:sz w:val="16"/>
            <w:szCs w:val="16"/>
            <w:u w:val="single" w:color="auto"/>
            <w:color w:val="0000EE"/>
          </w:rPr>
          <w:t>Amended and Restated Articles of Incorporation (4)</w:t>
        </w:r>
      </w:hyperlink>
    </w:p>
    <w:p>
      <w:pPr>
        <w:spacing w:after="0" w:line="23"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86">
        <w:r>
          <w:rPr>
            <w:rFonts w:ascii="Arial" w:cs="Arial" w:eastAsia="Arial" w:hAnsi="Arial"/>
            <w:sz w:val="16"/>
            <w:szCs w:val="16"/>
            <w:u w:val="single" w:color="auto"/>
            <w:color w:val="0000EE"/>
          </w:rPr>
          <w:t>Amended and Restated Bylaws (6)</w:t>
        </w:r>
      </w:hyperlink>
    </w:p>
    <w:p>
      <w:pPr>
        <w:spacing w:after="0" w:line="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Class A Stock Certificate (1)</w:t>
      </w:r>
    </w:p>
    <w:p>
      <w:pPr>
        <w:spacing w:after="0" w:line="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Class C Stock Certificate (1)</w:t>
      </w:r>
    </w:p>
    <w:p>
      <w:pPr>
        <w:spacing w:after="0" w:line="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Specimen Preferred Stock Certificate and Certificate of Designation of Preferred Stock (1)</w:t>
      </w:r>
    </w:p>
    <w:p>
      <w:pPr>
        <w:spacing w:after="0" w:line="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Employee Stock Ownership Plan, as amended and restated (ESOP) and Trust Agreement (1)</w:t>
      </w:r>
    </w:p>
    <w:p>
      <w:pPr>
        <w:spacing w:after="0" w:line="9"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87">
        <w:r>
          <w:rPr>
            <w:rFonts w:ascii="Arial" w:cs="Arial" w:eastAsia="Arial" w:hAnsi="Arial"/>
            <w:sz w:val="16"/>
            <w:szCs w:val="16"/>
            <w:u w:val="single" w:color="auto"/>
            <w:color w:val="0000EE"/>
          </w:rPr>
          <w:t>Amended and Restated 2013 Stock Option and Other Equity Incentive Awards Plan (3)</w:t>
        </w:r>
      </w:hyperlink>
    </w:p>
    <w:p>
      <w:pPr>
        <w:spacing w:after="0" w:line="9"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88">
        <w:r>
          <w:rPr>
            <w:rFonts w:ascii="Arial" w:cs="Arial" w:eastAsia="Arial" w:hAnsi="Arial"/>
            <w:sz w:val="16"/>
            <w:szCs w:val="16"/>
            <w:u w:val="single" w:color="auto"/>
            <w:color w:val="0000EE"/>
          </w:rPr>
          <w:t>Amended and Restated 2014 Director Stock Option Plan (7)</w:t>
        </w:r>
      </w:hyperlink>
    </w:p>
    <w:p>
      <w:pPr>
        <w:spacing w:after="0" w:line="9"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89">
        <w:r>
          <w:rPr>
            <w:rFonts w:ascii="Arial" w:cs="Arial" w:eastAsia="Arial" w:hAnsi="Arial"/>
            <w:sz w:val="16"/>
            <w:szCs w:val="16"/>
            <w:u w:val="single" w:color="auto"/>
            <w:color w:val="0000EE"/>
          </w:rPr>
          <w:t>Employment Agreement with Scott M. Quist (2)</w:t>
        </w:r>
      </w:hyperlink>
    </w:p>
    <w:p>
      <w:pPr>
        <w:spacing w:after="0" w:line="9"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90">
        <w:r>
          <w:rPr>
            <w:rFonts w:ascii="Arial" w:cs="Arial" w:eastAsia="Arial" w:hAnsi="Arial"/>
            <w:sz w:val="16"/>
            <w:szCs w:val="16"/>
            <w:u w:val="single" w:color="auto"/>
            <w:color w:val="0000EE"/>
          </w:rPr>
          <w:t>Stock Repurchase Plan (5)</w:t>
        </w:r>
      </w:hyperlink>
    </w:p>
    <w:p>
      <w:pPr>
        <w:spacing w:after="0" w:line="9" w:lineRule="exact"/>
        <w:rPr>
          <w:sz w:val="20"/>
          <w:szCs w:val="20"/>
          <w:color w:val="auto"/>
        </w:rPr>
      </w:pPr>
    </w:p>
    <w:p>
      <w:pPr>
        <w:ind w:left="980" w:hanging="648"/>
        <w:spacing w:after="0"/>
        <w:tabs>
          <w:tab w:leader="none" w:pos="980" w:val="left"/>
        </w:tabs>
        <w:numPr>
          <w:ilvl w:val="0"/>
          <w:numId w:val="99"/>
        </w:numPr>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Code of Business Conduct and Ethics (6)</w:t>
        </w:r>
      </w:hyperlink>
    </w:p>
    <w:p>
      <w:pPr>
        <w:spacing w:after="0" w:line="9" w:lineRule="exact"/>
        <w:rPr>
          <w:rFonts w:ascii="Arial" w:cs="Arial" w:eastAsia="Arial" w:hAnsi="Arial"/>
          <w:sz w:val="18"/>
          <w:szCs w:val="18"/>
          <w:u w:val="single" w:color="auto"/>
          <w:color w:val="0000EE"/>
        </w:rPr>
      </w:pPr>
    </w:p>
    <w:p>
      <w:pPr>
        <w:ind w:left="980" w:hanging="648"/>
        <w:spacing w:after="0"/>
        <w:tabs>
          <w:tab w:leader="none" w:pos="980" w:val="left"/>
        </w:tabs>
        <w:numPr>
          <w:ilvl w:val="0"/>
          <w:numId w:val="100"/>
        </w:numPr>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Subsidiaries of the Registrant</w:t>
        </w:r>
      </w:hyperlink>
    </w:p>
    <w:p>
      <w:pPr>
        <w:spacing w:after="0" w:line="9" w:lineRule="exact"/>
        <w:rPr>
          <w:rFonts w:ascii="Arial" w:cs="Arial" w:eastAsia="Arial" w:hAnsi="Arial"/>
          <w:sz w:val="18"/>
          <w:szCs w:val="18"/>
          <w:u w:val="single" w:color="auto"/>
          <w:color w:val="0000EE"/>
        </w:rPr>
      </w:pPr>
    </w:p>
    <w:p>
      <w:pPr>
        <w:ind w:left="340"/>
        <w:spacing w:after="0"/>
        <w:rPr>
          <w:rFonts w:ascii="Arial" w:cs="Arial" w:eastAsia="Arial" w:hAnsi="Arial"/>
          <w:sz w:val="16"/>
          <w:szCs w:val="16"/>
          <w:u w:val="single" w:color="auto"/>
          <w:color w:val="0000EE"/>
        </w:rPr>
      </w:pPr>
      <w:r>
        <w:rPr>
          <w:rFonts w:ascii="Arial" w:cs="Arial" w:eastAsia="Arial" w:hAnsi="Arial"/>
          <w:sz w:val="18"/>
          <w:szCs w:val="18"/>
          <w:color w:val="auto"/>
        </w:rPr>
        <w:t>31.1</w:t>
      </w:r>
      <w:hyperlink w:anchor="page142">
        <w:r>
          <w:rPr>
            <w:rFonts w:ascii="Arial" w:cs="Arial" w:eastAsia="Arial" w:hAnsi="Arial"/>
            <w:sz w:val="16"/>
            <w:szCs w:val="16"/>
            <w:u w:val="single" w:color="auto"/>
            <w:color w:val="0000EE"/>
          </w:rPr>
          <w:t>Certification pursuant to 18 U.S.C. Section 1350, as enacted by Section 302 of the Sarbanes-Oxley Act of 2002</w:t>
        </w:r>
      </w:hyperlink>
    </w:p>
    <w:p>
      <w:pPr>
        <w:spacing w:after="0" w:line="9" w:lineRule="exact"/>
        <w:rPr>
          <w:rFonts w:ascii="Arial" w:cs="Arial" w:eastAsia="Arial" w:hAnsi="Arial"/>
          <w:sz w:val="16"/>
          <w:szCs w:val="16"/>
          <w:u w:val="single" w:color="auto"/>
          <w:color w:val="0000EE"/>
        </w:rPr>
      </w:pPr>
    </w:p>
    <w:p>
      <w:pPr>
        <w:ind w:left="340"/>
        <w:spacing w:after="0"/>
        <w:rPr>
          <w:rFonts w:ascii="Arial" w:cs="Arial" w:eastAsia="Arial" w:hAnsi="Arial"/>
          <w:sz w:val="16"/>
          <w:szCs w:val="16"/>
          <w:u w:val="single" w:color="auto"/>
          <w:color w:val="0000EE"/>
        </w:rPr>
      </w:pPr>
      <w:r>
        <w:rPr>
          <w:rFonts w:ascii="Arial" w:cs="Arial" w:eastAsia="Arial" w:hAnsi="Arial"/>
          <w:sz w:val="18"/>
          <w:szCs w:val="18"/>
          <w:color w:val="auto"/>
        </w:rPr>
        <w:t>31.2</w:t>
      </w:r>
      <w:hyperlink w:anchor="page143">
        <w:r>
          <w:rPr>
            <w:rFonts w:ascii="Arial" w:cs="Arial" w:eastAsia="Arial" w:hAnsi="Arial"/>
            <w:sz w:val="16"/>
            <w:szCs w:val="16"/>
            <w:u w:val="single" w:color="auto"/>
            <w:color w:val="0000EE"/>
          </w:rPr>
          <w:t>Certification pursuant to 18 U.S.C. Section 1350, as enacted by Section 302 of the Sarbanes-Oxley Act of 2002</w:t>
        </w:r>
      </w:hyperlink>
    </w:p>
    <w:p>
      <w:pPr>
        <w:spacing w:after="0" w:line="9" w:lineRule="exact"/>
        <w:rPr>
          <w:rFonts w:ascii="Arial" w:cs="Arial" w:eastAsia="Arial" w:hAnsi="Arial"/>
          <w:sz w:val="16"/>
          <w:szCs w:val="16"/>
          <w:u w:val="single" w:color="auto"/>
          <w:color w:val="0000EE"/>
        </w:rPr>
      </w:pPr>
    </w:p>
    <w:p>
      <w:pPr>
        <w:ind w:left="340"/>
        <w:spacing w:after="0"/>
        <w:rPr>
          <w:rFonts w:ascii="Arial" w:cs="Arial" w:eastAsia="Arial" w:hAnsi="Arial"/>
          <w:sz w:val="16"/>
          <w:szCs w:val="16"/>
          <w:u w:val="single" w:color="auto"/>
          <w:color w:val="0000EE"/>
        </w:rPr>
      </w:pPr>
      <w:r>
        <w:rPr>
          <w:rFonts w:ascii="Arial" w:cs="Arial" w:eastAsia="Arial" w:hAnsi="Arial"/>
          <w:sz w:val="18"/>
          <w:szCs w:val="18"/>
          <w:color w:val="auto"/>
        </w:rPr>
        <w:t>32.1</w:t>
      </w:r>
      <w:hyperlink w:anchor="page144">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9" w:lineRule="exact"/>
        <w:rPr>
          <w:rFonts w:ascii="Arial" w:cs="Arial" w:eastAsia="Arial" w:hAnsi="Arial"/>
          <w:sz w:val="16"/>
          <w:szCs w:val="16"/>
          <w:u w:val="single" w:color="auto"/>
          <w:color w:val="0000EE"/>
        </w:rPr>
      </w:pPr>
    </w:p>
    <w:p>
      <w:pPr>
        <w:ind w:left="340" w:right="160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32.2 </w:t>
      </w:r>
      <w:hyperlink w:anchor="page145">
        <w:r>
          <w:rPr>
            <w:rFonts w:ascii="Arial" w:cs="Arial" w:eastAsia="Arial" w:hAnsi="Arial"/>
            <w:sz w:val="18"/>
            <w:szCs w:val="18"/>
            <w:u w:val="single" w:color="auto"/>
            <w:color w:val="0000EE"/>
          </w:rPr>
          <w:t>Certification pursuant to 18 U.S.C. Section 1350, as adopted pursuant to Section 906 of the Sarbanes-Oxley Act of 2002</w:t>
        </w:r>
      </w:hyperlink>
      <w:r>
        <w:rPr>
          <w:rFonts w:ascii="Arial" w:cs="Arial" w:eastAsia="Arial" w:hAnsi="Arial"/>
          <w:sz w:val="18"/>
          <w:szCs w:val="18"/>
          <w:color w:val="auto"/>
        </w:rPr>
        <w:t xml:space="preserve"> 101.xml Instance Document</w:t>
      </w:r>
    </w:p>
    <w:p>
      <w:pPr>
        <w:ind w:left="340"/>
        <w:spacing w:after="0"/>
        <w:rPr>
          <w:rFonts w:ascii="Arial" w:cs="Arial" w:eastAsia="Arial" w:hAnsi="Arial"/>
          <w:sz w:val="18"/>
          <w:szCs w:val="18"/>
          <w:color w:val="auto"/>
        </w:rPr>
      </w:pPr>
      <w:r>
        <w:rPr>
          <w:rFonts w:ascii="Arial" w:cs="Arial" w:eastAsia="Arial" w:hAnsi="Arial"/>
          <w:sz w:val="18"/>
          <w:szCs w:val="18"/>
          <w:color w:val="auto"/>
        </w:rPr>
        <w:t>101.xsd Taxonomy Extension Schema Document</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101.cal  Taxonomy Extension Calculation Linkbase Document</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101.def Taxonomy Extension Definition Linkbase Document</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101.lab Taxonomy Extension Label Linkbase Document</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101.pre Taxonomy Extension Presentation Linkbase Document</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2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31" w:lineRule="exact"/>
        <w:rPr>
          <w:rFonts w:ascii="Arial" w:cs="Arial" w:eastAsia="Arial" w:hAnsi="Arial"/>
          <w:sz w:val="16"/>
          <w:szCs w:val="16"/>
          <w:u w:val="single" w:color="auto"/>
          <w:color w:val="0000EE"/>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ectPr>
          <w:pgSz w:w="11900" w:h="16841" w:orient="portrait"/>
          <w:cols w:equalWidth="0" w:num="1">
            <w:col w:w="11240"/>
          </w:cols>
          <w:pgMar w:left="320" w:top="688" w:right="339" w:bottom="0" w:gutter="0" w:footer="0" w:header="0"/>
        </w:sectPr>
      </w:pPr>
    </w:p>
    <w:bookmarkStart w:id="136" w:name="page137"/>
    <w:bookmarkEnd w:id="136"/>
    <w:p>
      <w:pPr>
        <w:ind w:left="660" w:hanging="328"/>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Incorporated by reference from Report on Form 10-Q, as filed on November 13, 2018</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May 15, 2019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14,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SECURITY NATIONAL FINANCIAL CORPORATION</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Dated: March 31, 2022</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Scott M. Quist</w:t>
            </w:r>
          </w:p>
        </w:tc>
      </w:tr>
      <w:tr>
        <w:trPr>
          <w:trHeight w:val="202"/>
        </w:trPr>
        <w:tc>
          <w:tcPr>
            <w:tcW w:w="3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Scott M. Quist</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62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23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DATE</w:t>
            </w:r>
          </w:p>
        </w:tc>
      </w:tr>
      <w:tr>
        <w:trPr>
          <w:trHeight w:val="439"/>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M. Quist</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Chairman of the Board, President,</w:t>
            </w: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Scott M. Quist</w:t>
            </w:r>
          </w:p>
        </w:tc>
        <w:tc>
          <w:tcPr>
            <w:tcW w:w="58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and Chief Executive Officer</w:t>
            </w: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(Principal Executive Officer)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439"/>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Garrett S. Sill</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and</w:t>
            </w: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Garrett S. Sill</w:t>
            </w:r>
          </w:p>
        </w:tc>
        <w:tc>
          <w:tcPr>
            <w:tcW w:w="58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Treasurer (Principal Financial</w:t>
            </w: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and Accounting Officer)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439"/>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Jason G. Overbaugh</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Vice President and 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Jason G. Overbaugh</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 Andrew Quist</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Vice President and 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 Andrew Quist</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Adam G. Quist</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Vice President and 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Adam G. Quist</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L. Cook</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John L. Cook</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Gilbert A. Fuller</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Gilbert A. Fuller</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G. Hunter</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Robert G. Hunter</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Ludmya B. Love</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Ludmya B. Love</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Shital A. Mehta</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Shital A. Mehta</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 Craig Moody</w:t>
            </w:r>
          </w:p>
        </w:tc>
        <w:tc>
          <w:tcPr>
            <w:tcW w:w="5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H. Craig Moody</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jc w:val="right"/>
              <w:ind w:right="28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Life Insurance in force ($000)</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Arial" w:cs="Arial" w:eastAsia="Arial" w:hAnsi="Arial"/>
          <w:sz w:val="18"/>
          <w:szCs w:val="18"/>
          <w:color w:val="auto"/>
        </w:rPr>
        <w:t>Schedule IV</w:t>
      </w:r>
    </w:p>
    <w:p>
      <w:pPr>
        <w:spacing w:after="0" w:line="225" w:lineRule="exact"/>
        <w:rPr>
          <w:sz w:val="20"/>
          <w:szCs w:val="20"/>
          <w:color w:val="auto"/>
        </w:rPr>
      </w:pPr>
    </w:p>
    <w:p>
      <w:pPr>
        <w:jc w:val="center"/>
        <w:ind w:right="3540"/>
        <w:spacing w:after="0"/>
        <w:rPr>
          <w:sz w:val="20"/>
          <w:szCs w:val="20"/>
          <w:color w:val="auto"/>
        </w:rPr>
      </w:pPr>
      <w:r>
        <w:rPr>
          <w:rFonts w:ascii="Arial" w:cs="Arial" w:eastAsia="Arial" w:hAnsi="Arial"/>
          <w:sz w:val="17"/>
          <w:szCs w:val="17"/>
          <w:color w:val="auto"/>
        </w:rPr>
        <w:t>SECURITY NATIONAL FINANCIAL CORPORATION</w:t>
      </w:r>
    </w:p>
    <w:p>
      <w:pPr>
        <w:spacing w:after="0" w:line="35" w:lineRule="exact"/>
        <w:rPr>
          <w:sz w:val="20"/>
          <w:szCs w:val="20"/>
          <w:color w:val="auto"/>
        </w:rPr>
      </w:pPr>
    </w:p>
    <w:p>
      <w:pPr>
        <w:jc w:val="center"/>
        <w:ind w:right="3540"/>
        <w:spacing w:after="0"/>
        <w:rPr>
          <w:sz w:val="20"/>
          <w:szCs w:val="20"/>
          <w:color w:val="auto"/>
        </w:rPr>
      </w:pPr>
      <w:r>
        <w:rPr>
          <w:rFonts w:ascii="Arial" w:cs="Arial" w:eastAsia="Arial" w:hAnsi="Arial"/>
          <w:sz w:val="18"/>
          <w:szCs w:val="18"/>
          <w:color w:val="auto"/>
        </w:rPr>
        <w:t>AND SUBSIDIARIES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2740" w:type="dxa"/>
            <w:vAlign w:val="bottom"/>
            <w:gridSpan w:val="6"/>
          </w:tcPr>
          <w:p>
            <w:pPr>
              <w:jc w:val="right"/>
              <w:ind w:right="1040"/>
              <w:spacing w:after="0"/>
              <w:rPr>
                <w:sz w:val="20"/>
                <w:szCs w:val="20"/>
                <w:color w:val="auto"/>
              </w:rPr>
            </w:pPr>
            <w:r>
              <w:rPr>
                <w:rFonts w:ascii="Arial" w:cs="Arial" w:eastAsia="Arial" w:hAnsi="Arial"/>
                <w:sz w:val="18"/>
                <w:szCs w:val="18"/>
                <w:color w:val="auto"/>
              </w:rPr>
              <w:t>Reinsurance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Percentage</w:t>
            </w: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Ceded to</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Assumed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Amount</w:t>
            </w:r>
          </w:p>
        </w:tc>
      </w:tr>
      <w:tr>
        <w:trPr>
          <w:trHeight w:val="230"/>
        </w:trPr>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Direct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from Other</w:t>
            </w:r>
          </w:p>
        </w:tc>
        <w:tc>
          <w:tcPr>
            <w:tcW w:w="180" w:type="dxa"/>
            <w:vAlign w:val="bottom"/>
          </w:tcPr>
          <w:p>
            <w:pPr>
              <w:spacing w:after="0"/>
              <w:rPr>
                <w:sz w:val="19"/>
                <w:szCs w:val="19"/>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Net</w:t>
            </w: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Assumed</w:t>
            </w:r>
          </w:p>
        </w:tc>
      </w:tr>
      <w:tr>
        <w:trPr>
          <w:trHeight w:val="230"/>
        </w:trPr>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Companies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Companies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3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to Net</w:t>
            </w:r>
          </w:p>
        </w:tc>
        <w:tc>
          <w:tcPr>
            <w:tcW w:w="140" w:type="dxa"/>
            <w:vAlign w:val="bottom"/>
            <w:gridSpan w:val="2"/>
          </w:tcPr>
          <w:p>
            <w:pPr>
              <w:spacing w:after="0"/>
              <w:rPr>
                <w:sz w:val="20"/>
                <w:szCs w:val="20"/>
                <w:color w:val="auto"/>
              </w:rPr>
            </w:pPr>
          </w:p>
        </w:tc>
      </w:tr>
      <w:tr>
        <w:trPr>
          <w:trHeight w:val="453"/>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2,734,592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364,471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129,166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2,499,287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-325120</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20" w:space="720"/>
            <w:col w:w="7700"/>
          </w:cols>
          <w:pgMar w:left="320" w:top="692"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6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Life Insurance</w:t>
            </w:r>
          </w:p>
        </w:tc>
        <w:tc>
          <w:tcPr>
            <w:tcW w:w="10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101,448,883</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2,074,552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527,702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99,902,033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Accident and Health Insurance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352,528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352,540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33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premiums</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101,801,411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100,254,573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2020</w:t>
            </w:r>
          </w:p>
        </w:tc>
        <w:tc>
          <w:tcPr>
            <w:tcW w:w="29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83"/>
        </w:trPr>
        <w:tc>
          <w:tcPr>
            <w:tcW w:w="3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Life Insurance in force ($000)</w:t>
            </w:r>
          </w:p>
        </w:tc>
        <w:tc>
          <w:tcPr>
            <w:tcW w:w="1040" w:type="dxa"/>
            <w:vAlign w:val="bottom"/>
            <w:tcBorders>
              <w:top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2,795,019</w:t>
            </w:r>
          </w:p>
        </w:tc>
        <w:tc>
          <w:tcPr>
            <w:tcW w:w="520" w:type="dxa"/>
            <w:vAlign w:val="bottom"/>
            <w:tcBorders>
              <w:top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377,138</w:t>
            </w:r>
          </w:p>
        </w:tc>
        <w:tc>
          <w:tcPr>
            <w:tcW w:w="3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95,772</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2,513,653</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6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Life Insurance</w:t>
            </w:r>
          </w:p>
        </w:tc>
        <w:tc>
          <w:tcPr>
            <w:tcW w:w="10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94,558,587</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2,275,654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441,997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92,724,930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Accident and Health Insurance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295,675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295,687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33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premiums</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94,854,262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2,275,654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93,020,617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133</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ind w:left="40"/>
              <w:spacing w:after="0"/>
              <w:rPr>
                <w:sz w:val="20"/>
                <w:szCs w:val="20"/>
                <w:color w:val="auto"/>
              </w:rPr>
            </w:pPr>
            <w:r>
              <w:rPr>
                <w:rFonts w:ascii="Arial" w:cs="Arial" w:eastAsia="Arial" w:hAnsi="Arial"/>
                <w:sz w:val="18"/>
                <w:szCs w:val="18"/>
                <w:color w:val="auto"/>
                <w:w w:val="97"/>
              </w:rPr>
              <w:t>Valuation and Qualifying Accounts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Additions</w:t>
            </w:r>
          </w:p>
        </w:tc>
        <w:tc>
          <w:tcPr>
            <w:tcW w:w="12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Deductions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Balance at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Charged to</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Disposals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r>
      <w:tr>
        <w:trPr>
          <w:trHeight w:val="230"/>
        </w:trPr>
        <w:tc>
          <w:tcPr>
            <w:tcW w:w="2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Beginning</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Costs and</w:t>
            </w:r>
          </w:p>
        </w:tc>
        <w:tc>
          <w:tcPr>
            <w:tcW w:w="12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and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at End of</w:t>
            </w:r>
          </w:p>
        </w:tc>
      </w:tr>
      <w:tr>
        <w:trPr>
          <w:trHeight w:val="230"/>
        </w:trPr>
        <w:tc>
          <w:tcPr>
            <w:tcW w:w="2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of 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Expenses</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Write-offs</w:t>
            </w:r>
          </w:p>
        </w:tc>
        <w:tc>
          <w:tcPr>
            <w:tcW w:w="1540" w:type="dxa"/>
            <w:vAlign w:val="bottom"/>
            <w:gridSpan w:val="3"/>
          </w:tcPr>
          <w:p>
            <w:pPr>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Year</w:t>
            </w:r>
          </w:p>
        </w:tc>
      </w:tr>
      <w:tr>
        <w:trPr>
          <w:trHeight w:val="169"/>
        </w:trPr>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For the Year Ended December 31, 2021</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286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39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Accumulated depreciation on real estate held for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investment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13,800,973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3,605,059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(246,068)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532,074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17,692,038</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Allowance for losses on mortgage loans held for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2,005,127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(305,225)</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1,699,902</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Accumulated depreciation on property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19,179,139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1,935,613</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(742,252)</w:t>
            </w:r>
          </w:p>
        </w:tc>
        <w:tc>
          <w:tcPr>
            <w:tcW w:w="3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(558,390)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19,814,110</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w w:val="99"/>
              </w:rPr>
              <w:t>Allowance for doubtful accounts on receivables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1,685,382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327,905</w:t>
            </w: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(212,562)</w:t>
            </w:r>
          </w:p>
        </w:tc>
        <w:tc>
          <w:tcPr>
            <w:tcW w:w="3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1,800,725</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Allowance for doubtful accounts on other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1,645,475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943,055</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(902,312)</w:t>
            </w: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1,686,218</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940" w:type="dxa"/>
            <w:vAlign w:val="bottom"/>
            <w:gridSpan w:val="2"/>
          </w:tcPr>
          <w:p>
            <w:pPr>
              <w:spacing w:after="0" w:line="176" w:lineRule="exact"/>
              <w:rPr>
                <w:sz w:val="20"/>
                <w:szCs w:val="20"/>
                <w:color w:val="auto"/>
              </w:rPr>
            </w:pPr>
            <w:r>
              <w:rPr>
                <w:rFonts w:ascii="Arial" w:cs="Arial" w:eastAsia="Arial" w:hAnsi="Arial"/>
                <w:sz w:val="18"/>
                <w:szCs w:val="18"/>
                <w:color w:val="auto"/>
              </w:rPr>
              <w:t>For the Year Ended December 31, 2020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9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Accumulated depreciation on real estate held for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12,788,739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3,160,428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(1,237,500)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13,800,973</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Allowance for losses on mortgage loans held for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1,453,037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552,090</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2,005,127</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Accumulated depreciation on property and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19,518,891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2,078,738</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(2,418,490)</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19,179,139</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Allowance for doubtful accounts on receivables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142,946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(181,720)</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1,685,382</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Allowance for doubtful accounts on other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1,448,026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882,334</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(684,885)</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1,645,475</w:t>
            </w:r>
          </w:p>
        </w:tc>
      </w:tr>
      <w:tr>
        <w:trPr>
          <w:trHeight w:val="439"/>
        </w:trPr>
        <w:tc>
          <w:tcPr>
            <w:tcW w:w="2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w:t>
            </w: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REGISTRANT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Arial" w:cs="Arial" w:eastAsia="Arial" w:hAnsi="Arial"/>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SNA-Venture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SNA-AM LLC, SNA-MB LLC, SNA-MV LLC, SNA-SE LLC, SNA-SW LLC, SNA-TM LLC, SNA-WF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Sunset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California Memorial Estates, Inc. dba Singing Hills Memorial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Probst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SN-Holbrook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SN-Rivera LLC, SNR-LA LLC, SNR-Taos LLC, SNR-SF Cemetery LLC, SNR-SF Mortuary LLC, SNR-Espanola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report on Form 10-K of Security National Financial Corporation;</w:t>
      </w:r>
    </w:p>
    <w:p>
      <w:pPr>
        <w:spacing w:after="0" w:line="225"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18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jc w:val="both"/>
        <w:ind w:right="20" w:firstLine="8"/>
        <w:spacing w:after="0" w:line="263" w:lineRule="auto"/>
        <w:tabs>
          <w:tab w:leader="none" w:pos="2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1" w:val="left"/>
        </w:tabs>
        <w:numPr>
          <w:ilvl w:val="2"/>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5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March 31, 2022</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report on Form 10-K of Security National Financial Corporation;</w:t>
      </w:r>
    </w:p>
    <w:p>
      <w:pPr>
        <w:spacing w:after="0" w:line="225"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18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8"/>
        <w:spacing w:after="0" w:line="263" w:lineRule="auto"/>
        <w:tabs>
          <w:tab w:leader="none" w:pos="20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1" w:val="left"/>
        </w:tabs>
        <w:numPr>
          <w:ilvl w:val="2"/>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5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March 31, 2022</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Security National Financial Corporation (the “Company”) on Form 10-K for the period ending December 31, 2021, as filed with the Securities and Exchange Commission on the date hereof (the “Report”), I, Scott M. Quist, Chairman of the Board,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March 31, 2022</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Security National Financial Corporation (the “Company”) on Form 10-K for the period ending December 31, 2021, as filed with the Securities and Exchange Commission on the date hereof (the “Report”), I, Garrett S. Sill, Chief Financial Officer and Treasurer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March 31, 2022</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lvl w:ilvl="1">
      <w:lvlJc w:val="left"/>
      <w:lvlText w:val="●"/>
      <w:numFmt w:val="bullet"/>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decimal"/>
      <w:start w:val="1"/>
    </w:lvl>
  </w:abstractNum>
  <w:abstractNum w:abstractNumId="10">
    <w:nsid w:val="354FE9F9"/>
    <w:multiLevelType w:val="hybridMultilevel"/>
    <w:lvl w:ilvl="0">
      <w:lvlJc w:val="left"/>
      <w:lvlText w:val="%1)"/>
      <w:numFmt w:val="decimal"/>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1)"/>
      <w:numFmt w:val="decimal"/>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decimal"/>
      <w:start w:val="1"/>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1)"/>
      <w:numFmt w:val="decimal"/>
      <w:start w:val="1"/>
    </w:lvl>
  </w:abstractNum>
  <w:abstractNum w:abstractNumId="21">
    <w:nsid w:val="5FF87E05"/>
    <w:multiLevelType w:val="hybridMultilevel"/>
    <w:lvl w:ilvl="0">
      <w:lvlJc w:val="left"/>
      <w:lvlText w:val="%1)"/>
      <w:numFmt w:val="decimal"/>
      <w:start w:val="1"/>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1)"/>
      <w:numFmt w:val="decimal"/>
      <w:start w:val="2"/>
    </w:lvl>
  </w:abstractNum>
  <w:abstractNum w:abstractNumId="24">
    <w:nsid w:val="1DBABF00"/>
    <w:multiLevelType w:val="hybridMultilevel"/>
    <w:lvl w:ilvl="0">
      <w:lvlJc w:val="left"/>
      <w:lvlText w:val="%1)"/>
      <w:numFmt w:val="decimal"/>
      <w:start w:val="2"/>
    </w:lvl>
  </w:abstractNum>
  <w:abstractNum w:abstractNumId="25">
    <w:nsid w:val="4AD084E9"/>
    <w:multiLevelType w:val="hybridMultilevel"/>
    <w:lvl w:ilvl="0">
      <w:lvlJc w:val="left"/>
      <w:lvlText w:val="%1)"/>
      <w:numFmt w:val="decimal"/>
      <w:start w:val="2"/>
    </w:lvl>
  </w:abstractNum>
  <w:abstractNum w:abstractNumId="26">
    <w:nsid w:val="1F48EAA1"/>
    <w:multiLevelType w:val="hybridMultilevel"/>
    <w:lvl w:ilvl="0">
      <w:lvlJc w:val="left"/>
      <w:lvlText w:val="%1)"/>
      <w:numFmt w:val="decimal"/>
      <w:start w:val="2"/>
    </w:lvl>
  </w:abstractNum>
  <w:abstractNum w:abstractNumId="27">
    <w:nsid w:val="1381823A"/>
    <w:multiLevelType w:val="hybridMultilevel"/>
    <w:lvl w:ilvl="0">
      <w:lvlJc w:val="left"/>
      <w:lvlText w:val="%1)"/>
      <w:numFmt w:val="decimal"/>
      <w:start w:val="2"/>
    </w:lvl>
  </w:abstractNum>
  <w:abstractNum w:abstractNumId="28">
    <w:nsid w:val="5DB70AE5"/>
    <w:multiLevelType w:val="hybridMultilevel"/>
    <w:lvl w:ilvl="0">
      <w:lvlJc w:val="left"/>
      <w:lvlText w:val="%1)"/>
      <w:numFmt w:val="decimal"/>
      <w:start w:val="2"/>
    </w:lvl>
  </w:abstractNum>
  <w:abstractNum w:abstractNumId="29">
    <w:nsid w:val="100F8FCA"/>
    <w:multiLevelType w:val="hybridMultilevel"/>
    <w:lvl w:ilvl="0">
      <w:lvlJc w:val="left"/>
      <w:lvlText w:val="%1)"/>
      <w:numFmt w:val="decimal"/>
      <w:start w:val="2"/>
    </w:lvl>
  </w:abstractNum>
  <w:abstractNum w:abstractNumId="30">
    <w:nsid w:val="6590700B"/>
    <w:multiLevelType w:val="hybridMultilevel"/>
    <w:lvl w:ilvl="0">
      <w:lvlJc w:val="left"/>
      <w:lvlText w:val="%1)"/>
      <w:numFmt w:val="decimal"/>
      <w:start w:val="2"/>
    </w:lvl>
  </w:abstractNum>
  <w:abstractNum w:abstractNumId="31">
    <w:nsid w:val="15014ACB"/>
    <w:multiLevelType w:val="hybridMultilevel"/>
    <w:lvl w:ilvl="0">
      <w:lvlJc w:val="left"/>
      <w:lvlText w:val="%1)"/>
      <w:numFmt w:val="decimal"/>
      <w:start w:val="2"/>
    </w:lvl>
  </w:abstractNum>
  <w:abstractNum w:abstractNumId="32">
    <w:nsid w:val="5F5E7FD0"/>
    <w:multiLevelType w:val="hybridMultilevel"/>
    <w:lvl w:ilvl="0">
      <w:lvlJc w:val="left"/>
      <w:lvlText w:val="%1)"/>
      <w:numFmt w:val="decimal"/>
      <w:start w:val="2"/>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2"/>
    </w:lvl>
  </w:abstractNum>
  <w:abstractNum w:abstractNumId="35">
    <w:nsid w:val="6B94764"/>
    <w:multiLevelType w:val="hybridMultilevel"/>
    <w:lvl w:ilvl="0">
      <w:lvlJc w:val="left"/>
      <w:lvlText w:val="%1)"/>
      <w:numFmt w:val="decimal"/>
      <w:start w:val="2"/>
    </w:lvl>
  </w:abstractNum>
  <w:abstractNum w:abstractNumId="36">
    <w:nsid w:val="42C296BD"/>
    <w:multiLevelType w:val="hybridMultilevel"/>
    <w:lvl w:ilvl="0">
      <w:lvlJc w:val="left"/>
      <w:lvlText w:val="%1)"/>
      <w:numFmt w:val="decimal"/>
      <w:start w:val="3"/>
    </w:lvl>
  </w:abstractNum>
  <w:abstractNum w:abstractNumId="37">
    <w:nsid w:val="168E121F"/>
    <w:multiLevelType w:val="hybridMultilevel"/>
    <w:lvl w:ilvl="0">
      <w:lvlJc w:val="left"/>
      <w:lvlText w:val="%1)"/>
      <w:numFmt w:val="decimal"/>
      <w:start w:val="3"/>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4"/>
    </w:lvl>
  </w:abstractNum>
  <w:abstractNum w:abstractNumId="40">
    <w:nsid w:val="5DC79EA8"/>
    <w:multiLevelType w:val="hybridMultilevel"/>
    <w:lvl w:ilvl="0">
      <w:lvlJc w:val="left"/>
      <w:lvlText w:val="%1)"/>
      <w:numFmt w:val="decimal"/>
      <w:start w:val="5"/>
    </w:lvl>
  </w:abstractNum>
  <w:abstractNum w:abstractNumId="41">
    <w:nsid w:val="540A471C"/>
    <w:multiLevelType w:val="hybridMultilevel"/>
    <w:lvl w:ilvl="0">
      <w:lvlJc w:val="left"/>
      <w:lvlText w:val="%1)"/>
      <w:numFmt w:val="decimal"/>
      <w:start w:val="5"/>
    </w:lvl>
  </w:abstractNum>
  <w:abstractNum w:abstractNumId="42">
    <w:nsid w:val="7BD3EE7B"/>
    <w:multiLevelType w:val="hybridMultilevel"/>
    <w:lvl w:ilvl="0">
      <w:lvlJc w:val="left"/>
      <w:lvlText w:val="%1)"/>
      <w:numFmt w:val="decimal"/>
      <w:start w:val="7"/>
    </w:lvl>
  </w:abstractNum>
  <w:abstractNum w:abstractNumId="43">
    <w:nsid w:val="51D9C564"/>
    <w:multiLevelType w:val="hybridMultilevel"/>
    <w:lvl w:ilvl="0">
      <w:lvlJc w:val="left"/>
      <w:lvlText w:val="%1)"/>
      <w:numFmt w:val="decimal"/>
      <w:start w:val="7"/>
    </w:lvl>
  </w:abstractNum>
  <w:abstractNum w:abstractNumId="44">
    <w:nsid w:val="613EFDC5"/>
    <w:multiLevelType w:val="hybridMultilevel"/>
    <w:lvl w:ilvl="0">
      <w:lvlJc w:val="left"/>
      <w:lvlText w:val="%1)"/>
      <w:numFmt w:val="decimal"/>
      <w:start w:val="8"/>
    </w:lvl>
  </w:abstractNum>
  <w:abstractNum w:abstractNumId="45">
    <w:nsid w:val="BF72B14"/>
    <w:multiLevelType w:val="hybridMultilevel"/>
    <w:lvl w:ilvl="0">
      <w:lvlJc w:val="left"/>
      <w:lvlText w:val="%1)"/>
      <w:numFmt w:val="decimal"/>
      <w:start w:val="8"/>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1)"/>
      <w:numFmt w:val="decimal"/>
      <w:start w:val="10"/>
    </w:lvl>
  </w:abstractNum>
  <w:abstractNum w:abstractNumId="48">
    <w:nsid w:val="A0382C5"/>
    <w:multiLevelType w:val="hybridMultilevel"/>
    <w:lvl w:ilvl="0">
      <w:lvlJc w:val="left"/>
      <w:lvlText w:val="%1)"/>
      <w:numFmt w:val="decimal"/>
      <w:start w:val="10"/>
    </w:lvl>
  </w:abstractNum>
  <w:abstractNum w:abstractNumId="49">
    <w:nsid w:val="8F2B15E"/>
    <w:multiLevelType w:val="hybridMultilevel"/>
    <w:lvl w:ilvl="0">
      <w:lvlJc w:val="left"/>
      <w:lvlText w:val="%1)"/>
      <w:numFmt w:val="decimal"/>
      <w:start w:val="11"/>
    </w:lvl>
  </w:abstractNum>
  <w:abstractNum w:abstractNumId="50">
    <w:nsid w:val="1A32234B"/>
    <w:multiLevelType w:val="hybridMultilevel"/>
    <w:lvl w:ilvl="0">
      <w:lvlJc w:val="left"/>
      <w:lvlText w:val="%1)"/>
      <w:numFmt w:val="decimal"/>
      <w:start w:val="11"/>
    </w:lvl>
  </w:abstractNum>
  <w:abstractNum w:abstractNumId="51">
    <w:nsid w:val="3B0FD379"/>
    <w:multiLevelType w:val="hybridMultilevel"/>
    <w:lvl w:ilvl="0">
      <w:lvlJc w:val="left"/>
      <w:lvlText w:val="%1)"/>
      <w:numFmt w:val="decimal"/>
      <w:start w:val="12"/>
    </w:lvl>
  </w:abstractNum>
  <w:abstractNum w:abstractNumId="52">
    <w:nsid w:val="68EB2F63"/>
    <w:multiLevelType w:val="hybridMultilevel"/>
    <w:lvl w:ilvl="0">
      <w:lvlJc w:val="left"/>
      <w:lvlText w:val="%1)"/>
      <w:numFmt w:val="decimal"/>
      <w:start w:val="12"/>
    </w:lvl>
  </w:abstractNum>
  <w:abstractNum w:abstractNumId="53">
    <w:nsid w:val="4962813B"/>
    <w:multiLevelType w:val="hybridMultilevel"/>
    <w:lvl w:ilvl="0">
      <w:lvlJc w:val="left"/>
      <w:lvlText w:val="%1)"/>
      <w:numFmt w:val="decimal"/>
      <w:start w:val="13"/>
    </w:lvl>
  </w:abstractNum>
  <w:abstractNum w:abstractNumId="54">
    <w:nsid w:val="60B6DF70"/>
    <w:multiLevelType w:val="hybridMultilevel"/>
    <w:lvl w:ilvl="0">
      <w:lvlJc w:val="left"/>
      <w:lvlText w:val="%1)"/>
      <w:numFmt w:val="decimal"/>
      <w:start w:val="14"/>
    </w:lvl>
  </w:abstractNum>
  <w:abstractNum w:abstractNumId="55">
    <w:nsid w:val="6A5EE64"/>
    <w:multiLevelType w:val="hybridMultilevel"/>
    <w:lvl w:ilvl="0">
      <w:lvlJc w:val="left"/>
      <w:lvlText w:val="%1)"/>
      <w:numFmt w:val="decimal"/>
      <w:start w:val="14"/>
    </w:lvl>
  </w:abstractNum>
  <w:abstractNum w:abstractNumId="56">
    <w:nsid w:val="14330624"/>
    <w:multiLevelType w:val="hybridMultilevel"/>
    <w:lvl w:ilvl="0">
      <w:lvlJc w:val="left"/>
      <w:lvlText w:val="%1)"/>
      <w:numFmt w:val="decimal"/>
      <w:start w:val="15"/>
    </w:lvl>
  </w:abstractNum>
  <w:abstractNum w:abstractNumId="57">
    <w:nsid w:val="7FFFCA11"/>
    <w:multiLevelType w:val="hybridMultilevel"/>
    <w:lvl w:ilvl="0">
      <w:lvlJc w:val="left"/>
      <w:lvlText w:val="%1)"/>
      <w:numFmt w:val="decimal"/>
      <w:start w:val="16"/>
    </w:lvl>
  </w:abstractNum>
  <w:abstractNum w:abstractNumId="58">
    <w:nsid w:val="1A27709E"/>
    <w:multiLevelType w:val="hybridMultilevel"/>
    <w:lvl w:ilvl="0">
      <w:lvlJc w:val="left"/>
      <w:lvlText w:val="%1)"/>
      <w:numFmt w:val="decimal"/>
      <w:start w:val="17"/>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1)"/>
      <w:numFmt w:val="decimal"/>
      <w:start w:val="17"/>
    </w:lvl>
  </w:abstractNum>
  <w:abstractNum w:abstractNumId="61">
    <w:nsid w:val="7FB7E0AA"/>
    <w:multiLevelType w:val="hybridMultilevel"/>
    <w:lvl w:ilvl="0">
      <w:lvlJc w:val="left"/>
      <w:lvlText w:val="%1)"/>
      <w:numFmt w:val="decimal"/>
      <w:start w:val="17"/>
    </w:lvl>
  </w:abstractNum>
  <w:abstractNum w:abstractNumId="62">
    <w:nsid w:val="6EB5BD4"/>
    <w:multiLevelType w:val="hybridMultilevel"/>
    <w:lvl w:ilvl="0">
      <w:lvlJc w:val="left"/>
      <w:lvlText w:val="%1)"/>
      <w:numFmt w:val="decimal"/>
      <w:start w:val="17"/>
    </w:lvl>
  </w:abstractNum>
  <w:abstractNum w:abstractNumId="63">
    <w:nsid w:val="6F6DD9AC"/>
    <w:multiLevelType w:val="hybridMultilevel"/>
    <w:lvl w:ilvl="0">
      <w:lvlJc w:val="left"/>
      <w:lvlText w:val="%1)"/>
      <w:numFmt w:val="decimal"/>
      <w:start w:val="17"/>
    </w:lvl>
  </w:abstractNum>
  <w:abstractNum w:abstractNumId="64">
    <w:nsid w:val="94211F2"/>
    <w:multiLevelType w:val="hybridMultilevel"/>
    <w:lvl w:ilvl="0">
      <w:lvlJc w:val="left"/>
      <w:lvlText w:val="%1)"/>
      <w:numFmt w:val="decimal"/>
      <w:start w:val="17"/>
    </w:lvl>
  </w:abstractNum>
  <w:abstractNum w:abstractNumId="65">
    <w:nsid w:val="885E1B"/>
    <w:multiLevelType w:val="hybridMultilevel"/>
    <w:lvl w:ilvl="0">
      <w:lvlJc w:val="left"/>
      <w:lvlText w:val="%1)"/>
      <w:numFmt w:val="decimal"/>
      <w:start w:val="17"/>
    </w:lvl>
  </w:abstractNum>
  <w:abstractNum w:abstractNumId="66">
    <w:nsid w:val="76272110"/>
    <w:multiLevelType w:val="hybridMultilevel"/>
    <w:lvl w:ilvl="0">
      <w:lvlJc w:val="left"/>
      <w:lvlText w:val="%1)"/>
      <w:numFmt w:val="decimal"/>
      <w:start w:val="17"/>
    </w:lvl>
  </w:abstractNum>
  <w:abstractNum w:abstractNumId="67">
    <w:nsid w:val="4C04A8AF"/>
    <w:multiLevelType w:val="hybridMultilevel"/>
    <w:lvl w:ilvl="0">
      <w:lvlJc w:val="left"/>
      <w:lvlText w:val="%1)"/>
      <w:numFmt w:val="decimal"/>
      <w:start w:val="17"/>
    </w:lvl>
  </w:abstractNum>
  <w:abstractNum w:abstractNumId="68">
    <w:nsid w:val="1716703B"/>
    <w:multiLevelType w:val="hybridMultilevel"/>
    <w:lvl w:ilvl="0">
      <w:lvlJc w:val="left"/>
      <w:lvlText w:val="%1)"/>
      <w:numFmt w:val="decimal"/>
      <w:start w:val="18"/>
    </w:lvl>
  </w:abstractNum>
  <w:abstractNum w:abstractNumId="69">
    <w:nsid w:val="14E17E33"/>
    <w:multiLevelType w:val="hybridMultilevel"/>
    <w:lvl w:ilvl="0">
      <w:lvlJc w:val="left"/>
      <w:lvlText w:val="%1)"/>
      <w:numFmt w:val="decimal"/>
      <w:start w:val="18"/>
    </w:lvl>
  </w:abstractNum>
  <w:abstractNum w:abstractNumId="70">
    <w:nsid w:val="3222E7CD"/>
    <w:multiLevelType w:val="hybridMultilevel"/>
    <w:lvl w:ilvl="0">
      <w:lvlJc w:val="left"/>
      <w:lvlText w:val="%1)"/>
      <w:numFmt w:val="decimal"/>
      <w:start w:val="19"/>
    </w:lvl>
  </w:abstractNum>
  <w:abstractNum w:abstractNumId="71">
    <w:nsid w:val="74DE0EE3"/>
    <w:multiLevelType w:val="hybridMultilevel"/>
    <w:lvl w:ilvl="0">
      <w:lvlJc w:val="left"/>
      <w:lvlText w:val="%1)"/>
      <w:numFmt w:val="decimal"/>
      <w:start w:val="20"/>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20"/>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21"/>
    </w:lvl>
  </w:abstractNum>
  <w:abstractNum w:abstractNumId="78">
    <w:nsid w:val="CC1016F"/>
    <w:multiLevelType w:val="hybridMultilevel"/>
    <w:lvl w:ilvl="0">
      <w:lvlJc w:val="left"/>
      <w:lvlText w:val="%1)"/>
      <w:numFmt w:val="decimal"/>
      <w:start w:val="21"/>
    </w:lvl>
  </w:abstractNum>
  <w:abstractNum w:abstractNumId="79">
    <w:nsid w:val="43F18422"/>
    <w:multiLevelType w:val="hybridMultilevel"/>
    <w:lvl w:ilvl="0">
      <w:lvlJc w:val="left"/>
      <w:lvlText w:val="%1)"/>
      <w:numFmt w:val="decimal"/>
      <w:start w:val="22"/>
    </w:lvl>
  </w:abstractNum>
  <w:abstractNum w:abstractNumId="80">
    <w:nsid w:val="60EF0119"/>
    <w:multiLevelType w:val="hybridMultilevel"/>
    <w:lvl w:ilvl="0">
      <w:lvlJc w:val="left"/>
      <w:lvlText w:val="%1)"/>
      <w:numFmt w:val="decimal"/>
      <w:start w:val="23"/>
    </w:lvl>
  </w:abstractNum>
  <w:abstractNum w:abstractNumId="81">
    <w:nsid w:val="26F324BA"/>
    <w:multiLevelType w:val="hybridMultilevel"/>
    <w:lvl w:ilvl="0">
      <w:lvlJc w:val="left"/>
      <w:lvlText w:val="%1)"/>
      <w:numFmt w:val="decimal"/>
      <w:start w:val="23"/>
    </w:lvl>
  </w:abstractNum>
  <w:abstractNum w:abstractNumId="82">
    <w:nsid w:val="7F01579B"/>
    <w:multiLevelType w:val="hybridMultilevel"/>
    <w:lvl w:ilvl="0">
      <w:lvlJc w:val="left"/>
      <w:lvlText w:val="%1)"/>
      <w:numFmt w:val="decimal"/>
      <w:start w:val="23"/>
    </w:lvl>
  </w:abstractNum>
  <w:abstractNum w:abstractNumId="83">
    <w:nsid w:val="49DA307D"/>
    <w:multiLevelType w:val="hybridMultilevel"/>
    <w:lvl w:ilvl="0">
      <w:lvlJc w:val="left"/>
      <w:lvlText w:val="%1)"/>
      <w:numFmt w:val="decimal"/>
      <w:start w:val="23"/>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1)"/>
      <w:numFmt w:val="decimal"/>
      <w:start w:val="1"/>
    </w:lvl>
    <w:lvl w:ilvl="1">
      <w:lvlJc w:val="left"/>
      <w:lvlText w:val="%2)"/>
      <w:numFmt w:val="lowerLetter"/>
      <w:start w:val="1"/>
    </w:lvl>
  </w:abstractNum>
  <w:abstractNum w:abstractNumId="87">
    <w:nsid w:val="488AC1A"/>
    <w:multiLevelType w:val="hybridMultilevel"/>
    <w:lvl w:ilvl="0">
      <w:lvlJc w:val="left"/>
      <w:lvlText w:val="%1)"/>
      <w:numFmt w:val="lowerLetter"/>
      <w:start w:val="6"/>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3"/>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1)"/>
      <w:numFmt w:val="decimal"/>
      <w:start w:val="1"/>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1)"/>
      <w:numFmt w:val="decimal"/>
      <w:start w:val="2"/>
    </w:lvl>
  </w:abstractNum>
  <w:abstractNum w:abstractNumId="96">
    <w:nsid w:val="7DE67713"/>
    <w:multiLevelType w:val="hybridMultilevel"/>
    <w:lvl w:ilvl="0">
      <w:lvlJc w:val="left"/>
      <w:lvlText w:val="(%1)"/>
      <w:numFmt w:val="decimal"/>
      <w:start w:val="14"/>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decimal"/>
      <w:start w:val="14"/>
    </w:lvl>
  </w:abstractNum>
  <w:abstractNum w:abstractNumId="99">
    <w:nsid w:val="14FCE74E"/>
    <w:multiLevelType w:val="hybridMultilevel"/>
    <w:lvl w:ilvl="0">
      <w:lvlJc w:val="left"/>
      <w:lvlText w:val="%1"/>
      <w:numFmt w:val="decimal"/>
      <w:start w:val="21"/>
    </w:lvl>
  </w:abstractNum>
  <w:abstractNum w:abstractNumId="100">
    <w:nsid w:val="6A3DD3E8"/>
    <w:multiLevelType w:val="hybridMultilevel"/>
    <w:lvl w:ilvl="0">
      <w:lvlJc w:val="left"/>
      <w:lvlText w:val="%1"/>
      <w:numFmt w:val="decimal"/>
      <w:start w:val="104"/>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5"/>
    </w:lvl>
  </w:abstractNum>
  <w:abstractNum w:abstractNumId="103">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185" Type="http://schemas.openxmlformats.org/officeDocument/2006/relationships/hyperlink" Target="https://www.sec.gov/Archives/edgar/data/318673/000109690617000214/exh3_1.htm" TargetMode="External"/><Relationship Id="rId186" Type="http://schemas.openxmlformats.org/officeDocument/2006/relationships/hyperlink" Target="https://www.sec.gov/Archives/edgar/data/318673/000109690619000199/exh3_2.htm" TargetMode="External"/><Relationship Id="rId187" Type="http://schemas.openxmlformats.org/officeDocument/2006/relationships/hyperlink" Target="https://www.sec.gov/Archives/edgar/data/318673/000109690616001835/exh10_4.htm" TargetMode="External"/><Relationship Id="rId188" Type="http://schemas.openxmlformats.org/officeDocument/2006/relationships/hyperlink" Target="https://www.sec.gov/Archives/edgar/data/318673/000144586620001192/snfca_ex10z3.htm" TargetMode="External"/><Relationship Id="rId189" Type="http://schemas.openxmlformats.org/officeDocument/2006/relationships/hyperlink" Target="https://www.sec.gov/Archives/edgar/data/318673/000109690615001153/exh108.htm" TargetMode="External"/><Relationship Id="rId190" Type="http://schemas.openxmlformats.org/officeDocument/2006/relationships/hyperlink" Target="https://www.sec.gov/Archives/edgar/data/318673/000109690618000639/exh10_9.htm" TargetMode="External"/><Relationship Id="rId191" Type="http://schemas.openxmlformats.org/officeDocument/2006/relationships/hyperlink" Target="https://www.sec.gov/Archives/edgar/data/318673/000109690619000199/exh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2022-03-31T06:31:17Z</dcterms:created>
  <dcterms:modified xsi:type="dcterms:W3CDTF">2022-03-31T06:31:17Z</dcterms:modified>
</cp:coreProperties>
</file>