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[X] QUARTERLY REPORT PURSUANT TO SECTION 13 OR 15(d) OF THE SECURITIES EXCHANGE ACT OF 1934</w:t>
      </w:r>
    </w:p>
    <w:p>
      <w:pPr>
        <w:spacing w:after="0" w:line="29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2019</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271" w:lineRule="exact"/>
        <w:rPr>
          <w:sz w:val="24"/>
          <w:szCs w:val="24"/>
          <w:color w:val="auto"/>
        </w:rPr>
      </w:pPr>
    </w:p>
    <w:p>
      <w:pPr>
        <w:ind w:right="160" w:firstLine="8"/>
        <w:spacing w:after="0" w:line="510" w:lineRule="auto"/>
        <w:tabs>
          <w:tab w:leader="none" w:pos="126"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TRANSITION REPORT PURSUANT TO SECTION 13 OR 15(d) OF THE SECURITIES EXCHANGE ACT OF 1934 For the transition period from _____ to 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000-09341</w:t>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(Exact name of registrant as specified in its charter)</w:t>
      </w:r>
    </w:p>
    <w:p>
      <w:pPr>
        <w:spacing w:after="0" w:line="252"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UTAH</w:t>
            </w:r>
          </w:p>
        </w:tc>
        <w:tc>
          <w:tcPr>
            <w:tcW w:w="2000" w:type="dxa"/>
            <w:vAlign w:val="bottom"/>
          </w:tcPr>
          <w:p>
            <w:pPr>
              <w:spacing w:after="0"/>
              <w:rPr>
                <w:sz w:val="17"/>
                <w:szCs w:val="17"/>
                <w:color w:val="auto"/>
              </w:rPr>
            </w:pPr>
          </w:p>
        </w:tc>
        <w:tc>
          <w:tcPr>
            <w:tcW w:w="474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87-0345941</w:t>
            </w:r>
          </w:p>
        </w:tc>
      </w:tr>
      <w:tr>
        <w:trPr>
          <w:trHeight w:val="20"/>
        </w:trPr>
        <w:tc>
          <w:tcPr>
            <w:tcW w:w="19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44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1180" w:type="dxa"/>
            <w:vAlign w:val="bottom"/>
          </w:tcPr>
          <w:p>
            <w:pPr>
              <w:spacing w:after="0"/>
              <w:rPr>
                <w:sz w:val="20"/>
                <w:szCs w:val="20"/>
                <w:color w:val="auto"/>
              </w:rPr>
            </w:pPr>
          </w:p>
        </w:tc>
        <w:tc>
          <w:tcPr>
            <w:tcW w:w="356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412"/>
        </w:trPr>
        <w:tc>
          <w:tcPr>
            <w:tcW w:w="44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5300 South 360 West, Suite 250, Salt Lake City, Utah</w:t>
            </w:r>
          </w:p>
        </w:tc>
        <w:tc>
          <w:tcPr>
            <w:tcW w:w="38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84123</w:t>
            </w:r>
          </w:p>
        </w:tc>
        <w:tc>
          <w:tcPr>
            <w:tcW w:w="860" w:type="dxa"/>
            <w:vAlign w:val="bottom"/>
          </w:tcPr>
          <w:p>
            <w:pPr>
              <w:spacing w:after="0"/>
              <w:rPr>
                <w:sz w:val="24"/>
                <w:szCs w:val="24"/>
                <w:color w:val="auto"/>
              </w:rPr>
            </w:pPr>
          </w:p>
        </w:tc>
      </w:tr>
      <w:tr>
        <w:trPr>
          <w:trHeight w:val="236"/>
        </w:trPr>
        <w:tc>
          <w:tcPr>
            <w:tcW w:w="44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392"/>
        </w:trPr>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 264-1060</w:t>
            </w: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registered pursuant to Section 12(b) of the Act:</w:t>
      </w:r>
    </w:p>
    <w:p>
      <w:pPr>
        <w:spacing w:after="0" w:line="274"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1700" w:type="dxa"/>
            <w:vAlign w:val="bottom"/>
          </w:tcPr>
          <w:p>
            <w:pPr>
              <w:spacing w:after="0"/>
              <w:rPr>
                <w:sz w:val="18"/>
                <w:szCs w:val="18"/>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237"/>
        </w:trPr>
        <w:tc>
          <w:tcPr>
            <w:tcW w:w="290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1160" w:type="dxa"/>
            <w:vAlign w:val="bottom"/>
          </w:tcPr>
          <w:p>
            <w:pPr>
              <w:spacing w:after="0"/>
              <w:rPr>
                <w:sz w:val="20"/>
                <w:szCs w:val="20"/>
                <w:color w:val="auto"/>
              </w:rPr>
            </w:pPr>
          </w:p>
        </w:tc>
        <w:tc>
          <w:tcPr>
            <w:tcW w:w="292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color w:val="auto"/>
                <w:w w:val="99"/>
              </w:rPr>
              <w:t>SNFCA</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56" w:lineRule="exact"/>
        <w:rPr>
          <w:sz w:val="24"/>
          <w:szCs w:val="24"/>
          <w:color w:val="auto"/>
        </w:rPr>
      </w:pPr>
    </w:p>
    <w:p>
      <w:pPr>
        <w:jc w:val="both"/>
        <w:ind w:firstLine="486"/>
        <w:spacing w:after="0" w:line="270" w:lineRule="auto"/>
        <w:rPr>
          <w:sz w:val="20"/>
          <w:szCs w:val="20"/>
          <w:color w:val="auto"/>
        </w:rPr>
      </w:pPr>
      <w:r>
        <w:rPr>
          <w:rFonts w:ascii="Times New Roman" w:cs="Times New Roman" w:eastAsia="Times New Roman" w:hAnsi="Times New Roman"/>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27" w:lineRule="exact"/>
        <w:rPr>
          <w:sz w:val="24"/>
          <w:szCs w:val="24"/>
          <w:color w:val="auto"/>
        </w:rPr>
      </w:pPr>
    </w:p>
    <w:p>
      <w:pPr>
        <w:jc w:val="both"/>
        <w:ind w:firstLine="486"/>
        <w:spacing w:after="0" w:line="270" w:lineRule="auto"/>
        <w:rPr>
          <w:sz w:val="20"/>
          <w:szCs w:val="20"/>
          <w:color w:val="auto"/>
        </w:rPr>
      </w:pPr>
      <w:r>
        <w:rPr>
          <w:rFonts w:ascii="Times New Roman" w:cs="Times New Roman" w:eastAsia="Times New Roman" w:hAnsi="Times New Roman"/>
          <w:sz w:val="22"/>
          <w:szCs w:val="2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227" w:lineRule="exact"/>
        <w:rPr>
          <w:sz w:val="24"/>
          <w:szCs w:val="24"/>
          <w:color w:val="auto"/>
        </w:rPr>
      </w:pPr>
    </w:p>
    <w:p>
      <w:pPr>
        <w:jc w:val="both"/>
        <w:ind w:firstLine="405"/>
        <w:spacing w:after="0" w:line="270" w:lineRule="auto"/>
        <w:rPr>
          <w:sz w:val="20"/>
          <w:szCs w:val="20"/>
          <w:color w:val="auto"/>
        </w:rPr>
      </w:pPr>
      <w:r>
        <w:rPr>
          <w:rFonts w:ascii="Times New Roman" w:cs="Times New Roman" w:eastAsia="Times New Roman" w:hAnsi="Times New Roman"/>
          <w:sz w:val="22"/>
          <w:szCs w:val="2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43" w:right="239" w:bottom="531" w:gutter="0" w:footer="0" w:header="0"/>
        </w:sectPr>
      </w:pPr>
    </w:p>
    <w:p>
      <w:pPr>
        <w:spacing w:after="0" w:line="22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Large accelerated filer [ ]</w:t>
      </w:r>
    </w:p>
    <w:p>
      <w:pPr>
        <w:spacing w:after="0" w:line="2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 ]</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[X]</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00" w:lineRule="exact"/>
        <w:rPr>
          <w:sz w:val="24"/>
          <w:szCs w:val="24"/>
          <w:color w:val="auto"/>
        </w:rPr>
      </w:pPr>
    </w:p>
    <w:p>
      <w:pPr>
        <w:sectPr>
          <w:pgSz w:w="11900" w:h="16838" w:orient="portrait"/>
          <w:cols w:equalWidth="0" w:num="2">
            <w:col w:w="5500" w:space="540"/>
            <w:col w:w="5380"/>
          </w:cols>
          <w:pgMar w:left="240" w:top="543" w:right="239" w:bottom="531" w:gutter="0" w:footer="0" w:header="0"/>
          <w:type w:val="continuous"/>
        </w:sectPr>
      </w:pPr>
    </w:p>
    <w:p>
      <w:pPr>
        <w:spacing w:after="0" w:line="38" w:lineRule="exact"/>
        <w:rPr>
          <w:sz w:val="24"/>
          <w:szCs w:val="24"/>
          <w:color w:val="auto"/>
        </w:rPr>
      </w:pPr>
    </w:p>
    <w:p>
      <w:pPr>
        <w:ind w:firstLine="486"/>
        <w:spacing w:after="0" w:line="309"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88" w:lineRule="exact"/>
        <w:rPr>
          <w:sz w:val="24"/>
          <w:szCs w:val="24"/>
          <w:color w:val="auto"/>
        </w:rPr>
      </w:pPr>
    </w:p>
    <w:p>
      <w:pPr>
        <w:ind w:firstLine="405"/>
        <w:spacing w:after="0" w:line="284" w:lineRule="auto"/>
        <w:rPr>
          <w:sz w:val="20"/>
          <w:szCs w:val="20"/>
          <w:color w:val="auto"/>
        </w:rPr>
      </w:pPr>
      <w:r>
        <w:rPr>
          <w:rFonts w:ascii="Times New Roman" w:cs="Times New Roman" w:eastAsia="Times New Roman" w:hAnsi="Times New Roman"/>
          <w:sz w:val="22"/>
          <w:szCs w:val="22"/>
          <w:color w:val="auto"/>
        </w:rPr>
        <w:t>Indicate by check mark whether the registrant is a shell company (as defined in Rule 12b-2 of the Exchange Act). Yes [ ] No[X]</w:t>
      </w:r>
    </w:p>
    <w:p>
      <w:pPr>
        <w:spacing w:after="0" w:line="212" w:lineRule="exact"/>
        <w:rPr>
          <w:sz w:val="24"/>
          <w:szCs w:val="24"/>
          <w:color w:val="auto"/>
        </w:rPr>
      </w:pPr>
    </w:p>
    <w:p>
      <w:pPr>
        <w:ind w:right="20" w:firstLine="405"/>
        <w:spacing w:after="0" w:line="284" w:lineRule="auto"/>
        <w:rPr>
          <w:sz w:val="20"/>
          <w:szCs w:val="20"/>
          <w:color w:val="auto"/>
        </w:rPr>
      </w:pPr>
      <w:r>
        <w:rPr>
          <w:rFonts w:ascii="Times New Roman" w:cs="Times New Roman" w:eastAsia="Times New Roman" w:hAnsi="Times New Roman"/>
          <w:sz w:val="22"/>
          <w:szCs w:val="22"/>
          <w:color w:val="auto"/>
        </w:rPr>
        <w:t>As of November 14, 2019, the registrant had 15,327,298 shares of Class A Common Stock, $2.00 par value, outstanding and 2,254,168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3" w:right="239" w:bottom="531"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SECURITY NATIONAL FINANCIAL CORPORATION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 ENDED SEPTEMBER 30, 2019</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Condensed Consolidated Balance Sheets as of September 30, 2019 (unaudited) and December 31, 2018</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Earnings for the three and nine months ended September 30, 2019 and 2018 (unaudited)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for the three and nine months ended September 30, 2019 and</w:t>
            </w:r>
          </w:p>
        </w:tc>
        <w:tc>
          <w:tcPr>
            <w:tcW w:w="11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2018 (unaudited)</w:t>
            </w: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as of September 30, 2019 and September 30, 2018 (unaudited)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nine months ended September 30, 2019 and 2018 (unaudited)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6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9"/>
              </w:rPr>
              <w:t>Part II - Other Information</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1A.</w:t>
            </w: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5.</w:t>
            </w: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Signature Page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611"/>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60" w:type="dxa"/>
            <w:vAlign w:val="bottom"/>
          </w:tcPr>
          <w:p>
            <w:pPr>
              <w:jc w:val="center"/>
              <w:ind w:left="151"/>
              <w:spacing w:after="0"/>
              <w:rPr>
                <w:sz w:val="20"/>
                <w:szCs w:val="20"/>
                <w:color w:val="auto"/>
              </w:rPr>
            </w:pPr>
            <w:r>
              <w:rPr>
                <w:rFonts w:ascii="Times New Roman" w:cs="Times New Roman" w:eastAsia="Times New Roman" w:hAnsi="Times New Roman"/>
                <w:sz w:val="14"/>
                <w:szCs w:val="14"/>
                <w:color w:val="auto"/>
                <w:w w:val="85"/>
              </w:rPr>
              <w:t>2</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4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color w:val="auto"/>
        </w:rPr>
        <w:t>SECURITY NATIONAL FINANCIAL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BALANCE SHEETS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rPr>
        <w:t xml:space="preserve"> Financial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88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maturity securities, held to maturity, at amortized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239,749,797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232,078,723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8,109,778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5,558,611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(net of allowances for loan losses of $1,301,476 and $1,347,972 for 2019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196,508,903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186,465,069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held for investment (net of accumulated depreciation of $17,784,514 and $16,739,578 for 2019 and 2018)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117,055,398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121,558,222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investments and policy loans (net of allowances for doubtful accounts of $1,495,268 and $1,092,528 for 2019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2018)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46,448,120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46,617,655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4,046,143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3,566,146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611,918,139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595,844,426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123,178,762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142,199,942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at estimated fair value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233,713,098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136,210,853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 of allowances for doubtful accounts of $1,597,186 and $1,519,842 for 2019 and 2018)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8,611,105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8,935,343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(including $1,145,917 and $744,673 for 2019 and 2018 at estimated fair value)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13,555,294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(including $908,493 and $483,353 for 2019 and 2018 at estimated fair value)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4,188,476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10,819,898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10,820,102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Cemetery land and improvements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9,777,156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93,596,603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89,362,096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16,951,124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20,016,822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9,363,971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5,227,790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5,765,190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3,519,588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2,765,570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18,228,380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1,162,649,384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1,050,811,123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accompanying notes to condensed consolidated financial statements (unaudited).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color w:val="auto"/>
        </w:rPr>
        <w:t>SECURITY NATIONAL FINANCIAL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BALANCE SHEETS (Continued)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631,759,294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620,399,714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3,707,062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3,920,473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261,034,322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187,521,188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Deferred pre-need cemetery and mortuary contract revenues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12,901,226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12,508,625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3,907,519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4,670,615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2,883,349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48,035,927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31,821,624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15,561,029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16,122,998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981,576,994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878,999,950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 non-voting - $1.00 par value; 5,000,000 shares authorized; none issued or outstanding</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 $2.00 par value; 20,000,000 shares authorized; issued 15,327,298 shares in 2019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15,304,798 shares in 2018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30,654,596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30,609,596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Class B: non-voting common stock - $1.00 par value; 5,000,000 shares authorized; none issued or outstanding</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C: convertible common stock - $2.00 par value; 3,000,000 shares authorized; issued 2,254,168 shares in 2019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2,193,643 shares in 2018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4,508,336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4,387,286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42,626,015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41,821,778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net of taxes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104,228,749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95,201,732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- 358,325 Class A shares in 2019 and 302,541 Class A shares in 2018</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(943,764)</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181,072,390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171,811,173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1,162,649,384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1,050,811,123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accompanying notes to condensed consolidated financial statements (unaudited).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color w:val="auto"/>
        </w:rPr>
        <w:t>SECURITY NATIONAL FINANCIAL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STATEMENTS OF EARNINGS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18"/>
                <w:szCs w:val="18"/>
                <w:color w:val="auto"/>
              </w:rPr>
            </w:pPr>
          </w:p>
        </w:tc>
        <w:tc>
          <w:tcPr>
            <w:tcW w:w="24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20"/>
                <w:szCs w:val="20"/>
                <w:color w:val="auto"/>
              </w:rPr>
            </w:pPr>
          </w:p>
        </w:tc>
        <w:tc>
          <w:tcPr>
            <w:tcW w:w="244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premiums and other considerations</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19,832,492</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18,639,401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58,504,712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56,640,590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10,478,566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9,641,496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31,061,069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29,457,892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3,526,416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3,646,290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11,205,774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10,430,128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(519,673)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261,095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25,371,595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39,735,752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31,664,704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97,161,190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88,833,944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2,326,106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2,608,775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7,124,836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7,430,179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75,379,659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67,223,093</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205,318,676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218,164,328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9,937,711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8,616,285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29,264,410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27,579,540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692,445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2,266,275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2,198,479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5,980,721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6,686,536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17,407,962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18,420,499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acquired</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3,477,160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2,746,288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9,678,912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7,967,003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16,714,061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13,619,192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40,243,042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39,361,315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16,287,957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17,075,236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47,018,553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50,547,638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1,423,933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3,566,823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3,647,610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1,749,402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1,913,813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5,377,869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457,430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1,294,576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related to funding mortgage loans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1,917,390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1,732,617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4,831,604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5,147,557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9,355,218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7,616,264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25,154,712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21,562,432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2,078,733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1,855,548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5,353,177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5,297,066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and services sold-mortuaries and cemeteries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2,044,937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1,641,596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70,619,837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65,011,295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193,502,852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190,603,118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4,759,822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2,211,798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11,815,824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27,561,210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(1,142,408)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(198,052)</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(2,788,038)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(5,383,324)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3,617,414</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2,013,746</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9,027,786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22,177,886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 (1)</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share-assuming dilution (1)</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Class A equivalent common share outstanding (1)</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17,230,987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17,152,656</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17,240,745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17,072,531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Class A equivalent common shares outstanding-assuming</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(1)</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17,420,731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17,387,326</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17,434,755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17,295,302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Net earnings per share amounts have been adjusted retroactively for the effect of annual stock dividends.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accompanying notes to condensed consolidated financial statements (unaudited).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color w:val="auto"/>
        </w:rPr>
        <w:t>SECURITY NATIONAL FINANCIAL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STATEMENTS OF COMPREHENSIVE INCOME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2018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3,617,414</w:t>
            </w: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2,013,746</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9,027,786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22,177,886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(916)</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before income tax</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(340)</w:t>
            </w: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(916)</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income tax</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w:t>
            </w: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761</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w:t>
            </w: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3,617,159</w:t>
            </w:r>
          </w:p>
        </w:tc>
        <w:tc>
          <w:tcPr>
            <w:tcW w:w="240" w:type="dxa"/>
            <w:vAlign w:val="bottom"/>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2,014,507</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9,029,067</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22,177,199</w:t>
            </w: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accompanying notes to condensed consolidated financial statements (unaudited).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color w:val="auto"/>
        </w:rPr>
        <w:t>SECURITY NATIONAL FINANCIAL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STATEMENTS OF STOCKHOLDERS’ EQUITY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9"/>
          </w:tcPr>
          <w:p>
            <w:pPr>
              <w:jc w:val="right"/>
              <w:ind w:right="720"/>
              <w:spacing w:after="0"/>
              <w:rPr>
                <w:sz w:val="20"/>
                <w:szCs w:val="20"/>
                <w:color w:val="auto"/>
              </w:rPr>
            </w:pPr>
            <w:r>
              <w:rPr>
                <w:rFonts w:ascii="Times New Roman" w:cs="Times New Roman" w:eastAsia="Times New Roman" w:hAnsi="Times New Roman"/>
                <w:sz w:val="18"/>
                <w:szCs w:val="18"/>
                <w:color w:val="auto"/>
              </w:rPr>
              <w:t>Nine Months Ended September 30, 2019</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Additional</w:t>
            </w:r>
          </w:p>
        </w:tc>
        <w:tc>
          <w:tcPr>
            <w:tcW w:w="2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Class A</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Class C</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Paid-in</w:t>
            </w: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Treasury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Common Stock</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Capital</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2019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30,609,596</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4,387,286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41,821,778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95,201,732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(206,396)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171,811,173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1,930,318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1,930,318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64,704</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42,343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337,496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 of treasury</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(112,404)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Class C to</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(6,560)</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30,625,374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4,380,722</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42,190,568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97,131,281</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174,049,485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3,480,054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65,037</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92,605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117,795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 of treasury</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(174,704)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(174,704)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Class C to</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30,645,660</w:t>
            </w:r>
          </w:p>
        </w:tc>
        <w:tc>
          <w:tcPr>
            <w:tcW w:w="120" w:type="dxa"/>
            <w:vAlign w:val="bottom"/>
          </w:tcPr>
          <w:p>
            <w:pPr>
              <w:spacing w:after="0"/>
              <w:rPr>
                <w:sz w:val="18"/>
                <w:szCs w:val="18"/>
                <w:color w:val="auto"/>
              </w:rPr>
            </w:pP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4,380,708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42,357,731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100,611,335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(425,971)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177,568,176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3,617,414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3,617,414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65,746</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127,628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114,376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88,162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123,562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of treasury</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(553,193)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(553,193)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Class C to</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30,654,596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4,508,336</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42,626,015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104,228,749</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(943,764)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181,072,390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color w:val="auto"/>
        </w:rPr>
        <w:t>SECURITY NATIONAL FINANCIAL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STATEMENTS OF STOCKHOLDERS’ EQUITY (Continued)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9"/>
          </w:tcPr>
          <w:p>
            <w:pPr>
              <w:jc w:val="right"/>
              <w:ind w:right="720"/>
              <w:spacing w:after="0"/>
              <w:rPr>
                <w:sz w:val="20"/>
                <w:szCs w:val="20"/>
                <w:color w:val="auto"/>
              </w:rPr>
            </w:pPr>
            <w:r>
              <w:rPr>
                <w:rFonts w:ascii="Times New Roman" w:cs="Times New Roman" w:eastAsia="Times New Roman" w:hAnsi="Times New Roman"/>
                <w:sz w:val="18"/>
                <w:szCs w:val="18"/>
                <w:color w:val="auto"/>
              </w:rPr>
              <w:t>Nine Months Ended September 30, 2018</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Additional</w:t>
            </w:r>
          </w:p>
        </w:tc>
        <w:tc>
          <w:tcPr>
            <w:tcW w:w="2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Class A</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Class C</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Paid-in</w:t>
            </w: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Treasury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Common Stock</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Capital</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2018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29,071,154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4,178,748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38,125,042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603,170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77,520,951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(931,075)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148,567,990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16,925,923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16,925,923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Cumulative effect</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upon</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adoption of new</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standard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(ASU 2016-01)</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(603,170)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603,170</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58,087</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88,964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222,410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(22,115)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(8,878)</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2018</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29,138,642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4,178,744</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38,255,340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95,041,166</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165,905,227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3,238,217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3,238,217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58,053</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222,420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385,755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Class C to</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29,139,018</w:t>
            </w:r>
          </w:p>
        </w:tc>
        <w:tc>
          <w:tcPr>
            <w:tcW w:w="120" w:type="dxa"/>
            <w:vAlign w:val="bottom"/>
          </w:tcPr>
          <w:p>
            <w:pPr>
              <w:spacing w:after="0"/>
              <w:rPr>
                <w:sz w:val="18"/>
                <w:szCs w:val="18"/>
                <w:color w:val="auto"/>
              </w:rPr>
            </w:pP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4,178,368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38,476,728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98,279,383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(486,245)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169,585,804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2,013,746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2,013,746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58,691</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242,954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411,454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 of treasury</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29,147,316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4,178,368</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38,711,180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100,293,129</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(297,798)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172,031,508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accompanying notes to condensed consolidated financial statements (unaudited).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color w:val="auto"/>
        </w:rPr>
        <w:t>SECURITY NATIONAL FINANCIAL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STATEMENTS OF CASH FLOWS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(62,865,938)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(10,250,549)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(27,227,180)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(29,074,605)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Calls and maturities of fixed maturity securities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19,444,922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26,356,188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(3,521,610)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(2,356,207)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1,691,231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2,478,051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restricted assets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(514,574)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perpetual care trusts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(111,076)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1,664,215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other investments and policy loans made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(421,682,247)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(376,549,887)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received for mortgage loans, other investments and policy loans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410,303,611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403,724,354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(931,691)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real estate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(6,465,802)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(22,399,516)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real estate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8,291,147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65,457,047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purchase of subsidiaries, net of cash acquired</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(3,261,788)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(3,405,783)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(23,933,953)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67,009,722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contract receipts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9,628,472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contract withdrawals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(13,282,143)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(11,667,269)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(840,301)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bank and other loans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(139,046,605)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(92,873,253)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borrowing on bank loans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149,304,399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116,455,289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warehouse line borrowings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62,987,462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14,131,782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line of credit borrowings</w:t>
            </w:r>
          </w:p>
        </w:tc>
        <w:tc>
          <w:tcPr>
            <w:tcW w:w="10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69,049,397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36,133,093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restricted cash and restricted cash equivalents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(17,750,494)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92,892,266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at beginning of period</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150,936,673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54,501,923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at end of period</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133,186,179</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147,394,189</w:t>
            </w:r>
          </w:p>
        </w:tc>
        <w:tc>
          <w:tcPr>
            <w:tcW w:w="0" w:type="dxa"/>
            <w:vAlign w:val="bottom"/>
          </w:tcPr>
          <w:p>
            <w:pPr>
              <w:spacing w:after="0"/>
              <w:rPr>
                <w:sz w:val="1"/>
                <w:szCs w:val="1"/>
                <w:color w:val="auto"/>
              </w:rPr>
            </w:pPr>
          </w:p>
        </w:tc>
      </w:tr>
      <w:tr>
        <w:trPr>
          <w:trHeight w:val="21"/>
        </w:trPr>
        <w:tc>
          <w:tcPr>
            <w:tcW w:w="77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5,292,868</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5,206,262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3,350,434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Cash Operating, Investing and Financing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13,441,537</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real estate construction costs and retainage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foreclosed into real estate held for investment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1,410,499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Benefit plans funded with treasury stock</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foreclosed into receivables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Transfer of loans held for sale to mortgage loans held for investment</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139,464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Note 15 regarding non cash transactions included in the acquisitions of Probst Family Funeral and Cremations and Heber Valley Funeral Home and Beta Capital Corp.</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color w:val="auto"/>
        </w:rPr>
        <w:t>SECURITY NATIONAL FINANCIAL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STATEMENTS OF CASH FLOWS (Continued)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7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Reconciliation of cash, cash equivalents, restricted cash and restricted cash equivalents as shown in the condensed consolidated statements of cash flows is presented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123,178,762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137,106,471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9,166,838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8,717,416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840,579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1,570,302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restricted cash equivalents</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133,186,179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147,394,189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accompanying notes to condensed consolidated financial statements (unaudited).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0" w:name="page11"/>
    <w:bookmarkEnd w:id="10"/>
    <w:p>
      <w:pPr>
        <w:ind w:left="2200"/>
        <w:spacing w:after="0"/>
        <w:rPr>
          <w:sz w:val="20"/>
          <w:szCs w:val="20"/>
          <w:color w:val="auto"/>
        </w:rPr>
      </w:pPr>
      <w:r>
        <w:rPr>
          <w:rFonts w:ascii="Times New Roman" w:cs="Times New Roman" w:eastAsia="Times New Roman" w:hAnsi="Times New Roman"/>
          <w:sz w:val="22"/>
          <w:szCs w:val="22"/>
          <w:color w:val="auto"/>
        </w:rPr>
        <w:t>SECURITY NATIONAL FINANCIAL CORPORATION AND SUBSIDIARIES</w:t>
      </w:r>
    </w:p>
    <w:p>
      <w:pPr>
        <w:spacing w:after="0" w:line="2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Notes to Condensed Consolidated Financial Statements</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September 30, 2019 (Unaudited)</w:t>
      </w:r>
    </w:p>
    <w:p>
      <w:pPr>
        <w:spacing w:after="0" w:line="275" w:lineRule="exact"/>
        <w:rPr>
          <w:sz w:val="20"/>
          <w:szCs w:val="20"/>
          <w:color w:val="auto"/>
        </w:rPr>
      </w:pPr>
    </w:p>
    <w:p>
      <w:pPr>
        <w:ind w:left="680" w:hanging="672"/>
        <w:spacing w:after="0"/>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Basis of Presentation</w:t>
      </w:r>
    </w:p>
    <w:p>
      <w:pPr>
        <w:spacing w:after="0" w:line="287" w:lineRule="exact"/>
        <w:rPr>
          <w:sz w:val="20"/>
          <w:szCs w:val="20"/>
          <w:color w:val="auto"/>
        </w:rPr>
      </w:pPr>
    </w:p>
    <w:p>
      <w:pPr>
        <w:jc w:val="both"/>
        <w:spacing w:after="0" w:line="271" w:lineRule="exact"/>
        <w:rPr>
          <w:sz w:val="20"/>
          <w:szCs w:val="20"/>
          <w:color w:val="auto"/>
        </w:rPr>
      </w:pPr>
      <w:r>
        <w:rPr>
          <w:rFonts w:ascii="Times New Roman" w:cs="Times New Roman" w:eastAsia="Times New Roman" w:hAnsi="Times New Roman"/>
          <w:sz w:val="22"/>
          <w:szCs w:val="22"/>
          <w:color w:val="auto"/>
        </w:rPr>
        <w:t>The accompanying unaudited condensed consolidated financial statements have been prepared in accordance with accounting principles generally accepted in the United States of America for interim financial information and with the instructions to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 and Articles 8 and 10 of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2018, included in the Company’s Annual Report on Form 10-K (File Number 000-09341). In the opinion of management, all adjustments (consisting of normal recurring accruals) considered necessary for a fair presentation have been included. Operating results for the nine months ended September 30, 2019 are not necessarily indicative of the results that may be expected for the year ending December 31, 2019.</w:t>
      </w:r>
    </w:p>
    <w:p>
      <w:pPr>
        <w:spacing w:after="0" w:line="2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preparation of financial statements in conformity with accounting principles generally accepted in the United States of America requires management to make estimates and assumptions that affect the amounts reported in the financial statements and accompanying notes. Actual results could differ from those estimates.</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242" w:lineRule="exact"/>
        <w:rPr>
          <w:sz w:val="20"/>
          <w:szCs w:val="20"/>
          <w:color w:val="auto"/>
        </w:rPr>
      </w:pPr>
    </w:p>
    <w:p>
      <w:pPr>
        <w:ind w:left="680" w:hanging="672"/>
        <w:spacing w:after="0"/>
        <w:tabs>
          <w:tab w:leader="none" w:pos="6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Recent Accounting Pronouncements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Standards Adopted in 2019</w:t>
      </w:r>
    </w:p>
    <w:p>
      <w:pPr>
        <w:spacing w:after="0" w:line="2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u w:val="single" w:color="auto"/>
          <w:color w:val="auto"/>
        </w:rPr>
        <w:t>ASU No. 2016-02: “Leases (Topic 842)”</w:t>
      </w:r>
      <w:r>
        <w:rPr>
          <w:rFonts w:ascii="Times New Roman" w:cs="Times New Roman" w:eastAsia="Times New Roman" w:hAnsi="Times New Roman"/>
          <w:sz w:val="22"/>
          <w:szCs w:val="22"/>
          <w:color w:val="auto"/>
        </w:rPr>
        <w:t xml:space="preserve"> - Issued in February 2016, ASU 2016-02 supersedes the requirements in Accounting Standards Codification (“ASC”) Topic 840, “Leases”, and was issued to increase transparency and comparability among organizations. The new standard sets forth the principles for the recognition, measurement, presentation, and disclosure of leases for both lessees and lessors. ASU 2016-02 requires lessees to classify leases as either finance or operating leases and to record on the balance sheet right-of-use assets and lease liabilities, equal to the present value of the remaining lease payments. The lease classification will determine whether the lease expense is recognized based on an effective interest rate method or a straight-line basis over the term of the leases. The FASB further clarified ASU 2016-02 and provided targeted improvements by issuing ASU 2018-01, ASU 2018-10, ASU 2018-11 and ASU 2018-20.</w:t>
      </w:r>
    </w:p>
    <w:p>
      <w:pPr>
        <w:spacing w:after="0" w:line="2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The Company adopted this standard on January 1, 2019 using the modified retrospective transition method with no cumulative-effect adjustment to the opening balance of retained earnings. Under this transition method, the application date was the beginning of the reporting period, January 1, 2019, in which the Company first applied the standard. Under this transition option, the Company will apply the legacy guidance in ASC 840, “Leases”, including its disclosure requirements, in the comparative periods presented in the year of adoption. The Company has made an accounting policy election not to apply the recognition requirements to short-term leases, which are leases that, at the commencement date, have a lease term of 12 months or less and do not include an option to purchase the underlying assets that the lessee is reasonably certain to exercise. The new authoritative guidance allows for certain practical expedients to be utilized to assist with the implementation of the new standard. The Company has elected the transition package of practical expedients which allows the Company to not reassess whether any expired or existing contracts are or contain leases, to not reassess the lease classification for any expired or existing leases and to not reassess initial direct costs for any existing leases.</w:t>
      </w:r>
    </w:p>
    <w:p>
      <w:pPr>
        <w:sectPr>
          <w:pgSz w:w="11900" w:h="16838" w:orient="portrait"/>
          <w:cols w:equalWidth="0" w:num="1">
            <w:col w:w="11420"/>
          </w:cols>
          <w:pgMar w:left="240" w:top="112" w:right="239"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1" w:name="page12"/>
    <w:bookmarkEnd w:id="11"/>
    <w:p>
      <w:pPr>
        <w:ind w:left="2200"/>
        <w:spacing w:after="0"/>
        <w:rPr>
          <w:sz w:val="20"/>
          <w:szCs w:val="20"/>
          <w:color w:val="auto"/>
        </w:rPr>
      </w:pPr>
      <w:r>
        <w:rPr>
          <w:rFonts w:ascii="Times New Roman" w:cs="Times New Roman" w:eastAsia="Times New Roman" w:hAnsi="Times New Roman"/>
          <w:sz w:val="22"/>
          <w:szCs w:val="22"/>
          <w:color w:val="auto"/>
        </w:rPr>
        <w:t>SECURITY NATIONAL FINANCIAL CORPORATION AND SUBSIDIARIES</w:t>
      </w:r>
    </w:p>
    <w:p>
      <w:pPr>
        <w:spacing w:after="0" w:line="2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Notes to Condensed Consolidated Financial Statements</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September 30, 2019 (Unaudited)</w:t>
      </w:r>
    </w:p>
    <w:p>
      <w:pPr>
        <w:spacing w:after="0" w:line="275" w:lineRule="exact"/>
        <w:rPr>
          <w:sz w:val="20"/>
          <w:szCs w:val="20"/>
          <w:color w:val="auto"/>
        </w:rPr>
      </w:pPr>
    </w:p>
    <w:p>
      <w:pPr>
        <w:ind w:left="680" w:hanging="672"/>
        <w:spacing w:after="0"/>
        <w:tabs>
          <w:tab w:leader="none" w:pos="6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Recent Accounting Pronouncements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The Company implemented a third-party lease accounting system to assist with the measurement of the lease liabilities and the related right-of-use assets. The Company compiled an inventory of its leases, determined the appropriate discount rates and has determined the impact of this standard which is not material to the Company’s results of operations, but has an effect on the balance sheet presentation for leased assets and obligations. The Company recognized a right-of-use asset and related lease liability for approximately $12,076,000 on January 1, 2019. This standard did not impact the Company’s accounting for leases where the Company is the lessor.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Standards Issued But Not Yet Adopted</w:t>
      </w:r>
    </w:p>
    <w:p>
      <w:pPr>
        <w:spacing w:after="0" w:line="29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u w:val="single" w:color="auto"/>
          <w:color w:val="auto"/>
        </w:rPr>
        <w:t>ASU No. 2016-13: “Financial Instruments – Credit Losses (Topic 326)”</w:t>
      </w:r>
      <w:r>
        <w:rPr>
          <w:rFonts w:ascii="Times New Roman" w:cs="Times New Roman" w:eastAsia="Times New Roman" w:hAnsi="Times New Roman"/>
          <w:sz w:val="21"/>
          <w:szCs w:val="21"/>
          <w:color w:val="auto"/>
        </w:rPr>
        <w:t xml:space="preserve"> – Issued in September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general accepted accounting principles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In October 2019, the FASB proposed an update to ASU No. 2016-13 that would make the ASU effective for the Company on January 1, 2023. The Company is in the process of evaluating the potential impact of this standard, especially as it relates to held to maturity debt securities and mortgage loans held for investment.</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u w:val="single" w:color="auto"/>
          <w:color w:val="auto"/>
        </w:rPr>
        <w:t>ASU No. 2018-13: “Fair Value Measurement (Topic 820): Disclosure Framework-Changes to the Disclosure Requirements for Fair Value Measurement”</w:t>
      </w:r>
      <w:r>
        <w:rPr>
          <w:rFonts w:ascii="Times New Roman" w:cs="Times New Roman" w:eastAsia="Times New Roman" w:hAnsi="Times New Roman"/>
          <w:sz w:val="22"/>
          <w:szCs w:val="22"/>
          <w:color w:val="auto"/>
        </w:rPr>
        <w:t xml:space="preserve"> – Issued in August 2018, ASU 2018-13 modifies the disclosure requirements of Topic 820 by removing, modifying or adding certain disclosures.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2018-13 does not change the fair value measurements already required or permitted by existing standards. This new authoritative guidance will be effective for the Company on January 1, 2020. The adoption of this standard will not materially impact the Company’s financial statements.</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u w:val="single" w:color="auto"/>
          <w:color w:val="auto"/>
        </w:rPr>
        <w:t>ASU No. 2018-12: “Financial Services – Insurance (Topic 944): Targeted Improvements to the Accounting for Long-Duration Contracts”</w:t>
      </w:r>
      <w:r>
        <w:rPr>
          <w:rFonts w:ascii="Times New Roman" w:cs="Times New Roman" w:eastAsia="Times New Roman" w:hAnsi="Times New Roman"/>
          <w:sz w:val="22"/>
          <w:szCs w:val="22"/>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simplify and improve the accounting for certain market-based options or guarantees associated with deposit or account balance contracts, simplify amortization of deferred acquisition costs while improving and expanding required disclosures. In October 2019, the FASB proposed an update to ASU No. 2018-12 that would make the ASU effective for the Company on January 1, 2024. The Company is in the process of evaluating the potential impact of this standard.</w:t>
      </w:r>
    </w:p>
    <w:p>
      <w:pPr>
        <w:spacing w:after="0" w:line="2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Company has reviewed other recent accounting pronouncements and has determined that they will not significantly impact the Company’s results of operations or financial position.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jc w:val="center"/>
        <w:ind w:right="-1139"/>
        <w:spacing w:after="0"/>
        <w:rPr>
          <w:sz w:val="20"/>
          <w:szCs w:val="20"/>
          <w:color w:val="auto"/>
        </w:rPr>
      </w:pPr>
      <w:r>
        <w:rPr>
          <w:rFonts w:ascii="Times New Roman" w:cs="Times New Roman" w:eastAsia="Times New Roman" w:hAnsi="Times New Roman"/>
          <w:sz w:val="22"/>
          <w:szCs w:val="22"/>
          <w:color w:val="auto"/>
        </w:rPr>
        <w:t>SECURITY NATIONAL FINANCIAL CORPORATION AND SUBSIDIARIES</w:t>
      </w:r>
    </w:p>
    <w:p>
      <w:pPr>
        <w:spacing w:after="0" w:line="28"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22"/>
          <w:szCs w:val="22"/>
          <w:color w:val="auto"/>
        </w:rPr>
        <w:t>Notes to Condensed Consolidated Financial Statements</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September 30, 2019 (Unaudited)</w:t>
      </w:r>
    </w:p>
    <w:p>
      <w:pPr>
        <w:spacing w:after="0" w:line="200" w:lineRule="exact"/>
        <w:rPr>
          <w:sz w:val="20"/>
          <w:szCs w:val="20"/>
          <w:color w:val="auto"/>
        </w:rPr>
      </w:pPr>
    </w:p>
    <w:p>
      <w:pPr>
        <w:spacing w:after="0" w:line="345" w:lineRule="exact"/>
        <w:rPr>
          <w:sz w:val="20"/>
          <w:szCs w:val="20"/>
          <w:color w:val="auto"/>
        </w:rPr>
      </w:pPr>
    </w:p>
    <w:p>
      <w:pPr>
        <w:ind w:left="680" w:hanging="672"/>
        <w:spacing w:after="0"/>
        <w:tabs>
          <w:tab w:leader="none" w:pos="6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investments as of September 30, 2019 are summarized as follows: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Gross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Estimated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Unrealized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Fair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Cost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Losses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46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w w:val="99"/>
              </w:rPr>
              <w:t>September 30, 2019</w:t>
            </w:r>
          </w:p>
        </w:tc>
        <w:tc>
          <w:tcPr>
            <w:tcW w:w="3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maturity securities held to maturity carried at amortized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Bonds: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62,267,359</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703,132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(35,072)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62,935,419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5,877,586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6,021,921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154,480,928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16,868,422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(696,122)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170,653,228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17,020,727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17,710,031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103,197</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fixed maturity securities held to maturity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239,749,797</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18,461,970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(773,932)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257,437,835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6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8,126,632</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(978,987)</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8,109,778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8,126,632</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(978,987)</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6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79,853,121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92,602,632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26,720,812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(1,366,186)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(1,301,476)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196,508,903</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6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held for investment net of accumulated depreciation: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23,420,598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93,634,800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117,055,398</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Policy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6,344,074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Insurance assignments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34,404,766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Federal Home Loan Bank stock (1)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3,006,500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4,188,048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(1,495,268)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investments and policy loans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46,448,120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6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4,046,143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6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611,918,139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 Includes $806,500 of Membership stock and $2,200,000 of Activity stock due to short-term borrowings.</w:t>
      </w:r>
    </w:p>
    <w:p>
      <w:pPr>
        <w:sectPr>
          <w:pgSz w:w="11900" w:h="16838" w:orient="portrait"/>
          <w:cols w:equalWidth="0" w:num="1">
            <w:col w:w="10280"/>
          </w:cols>
          <w:pgMar w:left="240" w:top="112" w:right="137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12" w:right="1379" w:bottom="1440" w:gutter="0" w:footer="0" w:header="0"/>
          <w:type w:val="continuous"/>
        </w:sectPr>
      </w:pPr>
    </w:p>
    <w:bookmarkStart w:id="13" w:name="page14"/>
    <w:bookmarkEnd w:id="13"/>
    <w:p>
      <w:pPr>
        <w:jc w:val="center"/>
        <w:ind w:right="-1139"/>
        <w:spacing w:after="0"/>
        <w:rPr>
          <w:sz w:val="20"/>
          <w:szCs w:val="20"/>
          <w:color w:val="auto"/>
        </w:rPr>
      </w:pPr>
      <w:r>
        <w:rPr>
          <w:rFonts w:ascii="Times New Roman" w:cs="Times New Roman" w:eastAsia="Times New Roman" w:hAnsi="Times New Roman"/>
          <w:sz w:val="22"/>
          <w:szCs w:val="22"/>
          <w:color w:val="auto"/>
        </w:rPr>
        <w:t>SECURITY NATIONAL FINANCIAL CORPORATION AND SUBSIDIARIES</w:t>
      </w:r>
    </w:p>
    <w:p>
      <w:pPr>
        <w:spacing w:after="0" w:line="28"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22"/>
          <w:szCs w:val="22"/>
          <w:color w:val="auto"/>
        </w:rPr>
        <w:t>Notes to Condensed Consolidated Financial Statements</w:t>
      </w:r>
    </w:p>
    <w:p>
      <w:pPr>
        <w:spacing w:after="0" w:line="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September 30, 2019 (Unaudited)</w:t>
      </w:r>
    </w:p>
    <w:p>
      <w:pPr>
        <w:spacing w:after="0" w:line="275" w:lineRule="exact"/>
        <w:rPr>
          <w:sz w:val="20"/>
          <w:szCs w:val="20"/>
          <w:color w:val="auto"/>
        </w:rPr>
      </w:pPr>
    </w:p>
    <w:p>
      <w:pPr>
        <w:ind w:left="680" w:hanging="672"/>
        <w:spacing w:after="0"/>
        <w:tabs>
          <w:tab w:leader="none" w:pos="6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investments as of December 31, 2018 are summarized as follows: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Gross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Estimated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Fair 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48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w w:val="99"/>
              </w:rPr>
              <w:t>December 31, 2018:</w:t>
            </w:r>
          </w:p>
        </w:tc>
        <w:tc>
          <w:tcPr>
            <w:tcW w:w="3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maturity securities held to maturity carried at amortized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Bonds: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52,017,683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264,891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(727,798)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51,554,776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6,959,237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(111,271)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157,639,860</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7,002,864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(3,704,137)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160,938,587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15,358,746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(308,864)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15,277,280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103,197</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fixed maturity securities held to maturity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232,078,723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7,529,330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(4,857,195)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234,750,858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8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6,312,158</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(1,176,075)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5,558,611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6,312,158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(1,176,075)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5,558,611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8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89,935,600</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71,366,544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27,785,927</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(1,275,030)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(1,347,972)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186,465,069</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net of accumulated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29,507,431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92,050,791</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121,558,222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8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Policy loans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6,424,325</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Insurance assignments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35,239,396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 Home Loan Bank stock (1)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2,548,700</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3,497,762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(1,092,528)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investments and policy loans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46,617,655</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3,566,146</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595,844,426</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right="2600" w:firstLine="9"/>
        <w:spacing w:after="0" w:line="28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$708,700 of Membership stock and $1,840,000 of Activity stock due to short-term borrowings.</w:t>
      </w:r>
    </w:p>
    <w:p>
      <w:pPr>
        <w:sectPr>
          <w:pgSz w:w="11900" w:h="16838" w:orient="portrait"/>
          <w:cols w:equalWidth="0" w:num="1">
            <w:col w:w="10280"/>
          </w:cols>
          <w:pgMar w:left="240" w:top="112" w:right="1379" w:bottom="1440" w:gutter="0" w:footer="0" w:header="0"/>
        </w:sectPr>
      </w:pPr>
    </w:p>
    <w:p>
      <w:pPr>
        <w:spacing w:after="0" w:line="3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12" w:right="1379" w:bottom="1440" w:gutter="0" w:footer="0" w:header="0"/>
          <w:type w:val="continuous"/>
        </w:sectPr>
      </w:pPr>
    </w:p>
    <w:bookmarkStart w:id="14" w:name="page15"/>
    <w:bookmarkEnd w:id="14"/>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680" w:hanging="672"/>
        <w:spacing w:after="0"/>
        <w:tabs>
          <w:tab w:leader="none" w:pos="6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Fixed Maturity Securities</w:t>
      </w:r>
    </w:p>
    <w:p>
      <w:pPr>
        <w:spacing w:after="0" w:line="2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following tables summarize unrealized losses on fixed maturity securities held to maturity, which are carried at amortized cost, at September 30, 2019 and December 31, 2018. The unrealized losses were primarily related to interest rate fluctuations. The tables set forth unrealized losses by duration with the fair value of the related fixed maturity securities: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Losses for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Losses for</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Less than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More than</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Twelve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Twelve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Months</w:t>
            </w:r>
          </w:p>
        </w:tc>
        <w:tc>
          <w:tcPr>
            <w:tcW w:w="2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c>
          <w:tcPr>
            <w:tcW w:w="180" w:type="dxa"/>
            <w:vAlign w:val="bottom"/>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Fair 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6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At September 30, 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 Government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$19,885,300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20,543,850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5,965,416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504,851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4,416,332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10,381,748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and other asset-backed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379,177</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32,671</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706,509</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42,738</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1,085,686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204,304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7,003,143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25,008,141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773,932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32,011,284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At December 31, 2018</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6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 Government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717,279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$39,930,052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727,798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40,625,915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subdivisions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1,791,257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2,889,517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4,680,774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2,514,549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61,090,431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1,189,588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11,767,349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3,704,137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72,857,780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Mortgage and other asset-backed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1,705,296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228,968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2,690,065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308,864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4,395,361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2,616,732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65,372,847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2,240,463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57,276,983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4,857,195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122,649,830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There were 47 securities with fair value of 97.6% of amortized cost at September 30, 2019. There were 361 securities with fair value of 96.2% of amortized cost at December 31, 2018. No credit losses have been recognized for the three and nine months ended September 30, 2019 and 2018.</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On a quarterly basis, the Company evaluates its fixed maturity securities held to maturity. This evaluation includes a review of current ratings by the National Association of Insurance Commissions (“NAIC”). Securities with a rating of 1 or 2 are considered investment grade and are not reviewed for impairment.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 Impairment losses are treated as credit losses as the Company holds fixed maturity securities to maturity unless the underlying conditions have changed in the financial instrument to require an impairment.</w:t>
      </w:r>
    </w:p>
    <w:p>
      <w:pPr>
        <w:spacing w:after="0" w:line="2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ectPr>
          <w:pgSz w:w="11900" w:h="16838" w:orient="portrait"/>
          <w:cols w:equalWidth="0" w:num="1">
            <w:col w:w="11420"/>
          </w:cols>
          <w:pgMar w:left="240" w:top="126" w:right="239" w:bottom="1045"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045" w:gutter="0" w:footer="0" w:header="0"/>
          <w:type w:val="continuous"/>
        </w:sectPr>
      </w:pPr>
    </w:p>
    <w:bookmarkStart w:id="15" w:name="page16"/>
    <w:bookmarkEnd w:id="15"/>
    <w:p>
      <w:pPr>
        <w:spacing w:after="0" w:line="27" w:lineRule="exact"/>
        <w:rPr>
          <w:sz w:val="20"/>
          <w:szCs w:val="20"/>
          <w:color w:val="auto"/>
        </w:rPr>
      </w:pPr>
    </w:p>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680" w:hanging="672"/>
        <w:spacing w:after="0"/>
        <w:tabs>
          <w:tab w:leader="none" w:pos="6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amortized cost and estimated fair value of fixed maturity securities held to maturity, at September 30, 2019, by contractual maturity, are shown below. Expected maturities may differ from contractual maturities because certain borrowers may have the right to call or prepay obligations with or without call or prepayment penalties.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Estimated</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Amortized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Fair</w:t>
            </w:r>
          </w:p>
        </w:tc>
        <w:tc>
          <w:tcPr>
            <w:tcW w:w="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2"/>
              </w:rPr>
              <w:t>Value</w:t>
            </w:r>
          </w:p>
        </w:tc>
        <w:tc>
          <w:tcPr>
            <w:tcW w:w="80" w:type="dxa"/>
            <w:vAlign w:val="bottom"/>
          </w:tcPr>
          <w:p>
            <w:pPr>
              <w:spacing w:after="0"/>
              <w:rPr>
                <w:sz w:val="20"/>
                <w:szCs w:val="20"/>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Held to Maturity:</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Due in 1 year</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3,135,187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3,152,560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in 2-5 years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85,443,407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87,087,887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Due in 5-10 years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66,438,645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71,147,090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in more than 10 years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67,608,634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78,223,031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17,020,727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17,710,031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103,197</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117,236</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held to maturity</w:t>
            </w:r>
          </w:p>
        </w:tc>
        <w:tc>
          <w:tcPr>
            <w:tcW w:w="2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239,749,797</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257,437,835</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Company is a member of the Federal Home Loan Bank of Des Moines (“FHLB”). The Company currently has deposited a total of $60,000,000, par value, of United States Treasury fixed maturity securities with FHLB. These securities generate interest income for the Company and are available to use as collateral on any cash borrowings from the FHLB. As of September 30, 2019, the Company owed $55,000,000 to the FHLB. This amount owed was paid in October 2019.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Securities</w:t>
      </w:r>
    </w:p>
    <w:p>
      <w:pPr>
        <w:spacing w:after="0" w:line="2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fair values for equity securities are based on quoted market prices. The Company recognizes the changes (unrealized gains and losses) in the fair value of these equity securities through earnings as part of gains on investments and other assets on the condensed consolidated statements of earnings instead of other comprehensive income on the condensed consolidated balance sheets.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Related Earnings</w:t>
      </w:r>
    </w:p>
    <w:p>
      <w:pPr>
        <w:spacing w:after="0" w:line="2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Company’s net realized gains and losses from sales, calls, and maturities, unrealized gains and losses on equity securities, and other than temporary impairments are summarized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18"/>
                <w:szCs w:val="18"/>
                <w:color w:val="auto"/>
              </w:rPr>
            </w:pPr>
          </w:p>
        </w:tc>
        <w:tc>
          <w:tcPr>
            <w:tcW w:w="2040" w:type="dxa"/>
            <w:vAlign w:val="bottom"/>
            <w:gridSpan w:val="5"/>
          </w:tcPr>
          <w:p>
            <w:pPr>
              <w:jc w:val="right"/>
              <w:ind w:right="290"/>
              <w:spacing w:after="0"/>
              <w:rPr>
                <w:sz w:val="20"/>
                <w:szCs w:val="20"/>
                <w:color w:val="auto"/>
              </w:rPr>
            </w:pPr>
            <w:r>
              <w:rPr>
                <w:rFonts w:ascii="Times New Roman" w:cs="Times New Roman" w:eastAsia="Times New Roman" w:hAnsi="Times New Roman"/>
                <w:sz w:val="18"/>
                <w:szCs w:val="18"/>
                <w:color w:val="auto"/>
              </w:rPr>
              <w:t>Nine Months Ended</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20"/>
                <w:szCs w:val="20"/>
                <w:color w:val="auto"/>
              </w:rPr>
            </w:pPr>
          </w:p>
        </w:tc>
        <w:tc>
          <w:tcPr>
            <w:tcW w:w="204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maturity securities held to maturity: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realized gains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113,849</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109,554</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362,475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397,190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realized losses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(31,670)</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(121,829)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(601,303)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Gains (losses) on securities sold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(13,933)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Unrealized gains and (losses) on securities held at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end of the period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(98,635)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284,192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676,589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realized gains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814,471</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26,060,598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realized losses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(1,076,762)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(165,334)</w:t>
            </w: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(3,060,716)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(542,100)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(519,673</w:t>
            </w:r>
          </w:p>
        </w:tc>
        <w:tc>
          <w:tcPr>
            <w:tcW w:w="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1,022,427</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261,095</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25,371,595</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 Includes a one-time gain of $22,252,000 from the sale of Dry Creek at East Village Apartments.</w:t>
      </w:r>
    </w:p>
    <w:p>
      <w:pPr>
        <w:spacing w:after="0" w:line="28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The net realized gains and losses on the sale of securities are recorded on the trade date, and the cost of the securities sold is determined using the specific identification method.</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carrying amount of held to maturity securities sold was $2,724,199 and $4,998,249 for the nine months ended September 30, 2019 and 2018, respectively. The net realized loss related to these sales was $12,394 and $243,023 for the nine months ended September 30, 2019 and 2018, respectively. Although the Company has the positive intent and ability to buy and hold a fixed maturity security to maturity, the Company will sell a security prior to maturity if conditions and circumstances have changed within the entity that issued the security to increase the risk of default to an unacceptable level.</w:t>
      </w:r>
    </w:p>
    <w:p>
      <w:pPr>
        <w:sectPr>
          <w:pgSz w:w="11900" w:h="16865" w:orient="portrait"/>
          <w:cols w:equalWidth="0" w:num="1">
            <w:col w:w="11420"/>
          </w:cols>
          <w:pgMar w:left="240" w:top="126" w:right="239" w:bottom="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color w:val="auto"/>
        </w:rPr>
        <w:t>SECURITY NATIONAL FINANCIAL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September 30, 2019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5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Investments (Continued)</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73"/>
        </w:trPr>
        <w:tc>
          <w:tcPr>
            <w:tcW w:w="6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Major categories of net investment income are as follows: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9"/>
        </w:trPr>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4"/>
                <w:szCs w:val="24"/>
                <w:color w:val="auto"/>
              </w:rPr>
            </w:pPr>
          </w:p>
        </w:tc>
        <w:tc>
          <w:tcPr>
            <w:tcW w:w="20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20"/>
                <w:szCs w:val="20"/>
                <w:color w:val="auto"/>
              </w:rPr>
            </w:pPr>
          </w:p>
        </w:tc>
        <w:tc>
          <w:tcPr>
            <w:tcW w:w="202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9"/>
                <w:szCs w:val="19"/>
                <w:color w:val="auto"/>
              </w:rPr>
            </w:pPr>
          </w:p>
        </w:tc>
      </w:tr>
      <w:tr>
        <w:trPr>
          <w:trHeight w:val="216"/>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held to maturity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2,563,481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2,481,202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7,596,035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7,521,884</w:t>
            </w:r>
          </w:p>
        </w:tc>
        <w:tc>
          <w:tcPr>
            <w:tcW w:w="8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176,126</w:t>
            </w:r>
          </w:p>
        </w:tc>
        <w:tc>
          <w:tcPr>
            <w:tcW w:w="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4,558,232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4,240,624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13,187,416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14,016,985</w:t>
            </w:r>
          </w:p>
        </w:tc>
        <w:tc>
          <w:tcPr>
            <w:tcW w:w="8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held for investment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2,259,064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2,124,138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6,266,286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6,423,996</w:t>
            </w:r>
          </w:p>
        </w:tc>
        <w:tc>
          <w:tcPr>
            <w:tcW w:w="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296,540</w:t>
            </w:r>
          </w:p>
        </w:tc>
        <w:tc>
          <w:tcPr>
            <w:tcW w:w="8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assignments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3,851,804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3,583,964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11,970,755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10,956,651</w:t>
            </w:r>
          </w:p>
        </w:tc>
        <w:tc>
          <w:tcPr>
            <w:tcW w:w="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186,594</w:t>
            </w:r>
          </w:p>
        </w:tc>
        <w:tc>
          <w:tcPr>
            <w:tcW w:w="80" w:type="dxa"/>
            <w:vAlign w:val="bottom"/>
            <w:shd w:val="clear" w:color="auto" w:fill="CCEEFF"/>
          </w:tcPr>
          <w:p>
            <w:pPr>
              <w:spacing w:after="0"/>
              <w:rPr>
                <w:sz w:val="18"/>
                <w:szCs w:val="18"/>
                <w:color w:val="auto"/>
              </w:rPr>
            </w:pPr>
          </w:p>
        </w:tc>
      </w:tr>
      <w:tr>
        <w:trPr>
          <w:trHeight w:val="223"/>
        </w:trPr>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398,997</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375,310</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1,363,873</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752,339</w:t>
            </w:r>
          </w:p>
        </w:tc>
        <w:tc>
          <w:tcPr>
            <w:tcW w:w="80" w:type="dxa"/>
            <w:vAlign w:val="bottom"/>
          </w:tcPr>
          <w:p>
            <w:pPr>
              <w:spacing w:after="0"/>
              <w:rPr>
                <w:sz w:val="19"/>
                <w:szCs w:val="19"/>
                <w:color w:val="auto"/>
              </w:rPr>
            </w:pPr>
          </w:p>
        </w:tc>
      </w:tr>
      <w:tr>
        <w:trPr>
          <w:trHeight w:val="216"/>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13,819,748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13,011,546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41,026,906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40,331,115</w:t>
            </w:r>
          </w:p>
        </w:tc>
        <w:tc>
          <w:tcPr>
            <w:tcW w:w="80" w:type="dxa"/>
            <w:vAlign w:val="bottom"/>
            <w:shd w:val="clear" w:color="auto" w:fill="CCEEFF"/>
          </w:tcPr>
          <w:p>
            <w:pPr>
              <w:spacing w:after="0"/>
              <w:rPr>
                <w:sz w:val="18"/>
                <w:szCs w:val="18"/>
                <w:color w:val="auto"/>
              </w:rPr>
            </w:pPr>
          </w:p>
        </w:tc>
      </w:tr>
      <w:tr>
        <w:trPr>
          <w:trHeight w:val="223"/>
        </w:trPr>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(3,341,182)</w:t>
            </w:r>
          </w:p>
        </w:tc>
        <w:tc>
          <w:tcPr>
            <w:tcW w:w="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(3,370,050)</w:t>
            </w: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(9,965,837)</w:t>
            </w:r>
          </w:p>
        </w:tc>
        <w:tc>
          <w:tcPr>
            <w:tcW w:w="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(10,873,223)</w:t>
            </w:r>
          </w:p>
        </w:tc>
      </w:tr>
      <w:tr>
        <w:trPr>
          <w:trHeight w:val="257"/>
        </w:trPr>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10,478,566</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9,641,496</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31,061,069</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29,457,892</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Net investment income includes income earned by the restricted assets cemeteries and mortuaries of $102,888 and $81,486 for the three months ended September 30, 2019 and 2018, respectively, and $323,404 and $287,545 for the nine months ended September 30, 2019 and 2018, respectively.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investment income on real estate consists primarily of rental revenue.</w:t>
      </w:r>
    </w:p>
    <w:p>
      <w:pPr>
        <w:spacing w:after="0" w:line="2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Investment expenses consist primarily of depreciation, property taxes, operating expenses of real estate and an estimated portion of administrative expenses relating to investment activities.</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Securities on deposit with regulatory authorities as required by law amounted to $9,070,694 at September 30, 2019 and $9,220,520 at December 31, 2018. These restricted securities are included in various assets under investments on the accompanying condensed consolidated balance sheets.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There were no investments, aggregated by issuer, in excess of 10% of shareholders’ equity (before net unrealized gains and losses on equity securities) at September 30, 2019, other than investments issued or guaranteed by the United States Government.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Real Estate Held for Investment</w:t>
      </w:r>
    </w:p>
    <w:p>
      <w:pPr>
        <w:spacing w:after="0" w:line="291" w:lineRule="exact"/>
        <w:rPr>
          <w:sz w:val="20"/>
          <w:szCs w:val="20"/>
          <w:color w:val="auto"/>
        </w:rPr>
      </w:pPr>
    </w:p>
    <w:p>
      <w:pPr>
        <w:jc w:val="both"/>
        <w:ind w:firstLine="67"/>
        <w:spacing w:after="0" w:line="270" w:lineRule="auto"/>
        <w:rPr>
          <w:sz w:val="20"/>
          <w:szCs w:val="20"/>
          <w:color w:val="auto"/>
        </w:rPr>
      </w:pPr>
      <w:r>
        <w:rPr>
          <w:rFonts w:ascii="Times New Roman" w:cs="Times New Roman" w:eastAsia="Times New Roman" w:hAnsi="Times New Roman"/>
          <w:sz w:val="22"/>
          <w:szCs w:val="22"/>
          <w:color w:val="auto"/>
        </w:rPr>
        <w:t>The Company continues to strategically deploy resources into real estate to match the income and yield durations of its primary obligations. The sources for these real estate assets come through its various business units in the form of acquisition, development and mortgage foreclosures.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Commercial Real Estate Held for Investment</w:t>
      </w:r>
    </w:p>
    <w:p>
      <w:pPr>
        <w:spacing w:after="0" w:line="2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Company employs full-time employees to attend to the day-to-day operations of those assets within the greater Salt Lake area and close surrounding markets. The Company utilizes third party property managers when the geographic boundary does not warrant full-time staff or through strategic lease-up periods. The Company generally looks to acquire assets in regions that are high growth regions for employment and population and in assets that provide operational efficiencies.</w:t>
      </w: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Company currently owns and operates 12 commercial properties in 5 states. These properties include industrial warehouses, office buildings, retail centers, a restaurant, and includes the redevelopment and expansion of its corporate campus (“Center53”) in Salt Lake City, Utah. The Company also holds undeveloped land that may be used for future commercial developments. The Company uses bank debt in strategic cases to leverage established yields or to acquire a higher quality or different class of asset.</w:t>
      </w:r>
    </w:p>
    <w:p>
      <w:pPr>
        <w:sectPr>
          <w:pgSz w:w="11900" w:h="16838" w:orient="portrait"/>
          <w:cols w:equalWidth="0" w:num="1">
            <w:col w:w="11420"/>
          </w:cols>
          <w:pgMar w:left="240" w:top="112" w:right="239" w:bottom="73" w:gutter="0" w:footer="0" w:header="0"/>
        </w:sectPr>
      </w:pP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73"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color w:val="auto"/>
        </w:rPr>
        <w:t>SECURITY NATIONAL FINANCIAL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September 30, 2019 (Unaudited)</w:t>
      </w:r>
    </w:p>
    <w:p>
      <w:pPr>
        <w:spacing w:after="0" w:line="275" w:lineRule="exact"/>
        <w:rPr>
          <w:sz w:val="20"/>
          <w:szCs w:val="20"/>
          <w:color w:val="auto"/>
        </w:rPr>
      </w:pPr>
    </w:p>
    <w:p>
      <w:pPr>
        <w:ind w:left="680" w:hanging="672"/>
        <w:spacing w:after="0"/>
        <w:tabs>
          <w:tab w:leader="none" w:pos="6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aggregated net ending balance of commercial real estate that serves as collateral for bank borrowings was approximately $87,696,000 and $84,880,000 as of September 30, 2019 and December 31, 2018, respectively. The associated bank loan carrying values totaled approximately $54,037,000 and $52,237,000 as of September 30, 2019 and December 31, 2018, respectively.</w:t>
      </w:r>
    </w:p>
    <w:p>
      <w:pPr>
        <w:spacing w:after="0" w:line="2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During the three months ended September 30, 2019 and 2018, the Company recorded impairment losses on commercial real estate held for investment of $790,827 and $-0-, respectively and during the nine months ended September 30, 2019 and 2018, the Company recorded impairment losses on commercial real estate held for investment of $2,658,024 and $-0-, respectively. The impairment loss of $1,867,197 recognized in the second quarter of 2019 relates to an office building held by the life insurance segment for which the Company received an unsolicited bid in May 2019 from a potential buyer that was significantly below the building’s carrying value. Although management did not consider the offer as representative of fair value, the Company evaluated the unsolicited bid as a potential impairment indicator and performed an additional impairment analysis internally, concluding based on management’s best estimates that the fair value of the building was less than its carrying value. During the third quarter of 2019, the Company obtained an independent appraisal from an outside commercial real estate valuation firm. This appraisal indicated an additional impairment of $790,827 which the Company recognized in the third quarter 2019. These impairment losses are included in gains (losses) on investment and other assets on the condensed consolidated statements of earnings.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a summary of the Company’s commercial real estate held for investment for the periods presented:</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color w:val="auto"/>
              </w:rPr>
              <w:t>Net Ending Balance</w:t>
            </w:r>
          </w:p>
        </w:tc>
        <w:tc>
          <w:tcPr>
            <w:tcW w:w="340" w:type="dxa"/>
            <w:vAlign w:val="bottom"/>
          </w:tcPr>
          <w:p>
            <w:pPr>
              <w:spacing w:after="0"/>
              <w:rPr>
                <w:sz w:val="20"/>
                <w:szCs w:val="20"/>
                <w:color w:val="auto"/>
              </w:rPr>
            </w:pPr>
          </w:p>
        </w:tc>
        <w:tc>
          <w:tcPr>
            <w:tcW w:w="19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Total Square Footage</w:t>
            </w:r>
          </w:p>
        </w:tc>
        <w:tc>
          <w:tcPr>
            <w:tcW w:w="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9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September</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7"/>
              </w:rPr>
              <w:t>December</w:t>
            </w:r>
          </w:p>
        </w:tc>
        <w:tc>
          <w:tcPr>
            <w:tcW w:w="34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September</w:t>
            </w:r>
          </w:p>
        </w:tc>
        <w:tc>
          <w:tcPr>
            <w:tcW w:w="160" w:type="dxa"/>
            <w:vAlign w:val="bottom"/>
          </w:tcPr>
          <w:p>
            <w:pPr>
              <w:spacing w:after="0"/>
              <w:rPr>
                <w:sz w:val="17"/>
                <w:szCs w:val="17"/>
                <w:color w:val="auto"/>
              </w:rPr>
            </w:pPr>
          </w:p>
        </w:tc>
        <w:tc>
          <w:tcPr>
            <w:tcW w:w="9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December</w:t>
            </w:r>
          </w:p>
        </w:tc>
        <w:tc>
          <w:tcPr>
            <w:tcW w:w="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Arizona</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Kansas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4,714,777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6,861,898</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222,679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Louisiana</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456,437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467,694</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Mississippi</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3,288,045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3,329,948</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33,821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655,499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New Mexico</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Utah</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84,209,042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81,080,251</w:t>
            </w:r>
          </w:p>
        </w:tc>
        <w:tc>
          <w:tcPr>
            <w:tcW w:w="3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502,129</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502,129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93,634,800</w:t>
            </w:r>
          </w:p>
        </w:tc>
        <w:tc>
          <w:tcPr>
            <w:tcW w:w="3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92,050,791</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770,492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765,692</w:t>
            </w:r>
          </w:p>
        </w:tc>
        <w:tc>
          <w:tcPr>
            <w:tcW w:w="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0" w:hanging="251"/>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Undeveloped land</w:t>
      </w:r>
    </w:p>
    <w:p>
      <w:pPr>
        <w:spacing w:after="0" w:line="27" w:lineRule="exact"/>
        <w:rPr>
          <w:rFonts w:ascii="Times New Roman" w:cs="Times New Roman" w:eastAsia="Times New Roman" w:hAnsi="Times New Roman"/>
          <w:sz w:val="18"/>
          <w:szCs w:val="18"/>
          <w:color w:val="auto"/>
        </w:rPr>
      </w:pPr>
    </w:p>
    <w:p>
      <w:pPr>
        <w:ind w:left="1400" w:hanging="251"/>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commercial pad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Residential Real Estate Held for Investment</w:t>
      </w:r>
    </w:p>
    <w:p>
      <w:pPr>
        <w:spacing w:after="0" w:line="2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Company owns a portfolio of residential homes primarily as a result of loan foreclosures. The strategy has been to lease these homes to produce cash flow and allow time for the economic fundamentals to return to the various markets. As an orderly and active market for these homes returns, the Company has the option to dispose or to continue and hold them for cash flow and acceptable returns.</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September 30, 2019, SNRE manages 50 residential properties in 6 states across the United States.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net ending balance of foreclosed residential real estate included in residential real estate held for investment is $16,073,000 and $23,532,000 as of September 30, 2019 and December 31, 2018, respectively.</w:t>
      </w:r>
    </w:p>
    <w:p>
      <w:pPr>
        <w:sectPr>
          <w:pgSz w:w="11900" w:h="16838" w:orient="portrait"/>
          <w:cols w:equalWidth="0" w:num="1">
            <w:col w:w="11420"/>
          </w:cols>
          <w:pgMar w:left="240" w:top="112" w:right="239" w:bottom="1126"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126" w:gutter="0" w:footer="0" w:header="0"/>
          <w:type w:val="continuous"/>
        </w:sectPr>
      </w:pPr>
    </w:p>
    <w:bookmarkStart w:id="19" w:name="page20"/>
    <w:bookmarkEnd w:id="19"/>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680" w:hanging="672"/>
        <w:spacing w:after="0"/>
        <w:tabs>
          <w:tab w:leader="none" w:pos="6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During the three months ended September 30, 2019 and 2018, the Company recorded impairment losses on residential real estate held for investment of $125,980 and $-0-, respectively, and during the nine months ended September 30, 2019 and 2018, the Company recorded impairment losses on residential real estate held for investment of $125,980 and $147,925, respectively. These impairment losses are included in gains (losses) on investment and other assets on the condensed consolidated statements of earnings.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a summary of the Company’s residential real estate held for investment for the periods presented:</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Net Ending Balance</w:t>
            </w:r>
          </w:p>
        </w:tc>
        <w:tc>
          <w:tcPr>
            <w:tcW w:w="8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9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September</w:t>
            </w:r>
          </w:p>
        </w:tc>
        <w:tc>
          <w:tcPr>
            <w:tcW w:w="180" w:type="dxa"/>
            <w:vAlign w:val="bottom"/>
          </w:tcPr>
          <w:p>
            <w:pPr>
              <w:spacing w:after="0"/>
              <w:rPr>
                <w:sz w:val="17"/>
                <w:szCs w:val="17"/>
                <w:color w:val="auto"/>
              </w:rPr>
            </w:pP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December</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1,565,639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2,644,321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5,158,218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6,534,277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Tennessee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139,174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16,005,560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19,598,218</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Washington</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476,181</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476,181</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23,420,598</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29,507,431</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Real Estate Owned and Occupied by the Company</w:t>
      </w:r>
    </w:p>
    <w:p>
      <w:pPr>
        <w:spacing w:after="0" w:line="2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The primary business units of the Company occupy a portion of the real estate owned by the Company. Currently, the Company occupies nearly 70,000 square feet, or approximately 10% of the overall commercial real estate holdings.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September 30, 2019, real estate owned and occupied by the Company is summarized as follows: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Square</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Footage</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Approximate</w:t>
            </w:r>
          </w:p>
        </w:tc>
        <w:tc>
          <w:tcPr>
            <w:tcW w:w="16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Occupied</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Square</w:t>
            </w:r>
          </w:p>
        </w:tc>
        <w:tc>
          <w:tcPr>
            <w:tcW w:w="16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by the</w:t>
            </w:r>
          </w:p>
        </w:tc>
      </w:tr>
      <w:tr>
        <w:trPr>
          <w:trHeight w:val="241"/>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Location</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 Segment</w:t>
            </w:r>
          </w:p>
        </w:tc>
        <w:tc>
          <w:tcPr>
            <w:tcW w:w="8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Footage</w:t>
            </w:r>
          </w:p>
        </w:tc>
        <w:tc>
          <w:tcPr>
            <w:tcW w:w="16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198"/>
        </w:trPr>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5300</w:t>
            </w:r>
          </w:p>
        </w:tc>
        <w:tc>
          <w:tcPr>
            <w:tcW w:w="294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South 360 West, Salt Lake City, UT (1)</w:t>
            </w:r>
          </w:p>
        </w:tc>
        <w:tc>
          <w:tcPr>
            <w:tcW w:w="3560" w:type="dxa"/>
            <w:vAlign w:val="bottom"/>
            <w:tcBorders>
              <w:top w:val="single" w:sz="8" w:color="auto"/>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Corporate Offices, Life Insurance and</w:t>
            </w:r>
          </w:p>
        </w:tc>
        <w:tc>
          <w:tcPr>
            <w:tcW w:w="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Cemetery/Mortuary Operations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5201</w:t>
            </w: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Green Street, Salt Lake City, UT</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Mortgage Operations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1044</w:t>
            </w: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River Oaks Dr., Flowood, MS</w:t>
            </w:r>
          </w:p>
        </w:tc>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Life Insurance Operations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21,521</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 West Election Road, Draper, UT</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Mortgage Sales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78,978</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bl>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 This asset is included in property and equipment on the condensed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Mortgage Loans Held for Investment</w:t>
      </w:r>
    </w:p>
    <w:p>
      <w:pPr>
        <w:spacing w:after="0" w:line="2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Mortgage loans held for investment consist of first and second mortgages. The mortgage loans bear interest at rates ranging from 2.0% 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September 30, 2019, the Company had 55%, 13%, 12%, 5%, 5%, 4% and 2% of its mortgage loans from borrowers located in the states of Utah, Florida, Texas, California, Nevada, Arizona, and Tennessee, respectively.</w:t>
      </w:r>
    </w:p>
    <w:p>
      <w:pPr>
        <w:sectPr>
          <w:pgSz w:w="11900" w:h="16838" w:orient="portrait"/>
          <w:cols w:equalWidth="0" w:num="1">
            <w:col w:w="11420"/>
          </w:cols>
          <w:pgMar w:left="240" w:top="126" w:right="239" w:bottom="1072"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072" w:gutter="0" w:footer="0" w:header="0"/>
          <w:type w:val="continuous"/>
        </w:sectPr>
      </w:pPr>
    </w:p>
    <w:bookmarkStart w:id="20" w:name="page21"/>
    <w:bookmarkEnd w:id="20"/>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680" w:hanging="672"/>
        <w:spacing w:after="0"/>
        <w:tabs>
          <w:tab w:leader="none" w:pos="6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Mortgage loans held for investment are carried at their unpaid principal balances adjusted for net deferred fees, charge-offs and the related allowance for loan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condensed consolidated statements of earnings.</w:t>
      </w: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The Company will rent the properties until it is deemed desirable to sell them.</w:t>
      </w: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u w:val="single" w:color="auto"/>
          <w:color w:val="auto"/>
        </w:rPr>
        <w:t>Commercial</w:t>
      </w:r>
      <w:r>
        <w:rPr>
          <w:rFonts w:ascii="Times New Roman" w:cs="Times New Roman" w:eastAsia="Times New Roman" w:hAnsi="Times New Roman"/>
          <w:sz w:val="22"/>
          <w:szCs w:val="22"/>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2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u w:val="single" w:color="auto"/>
          <w:color w:val="auto"/>
        </w:rPr>
        <w:t>Residential</w:t>
      </w:r>
      <w:r>
        <w:rPr>
          <w:rFonts w:ascii="Times New Roman" w:cs="Times New Roman" w:eastAsia="Times New Roman" w:hAnsi="Times New Roman"/>
          <w:sz w:val="22"/>
          <w:szCs w:val="22"/>
          <w:color w:val="auto"/>
        </w:rPr>
        <w:t xml:space="preserve"> – Secured by family dwelling units. These loans are secured by first mortgages on the unit, which are generally the primary residence of the borrower, generally at a loan-to-value ratio (“LTV”) of 80% or less.</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u w:val="single" w:color="auto"/>
          <w:color w:val="auto"/>
        </w:rPr>
        <w:t>Residential construction (including land acquisition and development)</w:t>
      </w:r>
      <w:r>
        <w:rPr>
          <w:rFonts w:ascii="Times New Roman" w:cs="Times New Roman" w:eastAsia="Times New Roman" w:hAnsi="Times New Roman"/>
          <w:sz w:val="22"/>
          <w:szCs w:val="22"/>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ectPr>
          <w:pgSz w:w="11900" w:h="16838" w:orient="portrait"/>
          <w:cols w:equalWidth="0" w:num="1">
            <w:col w:w="11420"/>
          </w:cols>
          <w:pgMar w:left="240" w:top="126" w:right="239"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21" w:name="page22"/>
    <w:bookmarkEnd w:id="21"/>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87"/>
              </w:rPr>
              <w:t>3)</w:t>
            </w:r>
          </w:p>
        </w:tc>
        <w:tc>
          <w:tcPr>
            <w:tcW w:w="4920" w:type="dxa"/>
            <w:vAlign w:val="bottom"/>
            <w:gridSpan w:val="7"/>
          </w:tcPr>
          <w:p>
            <w:pPr>
              <w:ind w:left="240"/>
              <w:spacing w:after="0"/>
              <w:rPr>
                <w:sz w:val="20"/>
                <w:szCs w:val="20"/>
                <w:color w:val="auto"/>
              </w:rPr>
            </w:pPr>
            <w:r>
              <w:rPr>
                <w:rFonts w:ascii="Times New Roman" w:cs="Times New Roman" w:eastAsia="Times New Roman" w:hAnsi="Times New Roman"/>
                <w:sz w:val="22"/>
                <w:szCs w:val="22"/>
                <w:color w:val="auto"/>
              </w:rPr>
              <w:t>Investments (Continued)</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60" w:type="dxa"/>
            <w:vAlign w:val="bottom"/>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Allowance for Credit Losses and Recorded Investment in Mortgage Loans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Commercial</w:t>
            </w:r>
          </w:p>
        </w:tc>
        <w:tc>
          <w:tcPr>
            <w:tcW w:w="160" w:type="dxa"/>
            <w:vAlign w:val="bottom"/>
          </w:tcPr>
          <w:p>
            <w:pPr>
              <w:spacing w:after="0"/>
              <w:rPr>
                <w:sz w:val="21"/>
                <w:szCs w:val="21"/>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Borders>
              <w:bottom w:val="single" w:sz="8" w:color="auto"/>
            </w:tcBorders>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2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8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2019</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1,125,623</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1,347,972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(21,786)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(32,692)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Ending balance - September 30, 2019</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1,071,145</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1,301,476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4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30,341</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4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1,040,804</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1,271,135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4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26,720,812</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79,853,121</w:t>
            </w:r>
          </w:p>
        </w:tc>
        <w:tc>
          <w:tcPr>
            <w:tcW w:w="16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92,602,632</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199,176,565</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4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4,470,805</w:t>
            </w:r>
          </w:p>
        </w:tc>
        <w:tc>
          <w:tcPr>
            <w:tcW w:w="16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4,820,805</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4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26,720,812</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75,382,316</w:t>
            </w:r>
          </w:p>
        </w:tc>
        <w:tc>
          <w:tcPr>
            <w:tcW w:w="16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92,252,632</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194,355,760</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4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2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2018</w:t>
            </w:r>
          </w:p>
        </w:tc>
        <w:tc>
          <w:tcPr>
            <w:tcW w:w="5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2018</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1,546,447</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1,768,796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(415,099)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(415,099)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Ending balance - December 31, 2018</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1,125,623</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35,220</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1,347,972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4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74,185</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4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1,051,438</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35,220</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1,273,787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4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27,785,927</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89,935,600</w:t>
            </w:r>
          </w:p>
        </w:tc>
        <w:tc>
          <w:tcPr>
            <w:tcW w:w="16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71,366,544</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189,088,071</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4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196,182</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2,939,651</w:t>
            </w:r>
          </w:p>
        </w:tc>
        <w:tc>
          <w:tcPr>
            <w:tcW w:w="16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502,991</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3,638,824</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4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27,589,745</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86,995,949</w:t>
            </w:r>
          </w:p>
        </w:tc>
        <w:tc>
          <w:tcPr>
            <w:tcW w:w="16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70,863,553</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185,449,247</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4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2" w:name="page23"/>
    <w:bookmarkEnd w:id="22"/>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680" w:hanging="672"/>
        <w:spacing w:after="0"/>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a summary of the aging of mortgage loans held for investment for the periods presented: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40" w:type="dxa"/>
            <w:vAlign w:val="bottom"/>
            <w:gridSpan w:val="15"/>
          </w:tcPr>
          <w:p>
            <w:pPr>
              <w:ind w:left="600"/>
              <w:spacing w:after="0"/>
              <w:rPr>
                <w:sz w:val="20"/>
                <w:szCs w:val="20"/>
                <w:color w:val="auto"/>
              </w:rPr>
            </w:pPr>
            <w:r>
              <w:rPr>
                <w:rFonts w:ascii="Times New Roman" w:cs="Times New Roman" w:eastAsia="Times New Roman" w:hAnsi="Times New Roman"/>
                <w:sz w:val="18"/>
                <w:szCs w:val="18"/>
                <w:b w:val="1"/>
                <w:bCs w:val="1"/>
                <w:color w:val="auto"/>
              </w:rPr>
              <w:t>Age Analysis of Mortgage Loans Held for Investment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Greater</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Process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Unamortized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60-89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Than</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deferred</w:t>
            </w:r>
          </w:p>
        </w:tc>
        <w:tc>
          <w:tcPr>
            <w:tcW w:w="1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30-59 Days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Foreclosure</w:t>
            </w:r>
          </w:p>
        </w:tc>
        <w:tc>
          <w:tcPr>
            <w:tcW w:w="100" w:type="dxa"/>
            <w:vAlign w:val="bottom"/>
          </w:tcPr>
          <w:p>
            <w:pPr>
              <w:spacing w:after="0"/>
              <w:rPr>
                <w:sz w:val="18"/>
                <w:szCs w:val="18"/>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Mortgage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loan fees,</w:t>
            </w:r>
          </w:p>
        </w:tc>
        <w:tc>
          <w:tcPr>
            <w:tcW w:w="1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Mortgage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September 30, 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25,220,812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26,720,812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(187,129)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26,527,036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8,478,442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1,745,409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3,659,589</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811,216</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14,694,656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65,158,465</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79,853,121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(1,071,145)</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(637,408)</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78,144,568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200,963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437,819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988,782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91,613,850</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92,602,632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(43,202)</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(722,131)</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91,837,299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10,179,405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2,183,228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4,009,589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811,216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17,183,438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181,993,127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199,176,565</w:t>
            </w:r>
          </w:p>
        </w:tc>
        <w:tc>
          <w:tcPr>
            <w:tcW w:w="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(1,301,476)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(1,366,186)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196,508,903</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gridSpan w:val="2"/>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4,588,424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196,182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4,784,606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23,001,321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27,785,927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(187,129)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32,003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27,630,801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9,899,380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2,312,252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1,715,362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15,151,283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74,784,317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89,935,600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(1,125,623)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(862,411)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87,947,566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80" w:type="dxa"/>
            <w:vAlign w:val="bottom"/>
          </w:tcPr>
          <w:p>
            <w:pPr>
              <w:spacing w:after="0"/>
              <w:rPr>
                <w:sz w:val="20"/>
                <w:szCs w:val="20"/>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502,991</w:t>
            </w: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502,991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70,863,553</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71,366,544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(35,220)</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(444,622)</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70,886,702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8"/>
              </w:rPr>
              <w:t>14,487,804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2,312,252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1,911,544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1,727,280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20,438,880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168,649,191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189,088,071</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(1,347,972)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(1,275,030)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186,465,069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Interest income is not recognized on loans past due greater than 90 days or in foreclosure.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3" w:name="page24"/>
    <w:bookmarkEnd w:id="23"/>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680" w:hanging="672"/>
        <w:spacing w:after="0"/>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Impaired Mortgage Loans Held for Investment</w:t>
      </w:r>
    </w:p>
    <w:p>
      <w:pPr>
        <w:spacing w:after="0" w:line="2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were as follows: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Impaired Loans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Unpaid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Recorded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Allowance</w:t>
            </w:r>
          </w:p>
        </w:tc>
        <w:tc>
          <w:tcPr>
            <w:tcW w:w="160" w:type="dxa"/>
            <w:vAlign w:val="bottom"/>
          </w:tcPr>
          <w:p>
            <w:pPr>
              <w:spacing w:after="0"/>
              <w:rPr>
                <w:sz w:val="21"/>
                <w:szCs w:val="21"/>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60" w:type="dxa"/>
            <w:vAlign w:val="bottom"/>
          </w:tcPr>
          <w:p>
            <w:pPr>
              <w:spacing w:after="0"/>
              <w:rPr>
                <w:sz w:val="21"/>
                <w:szCs w:val="21"/>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520" w:type="dxa"/>
            <w:vAlign w:val="bottom"/>
            <w:tcBorders>
              <w:bottom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1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502,484</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4,196,527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4,196,527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3,738,138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1,724,705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502,484</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4,470,805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4,470,805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4,125,825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1,724,705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2018</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98,023</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1,612,164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1,612,164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2,423,135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1,543,416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98,023</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2,939,651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2,939,651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3,966,551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Credit Risk Profile Based on Performance Status</w:t>
      </w:r>
    </w:p>
    <w:p>
      <w:pPr>
        <w:spacing w:after="0" w:line="2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ectPr>
          <w:pgSz w:w="11900" w:h="16838" w:orient="portrait"/>
          <w:cols w:equalWidth="0" w:num="1">
            <w:col w:w="11420"/>
          </w:cols>
          <w:pgMar w:left="240" w:top="126" w:right="239"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24" w:name="page25"/>
    <w:bookmarkEnd w:id="24"/>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680" w:hanging="672"/>
        <w:spacing w:after="0"/>
        <w:tabs>
          <w:tab w:leader="none" w:pos="6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performing and non-performing mortgage loans held for investment were as follows:</w:t>
      </w:r>
    </w:p>
    <w:p>
      <w:pPr>
        <w:spacing w:after="0" w:line="2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Mortgage Loans Held for Investment Credit Exposure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Credit Risk Profile Based on Payment Activity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16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1"/>
                <w:szCs w:val="21"/>
                <w:color w:val="auto"/>
              </w:rPr>
            </w:pPr>
          </w:p>
        </w:tc>
        <w:tc>
          <w:tcPr>
            <w:tcW w:w="22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21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Residential Construction</w:t>
            </w:r>
          </w:p>
        </w:tc>
        <w:tc>
          <w:tcPr>
            <w:tcW w:w="120" w:type="dxa"/>
            <w:vAlign w:val="bottom"/>
          </w:tcPr>
          <w:p>
            <w:pPr>
              <w:spacing w:after="0"/>
              <w:rPr>
                <w:sz w:val="21"/>
                <w:szCs w:val="21"/>
                <w:color w:val="auto"/>
              </w:rPr>
            </w:pPr>
          </w:p>
        </w:tc>
        <w:tc>
          <w:tcPr>
            <w:tcW w:w="2340" w:type="dxa"/>
            <w:vAlign w:val="bottom"/>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December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9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w:t>
            </w:r>
          </w:p>
        </w:tc>
        <w:tc>
          <w:tcPr>
            <w:tcW w:w="220" w:type="dxa"/>
            <w:vAlign w:val="bottom"/>
          </w:tcPr>
          <w:p>
            <w:pPr>
              <w:spacing w:after="0"/>
              <w:rPr>
                <w:sz w:val="16"/>
                <w:szCs w:val="16"/>
                <w:color w:val="auto"/>
              </w:rPr>
            </w:pPr>
          </w:p>
        </w:tc>
        <w:tc>
          <w:tcPr>
            <w:tcW w:w="1020" w:type="dxa"/>
            <w:vAlign w:val="bottom"/>
            <w:tcBorders>
              <w:top w:val="single" w:sz="8" w:color="auto"/>
            </w:tcBorders>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December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1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00" w:type="dxa"/>
            <w:vAlign w:val="bottom"/>
          </w:tcPr>
          <w:p>
            <w:pPr>
              <w:spacing w:after="0"/>
              <w:rPr>
                <w:sz w:val="18"/>
                <w:szCs w:val="18"/>
                <w:color w:val="auto"/>
              </w:rPr>
            </w:pP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8"/>
                <w:szCs w:val="18"/>
                <w:color w:val="auto"/>
              </w:rPr>
            </w:pP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00" w:type="dxa"/>
            <w:vAlign w:val="bottom"/>
          </w:tcPr>
          <w:p>
            <w:pPr>
              <w:spacing w:after="0"/>
              <w:rPr>
                <w:sz w:val="18"/>
                <w:szCs w:val="18"/>
                <w:color w:val="auto"/>
              </w:rPr>
            </w:pP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20" w:type="dxa"/>
            <w:vAlign w:val="bottom"/>
          </w:tcPr>
          <w:p>
            <w:pPr>
              <w:spacing w:after="0"/>
              <w:rPr>
                <w:sz w:val="18"/>
                <w:szCs w:val="18"/>
                <w:color w:val="auto"/>
              </w:rPr>
            </w:pP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2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124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140" w:type="dxa"/>
            <w:vAlign w:val="bottom"/>
            <w:gridSpan w:val="3"/>
          </w:tcPr>
          <w:p>
            <w:pPr>
              <w:spacing w:after="0"/>
              <w:rPr>
                <w:sz w:val="18"/>
                <w:szCs w:val="18"/>
                <w:color w:val="auto"/>
              </w:rPr>
            </w:pPr>
          </w:p>
        </w:tc>
        <w:tc>
          <w:tcPr>
            <w:tcW w:w="1240" w:type="dxa"/>
            <w:vAlign w:val="bottom"/>
            <w:gridSpan w:val="3"/>
          </w:tcPr>
          <w:p>
            <w:pPr>
              <w:spacing w:after="0"/>
              <w:rPr>
                <w:sz w:val="18"/>
                <w:szCs w:val="18"/>
                <w:color w:val="auto"/>
              </w:rPr>
            </w:pPr>
          </w:p>
        </w:tc>
        <w:tc>
          <w:tcPr>
            <w:tcW w:w="12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$ 26,720,812</w:t>
            </w:r>
          </w:p>
        </w:tc>
        <w:tc>
          <w:tcPr>
            <w:tcW w:w="12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$ 27,589,745</w:t>
            </w:r>
          </w:p>
        </w:tc>
        <w:tc>
          <w:tcPr>
            <w:tcW w:w="12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$ 75,382,316</w:t>
            </w:r>
          </w:p>
        </w:tc>
        <w:tc>
          <w:tcPr>
            <w:tcW w:w="11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$ 86,995,949</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$ 92,252,632</w:t>
            </w:r>
          </w:p>
        </w:tc>
        <w:tc>
          <w:tcPr>
            <w:tcW w:w="11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$ 70,863,553</w:t>
            </w:r>
          </w:p>
        </w:tc>
        <w:tc>
          <w:tcPr>
            <w:tcW w:w="1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$ 194,355,760</w:t>
            </w:r>
          </w:p>
        </w:tc>
        <w:tc>
          <w:tcPr>
            <w:tcW w:w="12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$ 185,449,247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4,470,805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2,939,651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4,820,805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3,638,824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26,720,812</w:t>
            </w:r>
          </w:p>
        </w:tc>
        <w:tc>
          <w:tcPr>
            <w:tcW w:w="12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27,785,927</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79,853,121</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89,935,600</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92,602,632</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71,366,544</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199,176,565</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189,088,071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Non-Accrual Mortgage Loans Held for Investment</w:t>
      </w:r>
    </w:p>
    <w:p>
      <w:pPr>
        <w:spacing w:after="0" w:line="2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Once a loan is past due 90 days, it is the policy of the Company to end the accrual of interest income on the loan and write off any interest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$183,000 and $151,000 as of September 30, 2019 and December 31, 2018, respectively.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a summary of mortgage loans held for investment on a non-accrual status for the periods presented.</w:t>
      </w:r>
    </w:p>
    <w:p>
      <w:pPr>
        <w:spacing w:after="0" w:line="27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Mortgage Loans on</w:t>
      </w:r>
    </w:p>
    <w:p>
      <w:pPr>
        <w:spacing w:after="0" w:line="3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Non-Accrual Status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As of</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As of</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4,470,805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2,939,651</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502,991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4,820,805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3,638,824</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left="720" w:hanging="712"/>
        <w:spacing w:after="0"/>
        <w:tabs>
          <w:tab w:leader="none" w:pos="7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Loans Held for Sale</w:t>
      </w:r>
    </w:p>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Accounting Standards Codification (“ASC”) No. 825, “Financial Instruments”, allows for the option to report certain financial assets and liabilities at fair value initially and at subsequent measurement dates with changes in fair value included in earnings. The option may be applied instrument by instrument, but it is irrevocable. The Company elected the fair value option for loans held for sale. The Company believes the fair value option most closely aligns the timing of the recognition of gains and costs. These loans are intended for sale and the Company believes that the fair value is the best indicator of the resolution of these loans. Electing fair value also reduces certain timing differences and better matches changes in the fair value of these assets with changes in the fair value of the related derivatives used for these assets.</w:t>
      </w:r>
    </w:p>
    <w:p>
      <w:pPr>
        <w:spacing w:after="0" w:line="2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Interest income is recorded based on the contractual terms of the loan and in accordance with the Company’s policy on mortgage loans held for investment and is included in mortgage fee income on the condensed consolidated statement of earnings. There are seven loans with an aggregate unpaid principal balance of $1,925,914 that are 90 or more days past due and on a nonaccrual status as of September 30, 2019. See Note 8 to the condensed consolidated financial statements for additional disclosures regarding loans held for sale.</w:t>
      </w:r>
    </w:p>
    <w:p>
      <w:pPr>
        <w:sectPr>
          <w:pgSz w:w="11900" w:h="16838" w:orient="portrait"/>
          <w:cols w:equalWidth="0" w:num="1">
            <w:col w:w="11420"/>
          </w:cols>
          <w:pgMar w:left="240" w:top="126" w:right="239" w:bottom="1153"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153"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22"/>
          <w:szCs w:val="22"/>
          <w:color w:val="auto"/>
        </w:rPr>
        <w:t>SECURITY NATIONAL FINANCIAL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September 30, 2019 (Unaudited)</w:t>
      </w:r>
    </w:p>
    <w:p>
      <w:pPr>
        <w:spacing w:after="0" w:line="275" w:lineRule="exact"/>
        <w:rPr>
          <w:sz w:val="20"/>
          <w:szCs w:val="20"/>
          <w:color w:val="auto"/>
        </w:rPr>
      </w:pPr>
    </w:p>
    <w:p>
      <w:pPr>
        <w:ind w:left="680" w:hanging="672"/>
        <w:spacing w:after="0"/>
        <w:tabs>
          <w:tab w:leader="none" w:pos="6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Loans Held for Sale</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following is a summary of the aggregate fair value and the aggregate unpaid principal balance of loans held for sale for the periods presented:</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540" w:type="dxa"/>
            <w:vAlign w:val="bottom"/>
            <w:gridSpan w:val="2"/>
          </w:tcPr>
          <w:p>
            <w:pPr>
              <w:jc w:val="center"/>
              <w:ind w:left="245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5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fair value</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$233,713,098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$136,210,853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227,842,398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131,663,946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5,870,700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4,546,907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Mortgage Fee Income</w:t>
      </w:r>
    </w:p>
    <w:p>
      <w:pPr>
        <w:spacing w:after="0" w:line="2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Mortgage fee income consists of origination fees, processing fees, interest income and certain other income related to the origination and sale of mortgage loans held for sale.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Major categories of mortgage fee income for loans held for sale are as follows: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c>
          <w:tcPr>
            <w:tcW w:w="20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20"/>
                <w:szCs w:val="20"/>
                <w:color w:val="auto"/>
              </w:rPr>
            </w:pPr>
          </w:p>
        </w:tc>
        <w:tc>
          <w:tcPr>
            <w:tcW w:w="204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fees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8,438,471</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7,758,284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$22,162,455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$21,347,320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2,127,775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1,993,895</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5,032,505</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4,698,899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gains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27,574,294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22,315,022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66,434,923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58,633,363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94,569</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1,915,223</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537,696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(203,623)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2,065,978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4,563,222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(195,009)</w:t>
            </w: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(293,443)</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(449,894)</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(946,556)</w:t>
            </w:r>
          </w:p>
        </w:tc>
      </w:tr>
      <w:tr>
        <w:trPr>
          <w:trHeight w:val="257"/>
        </w:trPr>
        <w:tc>
          <w:tcPr>
            <w:tcW w:w="20" w:type="dxa"/>
            <w:vAlign w:val="bottom"/>
          </w:tcPr>
          <w:p>
            <w:pPr>
              <w:spacing w:after="0"/>
              <w:rPr>
                <w:sz w:val="22"/>
                <w:szCs w:val="22"/>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39,735,752</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31,664,704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97,161,190</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88,833,944</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Loan Loss Reserve</w:t>
      </w:r>
    </w:p>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a summary of the loan loss reserve that is included in other liabilities and accrued expenses: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As of</w:t>
            </w: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September</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3,604,869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Provision on current loan originations (1)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 net of recaptured amounts</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(172,917)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3,881,846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3,604,869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 Included in mortgage fee income</w:t>
      </w:r>
    </w:p>
    <w:p>
      <w:pPr>
        <w:spacing w:after="0" w:line="2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The Company believes the loan loss reserve represents probable loan losses incurred as of the balance sheet date. Actual loan loss experience could change, in the near-term, from the established reserve based upon claims that could be asserted by third-party investors. The Company believes there is potential to resolve any alleged claims by third-party investors on acceptable terms. If the Company is unable to resolve such claims on acceptable terms, legal action may ensue. In the event of legal action by any third-party investor, the Company believes it has significant defenses to any such action and intends to vigorously defend itself against such action.</w:t>
      </w:r>
    </w:p>
    <w:p>
      <w:pPr>
        <w:sectPr>
          <w:pgSz w:w="11900" w:h="16838" w:orient="portrait"/>
          <w:cols w:equalWidth="0" w:num="1">
            <w:col w:w="11420"/>
          </w:cols>
          <w:pgMar w:left="240" w:top="111" w:right="239" w:bottom="0" w:gutter="0" w:footer="0" w:header="0"/>
        </w:sectPr>
      </w:pP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22"/>
          <w:szCs w:val="22"/>
          <w:color w:val="auto"/>
        </w:rPr>
        <w:t>SECURITY NATIONAL FINANCIAL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September 30, 2019 (Unaudited)</w:t>
      </w:r>
    </w:p>
    <w:p>
      <w:pPr>
        <w:spacing w:after="0" w:line="200" w:lineRule="exact"/>
        <w:rPr>
          <w:sz w:val="20"/>
          <w:szCs w:val="20"/>
          <w:color w:val="auto"/>
        </w:rPr>
      </w:pPr>
    </w:p>
    <w:p>
      <w:pPr>
        <w:spacing w:after="0" w:line="345" w:lineRule="exact"/>
        <w:rPr>
          <w:sz w:val="20"/>
          <w:szCs w:val="20"/>
          <w:color w:val="auto"/>
        </w:rPr>
      </w:pPr>
    </w:p>
    <w:p>
      <w:pPr>
        <w:ind w:left="680" w:hanging="672"/>
        <w:spacing w:after="0"/>
        <w:tabs>
          <w:tab w:leader="none" w:pos="6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Compensation Plans</w:t>
      </w:r>
    </w:p>
    <w:p>
      <w:pPr>
        <w:spacing w:after="0" w:line="2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Company has two fixed option plans (the “2013 Plan” and the “2014 Director Plan”). Compensation expense for options issued of $65,746 and $58,691 has been recognized for these plans for the three months ended September 30, 2019 and 2018, respectively, and $195,487 and $174,831 has been recognized for these plans for the nine months ended September 30, 2019 and 2018, respectively. As of September 30, 2019, the total unrecognized compensation expense related to the options issued was $43,169, which is expected to be recognized over the vesting period of one year.</w:t>
      </w:r>
    </w:p>
    <w:p>
      <w:pPr>
        <w:spacing w:after="0" w:line="2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23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A summary of the status of the Company’s stock compensation plans as of September 30, 2019, and the changes during the nine months ended September 30, 2019, are presented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Weighted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Weighted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Average</w:t>
            </w:r>
          </w:p>
        </w:tc>
        <w:tc>
          <w:tcPr>
            <w:tcW w:w="180" w:type="dxa"/>
            <w:vAlign w:val="bottom"/>
          </w:tcPr>
          <w:p>
            <w:pPr>
              <w:spacing w:after="0"/>
              <w:rPr>
                <w:sz w:val="18"/>
                <w:szCs w:val="18"/>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Average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Class 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Exercise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Class 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Exercise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Price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1,011,274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577,280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(63,814)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September 30, 2019: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955,195</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489,840</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299,351</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146,425</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contractual term of options outstanding at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 years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 years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contractual term of options exercisable at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5.34 years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 years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 outstanding at September</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765,360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auto"/>
              </w:rPr>
              <w:t>30, 2019 (1)</w:t>
            </w:r>
          </w:p>
        </w:tc>
        <w:tc>
          <w:tcPr>
            <w:tcW w:w="28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 exercisable at September</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765,360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0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auto"/>
              </w:rPr>
              <w:t>30, 2019 (1)</w:t>
            </w:r>
          </w:p>
        </w:tc>
        <w:tc>
          <w:tcPr>
            <w:tcW w:w="28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 The Company used a stock price of $4.90 as of September 30, 2019 to derive intrinsic value.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22"/>
          <w:szCs w:val="22"/>
          <w:color w:val="auto"/>
        </w:rPr>
        <w:t>SECURITY NATIONAL FINANCIAL CORPORATION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September 30, 2019 (Unaudited)</w:t>
      </w:r>
    </w:p>
    <w:p>
      <w:pPr>
        <w:spacing w:after="0" w:line="275" w:lineRule="exact"/>
        <w:rPr>
          <w:sz w:val="20"/>
          <w:szCs w:val="20"/>
          <w:color w:val="auto"/>
        </w:rPr>
      </w:pPr>
    </w:p>
    <w:p>
      <w:pPr>
        <w:ind w:left="680" w:hanging="672"/>
        <w:spacing w:after="0"/>
        <w:tabs>
          <w:tab w:leader="none" w:pos="6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Compensation Plans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A summary of the status of the Company’s stock compensation plans as of September 30, 2018, and the changes during the nine months ended September 30, 2018, are presented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Weighted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Weighted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Average</w:t>
            </w: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Average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Class 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Exercise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Class 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Exercise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Price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Shares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880,426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523,603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(36,133)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2018</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523,603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September 30, 2018: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805,902</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505,227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421,241</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165,638</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contractual term of options outstanding at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6.05 years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years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contractual term of options exercisable at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6.05 years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years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 outstanding at September</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867,356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267,943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auto"/>
              </w:rPr>
              <w:t>30, 2018 (1)</w:t>
            </w:r>
          </w:p>
        </w:tc>
        <w:tc>
          <w:tcPr>
            <w:tcW w:w="28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 exercisable at September</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862,157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260,592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0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auto"/>
              </w:rPr>
              <w:t>30, 2018 (1)</w:t>
            </w:r>
          </w:p>
        </w:tc>
        <w:tc>
          <w:tcPr>
            <w:tcW w:w="28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 The Company used a stock price of $5.20 as of September 30, 2018 to derive intrinsic value.</w:t>
      </w:r>
    </w:p>
    <w:p>
      <w:pPr>
        <w:spacing w:after="0" w:line="2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total intrinsic value (which is the amount by which the fair value of the underlying stock exceeds the exercise price of an option on the exercise date) of stock options exercised during the nine months September 30, 2019 and 2018 was $112,340 and $118,003, respectively.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2"/>
          <w:szCs w:val="22"/>
          <w:color w:val="auto"/>
        </w:rPr>
        <w:t>SECURITY NATIONAL FINANCIAL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September 30, 2019 (Unaudited)</w:t>
      </w:r>
    </w:p>
    <w:p>
      <w:pPr>
        <w:spacing w:after="0" w:line="275" w:lineRule="exact"/>
        <w:rPr>
          <w:sz w:val="20"/>
          <w:szCs w:val="20"/>
          <w:color w:val="auto"/>
        </w:rPr>
      </w:pPr>
    </w:p>
    <w:p>
      <w:pPr>
        <w:ind w:left="680" w:hanging="672"/>
        <w:spacing w:after="0"/>
        <w:tabs>
          <w:tab w:leader="none" w:pos="6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Per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basic and diluted earnings per share amounts were calculated as follows: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Nine Months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earnings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3,617,414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2,013,746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9,027,786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22,177,886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17,230,987</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17,152,656</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17,240,745</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17,072,531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Employee stock options</w:t>
            </w: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189,744</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234,670</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194,010</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222,771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17,420,731</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17,387,326</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17,434,755</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17,295,302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earnings per share</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earnings per share</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Net earnings per share amounts have been retroactively adjusted for the effect of annual stock dividends. For the nine months September 30, 2019 and 2018, there were 864,915 and 589,822 of anti-dilutive employee stock option shares, respectively, that were not included in the computation of diluted net earnings per common share as their effect would be anti-dilutive.</w:t>
      </w:r>
    </w:p>
    <w:p>
      <w:pPr>
        <w:spacing w:after="0" w:line="227" w:lineRule="exact"/>
        <w:rPr>
          <w:sz w:val="20"/>
          <w:szCs w:val="20"/>
          <w:color w:val="auto"/>
        </w:rPr>
      </w:pPr>
    </w:p>
    <w:p>
      <w:pPr>
        <w:ind w:right="7120" w:firstLine="8"/>
        <w:spacing w:after="0" w:line="536" w:lineRule="auto"/>
        <w:tabs>
          <w:tab w:leader="none" w:pos="66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Segment Information Description of Products and Services by Segment</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Measurement of Segment Profit or Loss and Segment Assets</w:t>
      </w:r>
    </w:p>
    <w:p>
      <w:pPr>
        <w:spacing w:after="0" w:line="2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accounting policies of the reportable segments are the same as those described in the Significant Accounting Principles of the Form 10-K for the year ended December 31, 2018. Intersegment revenues are recorded at cost plus an agreed upon intercompany profit, and are eliminated upon consolidation.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Factors Management Used to Identify the Enterprise’s Reportable Segments</w:t>
      </w:r>
    </w:p>
    <w:p>
      <w:pPr>
        <w:spacing w:after="0" w:line="2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ectPr>
          <w:pgSz w:w="11900" w:h="16838" w:orient="portrait"/>
          <w:cols w:equalWidth="0" w:num="1">
            <w:col w:w="11420"/>
          </w:cols>
          <w:pgMar w:left="240" w:top="111" w:right="239"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22"/>
          <w:szCs w:val="22"/>
          <w:color w:val="auto"/>
        </w:rPr>
        <w:t>SECURITY NATIONAL FINANCIAL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September 30, 2019 (Unaudited)</w:t>
      </w:r>
    </w:p>
    <w:p>
      <w:pPr>
        <w:spacing w:after="0" w:line="275" w:lineRule="exact"/>
        <w:rPr>
          <w:sz w:val="20"/>
          <w:szCs w:val="20"/>
          <w:color w:val="auto"/>
        </w:rPr>
      </w:pPr>
    </w:p>
    <w:p>
      <w:pPr>
        <w:ind w:left="680" w:hanging="672"/>
        <w:spacing w:after="0"/>
        <w:tabs>
          <w:tab w:leader="none" w:pos="6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Segment Information</w:t>
      </w:r>
      <w:r>
        <w:rPr>
          <w:rFonts w:ascii="Times New Roman" w:cs="Times New Roman" w:eastAsia="Times New Roman" w:hAnsi="Times New Roman"/>
          <w:sz w:val="22"/>
          <w:szCs w:val="22"/>
          <w:color w:val="auto"/>
        </w:rPr>
        <w:t xml:space="preserve"> (Continued)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Life</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Cemetery/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9"/>
              </w:rPr>
              <w:t>Intercompany</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Insurance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Mortuary</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Mortgage</w:t>
            </w:r>
          </w:p>
        </w:tc>
        <w:tc>
          <w:tcPr>
            <w:tcW w:w="6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Eliminations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Consolidated</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80" w:type="dxa"/>
            <w:vAlign w:val="bottom"/>
            <w:gridSpan w:val="5"/>
          </w:tcPr>
          <w:p>
            <w:pPr>
              <w:ind w:left="1140"/>
              <w:spacing w:after="0" w:line="198" w:lineRule="exact"/>
              <w:rPr>
                <w:sz w:val="20"/>
                <w:szCs w:val="20"/>
                <w:color w:val="auto"/>
              </w:rPr>
            </w:pPr>
            <w:r>
              <w:rPr>
                <w:rFonts w:ascii="Times New Roman" w:cs="Times New Roman" w:eastAsia="Times New Roman" w:hAnsi="Times New Roman"/>
                <w:sz w:val="18"/>
                <w:szCs w:val="18"/>
                <w:color w:val="auto"/>
              </w:rPr>
              <w:t>For the Three Months Ended</w:t>
            </w: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80" w:type="dxa"/>
            <w:vAlign w:val="bottom"/>
            <w:gridSpan w:val="5"/>
          </w:tcPr>
          <w:p>
            <w:pPr>
              <w:ind w:left="1140"/>
              <w:spacing w:after="0" w:line="194" w:lineRule="exact"/>
              <w:rPr>
                <w:sz w:val="20"/>
                <w:szCs w:val="20"/>
                <w:color w:val="auto"/>
              </w:rPr>
            </w:pPr>
            <w:r>
              <w:rPr>
                <w:rFonts w:ascii="Times New Roman" w:cs="Times New Roman" w:eastAsia="Times New Roman" w:hAnsi="Times New Roman"/>
                <w:sz w:val="18"/>
                <w:szCs w:val="18"/>
                <w:color w:val="auto"/>
              </w:rPr>
              <w:t>September 30, 2019</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29,824,686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3,570,419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41,984,554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75,379,659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1,465,778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(1,693,307)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before income taxes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1,263,836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3,282,788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4,759,822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Three Months Ended</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September 30, 2018</w:t>
            </w:r>
          </w:p>
        </w:tc>
        <w:tc>
          <w:tcPr>
            <w:tcW w:w="8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28,962,288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4,008,943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34,251,862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67,223,093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1,108,093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(1,332,476)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before income taxes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(762,113)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2,211,798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Nine Months Ended</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September 30, 2019</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88,937,110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12,472,711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103,908,855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205,318,676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3,441,497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(4,150,578)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before income taxes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4,568,178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2,421,845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4,825,801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11,815,824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941,739,161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84,250,592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243,272,631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(110,132,588)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1,159,129,796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754,018</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3,519,588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944,504,731</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85,004,610</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243,272,631</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(110,132,588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1,162,649,384</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Nine Months Ended</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September 30, 2018</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109,198,662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13,060,357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95,905,309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218,164,328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2,915,379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(3,621,679)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before income taxes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28,840,882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3,714,304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(4,993,976)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27,561,210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920,458,422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91,084,393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178,089,215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(128,148,062)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1,061,483,968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923,223,992</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91,084,393</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178,089,215</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(128,148,062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1,064,249,538</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8"/>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gridSpan w:val="3"/>
          </w:tcPr>
          <w:p>
            <w:pPr>
              <w:jc w:val="right"/>
              <w:ind w:right="650"/>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30" w:name="page31"/>
    <w:bookmarkEnd w:id="30"/>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00" w:lineRule="exact"/>
        <w:rPr>
          <w:sz w:val="20"/>
          <w:szCs w:val="20"/>
          <w:color w:val="auto"/>
        </w:rPr>
      </w:pPr>
    </w:p>
    <w:p>
      <w:pPr>
        <w:spacing w:after="0" w:line="297" w:lineRule="exact"/>
        <w:rPr>
          <w:sz w:val="20"/>
          <w:szCs w:val="20"/>
          <w:color w:val="auto"/>
        </w:rPr>
      </w:pPr>
    </w:p>
    <w:p>
      <w:pPr>
        <w:ind w:left="680" w:hanging="672"/>
        <w:spacing w:after="0"/>
        <w:tabs>
          <w:tab w:leader="none" w:pos="6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Fair Value of Financial Instruments</w:t>
      </w:r>
    </w:p>
    <w:p>
      <w:pPr>
        <w:spacing w:after="0" w:line="2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23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2"/>
          <w:szCs w:val="22"/>
          <w:i w:val="1"/>
          <w:iCs w:val="1"/>
          <w:color w:val="auto"/>
        </w:rPr>
        <w:t xml:space="preserve">Level 1: </w:t>
      </w:r>
      <w:r>
        <w:rPr>
          <w:rFonts w:ascii="Times New Roman" w:cs="Times New Roman" w:eastAsia="Times New Roman" w:hAnsi="Times New Roman"/>
          <w:sz w:val="22"/>
          <w:szCs w:val="22"/>
          <w:color w:val="auto"/>
        </w:rPr>
        <w:t>Financial assets and financial liabilities whose values are based on unadjusted quoted prices for identical assets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liabilities in an active market that the Company can access.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Level 2: </w:t>
      </w:r>
      <w:r>
        <w:rPr>
          <w:rFonts w:ascii="Times New Roman" w:cs="Times New Roman" w:eastAsia="Times New Roman" w:hAnsi="Times New Roman"/>
          <w:sz w:val="22"/>
          <w:szCs w:val="22"/>
          <w:color w:val="auto"/>
        </w:rPr>
        <w:t>Financial assets and financial liabilities whose values are based on the following:</w:t>
      </w:r>
    </w:p>
    <w:p>
      <w:pPr>
        <w:spacing w:after="0" w:line="287" w:lineRule="exact"/>
        <w:rPr>
          <w:sz w:val="20"/>
          <w:szCs w:val="20"/>
          <w:color w:val="auto"/>
        </w:rPr>
      </w:pPr>
    </w:p>
    <w:p>
      <w:pPr>
        <w:ind w:left="700" w:hanging="417"/>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25" w:lineRule="exact"/>
        <w:rPr>
          <w:rFonts w:ascii="Times New Roman" w:cs="Times New Roman" w:eastAsia="Times New Roman" w:hAnsi="Times New Roman"/>
          <w:sz w:val="18"/>
          <w:szCs w:val="18"/>
          <w:color w:val="auto"/>
        </w:rPr>
      </w:pPr>
    </w:p>
    <w:p>
      <w:pPr>
        <w:ind w:left="700" w:hanging="422"/>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or</w:t>
      </w:r>
    </w:p>
    <w:p>
      <w:pPr>
        <w:spacing w:after="0" w:line="225" w:lineRule="exact"/>
        <w:rPr>
          <w:rFonts w:ascii="Times New Roman" w:cs="Times New Roman" w:eastAsia="Times New Roman" w:hAnsi="Times New Roman"/>
          <w:sz w:val="18"/>
          <w:szCs w:val="18"/>
          <w:color w:val="auto"/>
        </w:rPr>
      </w:pPr>
    </w:p>
    <w:p>
      <w:pPr>
        <w:ind w:left="700" w:hanging="417"/>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28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i w:val="1"/>
          <w:iCs w:val="1"/>
          <w:color w:val="auto"/>
        </w:rPr>
        <w:t xml:space="preserve">Level 3: </w:t>
      </w:r>
      <w:r>
        <w:rPr>
          <w:rFonts w:ascii="Times New Roman" w:cs="Times New Roman" w:eastAsia="Times New Roman" w:hAnsi="Times New Roman"/>
          <w:sz w:val="22"/>
          <w:szCs w:val="22"/>
          <w:color w:val="auto"/>
        </w:rPr>
        <w:t>Financial assets and financial liabilities whose values are based on prices or valuation techniques that require inputs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both unobservable and significant to the overall fair value measurement. These inputs may reflect the Company’s estimates of the assumptions that market participants would use in valuing the financial assets and financial liabilities.</w:t>
      </w:r>
    </w:p>
    <w:p>
      <w:pPr>
        <w:spacing w:after="0" w:line="2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Company utilizes a combination of third-party valuation service providers, brokers, and internal valuation models to determine fair value.</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following methods and assumptions were used by the Company in estimating the fair value disclosures related to significant financial instruments.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items shown under Level 1 and Level 2 are valued as follows: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Equity 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fair values for equity securities are based on quoted market prices.</w:t>
      </w:r>
    </w:p>
    <w:p>
      <w:pPr>
        <w:spacing w:after="0" w:line="2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i w:val="1"/>
          <w:iCs w:val="1"/>
          <w:u w:val="single" w:color="auto"/>
          <w:color w:val="auto"/>
        </w:rPr>
        <w:t>Restricted Assets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portion of these assets include mutual funds and equity securities that have quoted market prices that are used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determine 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i w:val="1"/>
          <w:iCs w:val="1"/>
          <w:u w:val="single" w:color="auto"/>
          <w:color w:val="auto"/>
        </w:rPr>
        <w:t>Cemetery Endowment Care Trust Investments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portion of these assets include equity securities that have quoted market prices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Call and Put Options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fair values for call and put options are based on quoted market prices.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Additionally, there were no transfers between Level 1 and Level 2 in the fair value hierarchy.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items shown under Level 3 are valued as follows:</w:t>
      </w:r>
    </w:p>
    <w:p>
      <w:pPr>
        <w:spacing w:after="0" w:line="2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i w:val="1"/>
          <w:iCs w:val="1"/>
          <w:u w:val="single" w:color="auto"/>
          <w:color w:val="auto"/>
        </w:rPr>
        <w:t>Loans Held for Sale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elected the fair value option for loans held for sale. The fair value is based on quoted market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prices, when available. When a quoted market price is not readily available, the Company uses the market price from its last sale of similar assets.</w:t>
      </w:r>
    </w:p>
    <w:p>
      <w:pPr>
        <w:sectPr>
          <w:pgSz w:w="11900" w:h="16838" w:orient="portrait"/>
          <w:cols w:equalWidth="0" w:num="1">
            <w:col w:w="11420"/>
          </w:cols>
          <w:pgMar w:left="240" w:top="126" w:right="239" w:bottom="694"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694" w:gutter="0" w:footer="0" w:header="0"/>
          <w:type w:val="continuous"/>
        </w:sectPr>
      </w:pPr>
    </w:p>
    <w:bookmarkStart w:id="31" w:name="page32"/>
    <w:bookmarkEnd w:id="31"/>
    <w:p>
      <w:pPr>
        <w:jc w:val="center"/>
        <w:spacing w:after="0" w:line="26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33" w:lineRule="exact"/>
        <w:rPr>
          <w:sz w:val="20"/>
          <w:szCs w:val="20"/>
          <w:color w:val="auto"/>
        </w:rPr>
      </w:pPr>
    </w:p>
    <w:p>
      <w:pPr>
        <w:ind w:left="680" w:hanging="672"/>
        <w:spacing w:after="0"/>
        <w:tabs>
          <w:tab w:leader="none" w:pos="6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Fair Value of Financial Instruments</w:t>
      </w:r>
      <w:r>
        <w:rPr>
          <w:rFonts w:ascii="Times New Roman" w:cs="Times New Roman" w:eastAsia="Times New Roman" w:hAnsi="Times New Roman"/>
          <w:sz w:val="22"/>
          <w:szCs w:val="22"/>
          <w:color w:val="auto"/>
        </w:rPr>
        <w:t xml:space="preserve"> (Continued)</w:t>
      </w:r>
    </w:p>
    <w:p>
      <w:pPr>
        <w:spacing w:after="0" w:line="2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u w:val="single" w:color="auto"/>
          <w:color w:val="auto"/>
        </w:rPr>
        <w:t>Loan Commitments and Forward Sale Commitments</w:t>
      </w:r>
      <w:r>
        <w:rPr>
          <w:rFonts w:ascii="Times New Roman" w:cs="Times New Roman" w:eastAsia="Times New Roman" w:hAnsi="Times New Roman"/>
          <w:sz w:val="22"/>
          <w:szCs w:val="22"/>
          <w:color w:val="auto"/>
        </w:rPr>
        <w:t>: The Company’s mortgage segment enters into loan commitments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potential borrowers and forward 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2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u w:val="single" w:color="auto"/>
          <w:color w:val="auto"/>
        </w:rPr>
        <w:t>Impaired Mortgage Loans Held for Investment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believes that the fair value of these nonperforming loans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approximate the unpaid principal 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23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i w:val="1"/>
          <w:iCs w:val="1"/>
          <w:u w:val="single" w:color="auto"/>
          <w:color w:val="auto"/>
        </w:rPr>
        <w:t>Real Estate Held for Investment</w:t>
      </w:r>
      <w:r>
        <w:rPr>
          <w:rFonts w:ascii="Times New Roman" w:cs="Times New Roman" w:eastAsia="Times New Roman" w:hAnsi="Times New Roman"/>
          <w:sz w:val="21"/>
          <w:szCs w:val="21"/>
          <w:color w:val="auto"/>
        </w:rPr>
        <w:t>: The Company believes that in an orderly market, fair value will approximate the replacement cost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a home and 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2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It should be noted that for replacement cost, when determining the fair value of mortgage properties,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comparables and property condition when determining fair value.</w:t>
      </w:r>
    </w:p>
    <w:p>
      <w:pPr>
        <w:spacing w:after="0" w:line="2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22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i w:val="1"/>
          <w:iCs w:val="1"/>
          <w:u w:val="single" w:color="auto"/>
          <w:color w:val="auto"/>
        </w:rPr>
        <w:t>Mortgage Servicing Rights</w:t>
      </w:r>
      <w:r>
        <w:rPr>
          <w:rFonts w:ascii="Times New Roman" w:cs="Times New Roman" w:eastAsia="Times New Roman" w:hAnsi="Times New Roman"/>
          <w:sz w:val="22"/>
          <w:szCs w:val="22"/>
          <w:color w:val="auto"/>
        </w:rPr>
        <w:t>: The Company initially recognizes Mortgage Servicing Rights (“MSRs”) at their estimated fair values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derived from the net cash flows associated with the servicing contracts, where the Company assumes the obligation to service the loan in the sale transaction.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2" w:name="page33"/>
    <w:bookmarkEnd w:id="32"/>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680" w:hanging="672"/>
        <w:spacing w:after="0"/>
        <w:tabs>
          <w:tab w:leader="none" w:pos="6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Fair Value of Financial Instruments</w:t>
      </w:r>
      <w:r>
        <w:rPr>
          <w:rFonts w:ascii="Times New Roman" w:cs="Times New Roman" w:eastAsia="Times New Roman" w:hAnsi="Times New Roman"/>
          <w:sz w:val="22"/>
          <w:szCs w:val="22"/>
          <w:color w:val="auto"/>
        </w:rPr>
        <w:t xml:space="preserve"> (Continued)</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at September 30, 2019.</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Quoted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Prices in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Active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Markets for</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Identical</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Observable</w:t>
            </w:r>
          </w:p>
        </w:tc>
        <w:tc>
          <w:tcPr>
            <w:tcW w:w="12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8,109,778</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8,109,778</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8,109,778</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8,109,778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233,713,098</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233,713,098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1,145,917</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1,145,917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908,493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908,493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(2)</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4,047,124</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4,047,124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247,924,410</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10,164,188</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237,760,222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 call options (3)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(75,604)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(75,604)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put options (3)</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(29,547)</w:t>
            </w: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(29,547)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(540,085)</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(540,085)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accounted for at fair value on a recurring basis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(645,236)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(105,151)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(540,085)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00" w:hanging="251"/>
        <w:spacing w:after="0"/>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and equity securities</w:t>
      </w:r>
    </w:p>
    <w:p>
      <w:pPr>
        <w:spacing w:after="0" w:line="27" w:lineRule="exact"/>
        <w:rPr>
          <w:rFonts w:ascii="Times New Roman" w:cs="Times New Roman" w:eastAsia="Times New Roman" w:hAnsi="Times New Roman"/>
          <w:sz w:val="18"/>
          <w:szCs w:val="18"/>
          <w:color w:val="auto"/>
        </w:rPr>
      </w:pPr>
    </w:p>
    <w:p>
      <w:pPr>
        <w:ind w:left="1400" w:hanging="251"/>
        <w:spacing w:after="0"/>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condensed consolidated balance sheets</w:t>
      </w:r>
    </w:p>
    <w:p>
      <w:pPr>
        <w:spacing w:after="0" w:line="9" w:lineRule="exact"/>
        <w:rPr>
          <w:rFonts w:ascii="Times New Roman" w:cs="Times New Roman" w:eastAsia="Times New Roman" w:hAnsi="Times New Roman"/>
          <w:sz w:val="18"/>
          <w:szCs w:val="18"/>
          <w:color w:val="auto"/>
        </w:rPr>
      </w:pPr>
    </w:p>
    <w:p>
      <w:pPr>
        <w:ind w:left="1400" w:hanging="251"/>
        <w:spacing w:after="0"/>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condensed consolidated balance sheets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is a summary of changes in the condensed consolidated balance sheet line items measured using level 3 inputs: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Loan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Loans Held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for Sale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2018</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136,210,853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1,840,552,029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(1,805,713,146)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Included in earnings (1)</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1,915,223</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62,663,362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2019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3,507,039</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233,713,098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 As a component of Mortgage fee income on the condensed consolidated statements of earnings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3" w:name="page34"/>
    <w:bookmarkEnd w:id="33"/>
    <w:p>
      <w:pPr>
        <w:jc w:val="center"/>
        <w:ind w:left="280" w:right="2160"/>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680" w:hanging="672"/>
        <w:spacing w:after="0"/>
        <w:tabs>
          <w:tab w:leader="none" w:pos="6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Fair Value of Financial Instruments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22"/>
          <w:szCs w:val="22"/>
          <w:color w:val="auto"/>
        </w:rPr>
        <w:t>The following tables summarize Level 1, 2 and 3 financial assets and financial liabilities measured at fair value on a nonrecurring basis by their classification in the condensed consolidated balance sheet at September 30, 2019.</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Quoted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Prices in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Active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Markets for</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Significant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Identical</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Observable</w:t>
            </w:r>
          </w:p>
        </w:tc>
        <w:tc>
          <w:tcPr>
            <w:tcW w:w="11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Unobservable</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Inputs</w:t>
            </w:r>
          </w:p>
        </w:tc>
        <w:tc>
          <w:tcPr>
            <w:tcW w:w="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(Level 3)</w:t>
            </w:r>
          </w:p>
        </w:tc>
        <w:tc>
          <w:tcPr>
            <w:tcW w:w="80" w:type="dxa"/>
            <w:vAlign w:val="bottom"/>
          </w:tcPr>
          <w:p>
            <w:pPr>
              <w:spacing w:after="0"/>
              <w:rPr>
                <w:sz w:val="20"/>
                <w:szCs w:val="20"/>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accounted for at fair value on a nonrecurring basis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mortgage loans held for investment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243,937</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Impaired real estate held for investment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6,256,277</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6,256,277</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nonrecurring basis</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6,500,214</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6,500,214</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following tables summarize Level 1, 2 and 3 financial assets and financial liabilities measured at fair value on a recurring basis by their classification in the condensed consolidated balance sheet at December 31, 2018.</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Quoted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Prices in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Active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Markets for</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Identical</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Observable</w:t>
            </w:r>
          </w:p>
        </w:tc>
        <w:tc>
          <w:tcPr>
            <w:tcW w:w="12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5,558,611</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5,558,611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5,558,611</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5,558,611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136,210,853</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136,210,853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744,673</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744,673</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(2)</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1,969,967</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1,969,967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144,967,457</w:t>
            </w:r>
          </w:p>
        </w:tc>
        <w:tc>
          <w:tcPr>
            <w:tcW w:w="1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6,786,637</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138,180,820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call options (3)</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(4,629)</w:t>
            </w: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 put options (3)</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(296,053)</w:t>
            </w: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(296,053)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(378,151)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accounted for at fair value on a recurring basis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(678,833</w:t>
            </w:r>
          </w:p>
        </w:tc>
        <w:tc>
          <w:tcPr>
            <w:tcW w:w="18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(300,682</w:t>
            </w:r>
          </w:p>
        </w:tc>
        <w:tc>
          <w:tcPr>
            <w:tcW w:w="160" w:type="dxa"/>
            <w:vAlign w:val="bottom"/>
            <w:tcBorders>
              <w:bottom w:val="single" w:sz="8" w:color="CCEEFF"/>
              <w:right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(378,151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00" w:hanging="251"/>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and equity securities</w:t>
      </w:r>
    </w:p>
    <w:p>
      <w:pPr>
        <w:spacing w:after="0" w:line="27" w:lineRule="exact"/>
        <w:rPr>
          <w:rFonts w:ascii="Times New Roman" w:cs="Times New Roman" w:eastAsia="Times New Roman" w:hAnsi="Times New Roman"/>
          <w:sz w:val="18"/>
          <w:szCs w:val="18"/>
          <w:color w:val="auto"/>
        </w:rPr>
      </w:pPr>
    </w:p>
    <w:p>
      <w:pPr>
        <w:ind w:left="1400" w:hanging="251"/>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condensed consolidated balance sheets</w:t>
      </w:r>
    </w:p>
    <w:p>
      <w:pPr>
        <w:spacing w:after="0" w:line="9" w:lineRule="exact"/>
        <w:rPr>
          <w:rFonts w:ascii="Times New Roman" w:cs="Times New Roman" w:eastAsia="Times New Roman" w:hAnsi="Times New Roman"/>
          <w:sz w:val="18"/>
          <w:szCs w:val="18"/>
          <w:color w:val="auto"/>
        </w:rPr>
      </w:pPr>
    </w:p>
    <w:p>
      <w:pPr>
        <w:ind w:left="1400" w:hanging="251"/>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condensed consolidated balance sheets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34" w:name="page35"/>
    <w:bookmarkEnd w:id="34"/>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680" w:hanging="672"/>
        <w:spacing w:after="0"/>
        <w:tabs>
          <w:tab w:leader="none" w:pos="6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Fair Value of Financial Instruments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is a summary of changes in the condensed consolidated balance sheet line items measured using level 3 inputs: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Net Loan</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Loans Held</w:t>
            </w:r>
          </w:p>
        </w:tc>
      </w:tr>
      <w:tr>
        <w:trPr>
          <w:trHeight w:val="241"/>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for Sale</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2017</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1,996,589</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133,414,188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2,194,607,543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(2,259,145,473)</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(10,827,797)</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Included in earnings (1)</w:t>
            </w: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(404,773)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78,162,392</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2018</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1,591,816</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136,210,853</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 As a component of Mortgage fee income on the condensed consolidated statements of earnings</w:t>
      </w:r>
    </w:p>
    <w:p>
      <w:pPr>
        <w:spacing w:after="0" w:line="28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following tables summarize Level 1, 2 and 3 financial assets and financial liabilities measured at fair value on a nonrecurring basis by their classification in the condensed consolidated balance sheet at December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Quoted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Prices in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Active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Markets for</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Significant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Identical</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Observable</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Unobservable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Inputs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(Level 3)</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Assets accounted for at fair value on a nonrecurring basis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mortgage loans held for investment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1,253,302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Impaired real estate held for investment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1,611,384</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1,611,384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nonrecurring basis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2,864,686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2,864,686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5"/>
        </w:trPr>
        <w:tc>
          <w:tcPr>
            <w:tcW w:w="5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60" w:type="dxa"/>
            <w:vAlign w:val="bottom"/>
            <w:tcBorders>
              <w:bottom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35" w:name="page36"/>
    <w:bookmarkEnd w:id="35"/>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680" w:hanging="672"/>
        <w:spacing w:after="0"/>
        <w:tabs>
          <w:tab w:leader="none" w:pos="6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Fair Value of Financial Instruments</w:t>
      </w:r>
      <w:r>
        <w:rPr>
          <w:rFonts w:ascii="Times New Roman" w:cs="Times New Roman" w:eastAsia="Times New Roman" w:hAnsi="Times New Roman"/>
          <w:sz w:val="22"/>
          <w:szCs w:val="22"/>
          <w:color w:val="auto"/>
        </w:rPr>
        <w:t xml:space="preserve"> (Continued)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Fair Value of Financial Instruments Carried at Other Than Fair Value</w:t>
      </w:r>
    </w:p>
    <w:p>
      <w:pPr>
        <w:spacing w:after="0" w:line="2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ASC 825, Financial Instruments, requires disclosure of fair value information about financial instruments, whether or not recognized in the balance sheet, for which it is practicable to estimate that value.</w:t>
      </w: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September 30, 2019 and December 31, 2018.</w:t>
      </w:r>
    </w:p>
    <w:p>
      <w:pPr>
        <w:spacing w:after="0" w:line="2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carrying values and estimated fair values for such financial instruments, and their corresponding placement in the fair value hierarchy, are summarized as follows as of September 30, 2019:</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Carrying</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Estimated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Value</w:t>
            </w: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Level 3</w:t>
            </w:r>
          </w:p>
        </w:tc>
        <w:tc>
          <w:tcPr>
            <w:tcW w:w="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176"/>
        </w:trPr>
        <w:tc>
          <w:tcPr>
            <w:tcW w:w="32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held to maturity</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$ 239,749,797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253,688,345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3,749,490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$ 257,437,835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78,144,568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82,208,452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82,208,452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91,837,299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91,837,299</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91,837,299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26,527,036</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27,156,433</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27,156,433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$ 196,508,903</w:t>
            </w:r>
          </w:p>
        </w:tc>
        <w:tc>
          <w:tcPr>
            <w:tcW w:w="100" w:type="dxa"/>
            <w:vAlign w:val="bottom"/>
          </w:tcPr>
          <w:p>
            <w:pPr>
              <w:spacing w:after="0"/>
              <w:rPr>
                <w:sz w:val="18"/>
                <w:szCs w:val="18"/>
                <w:color w:val="auto"/>
              </w:rPr>
            </w:pPr>
          </w:p>
        </w:tc>
        <w:tc>
          <w:tcPr>
            <w:tcW w:w="8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201,202,184</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$ 201,202,184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6,344,074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6,344,074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6,344,074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32,909,498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32,909,498</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32,909,498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assets (3)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2,265,669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2,259,287</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2,259,287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Cemetery perpetual care trust investments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978,913</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1,010,634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1,010,634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16,951,124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20,216,363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20,216,363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$(261,034,322)</w:t>
            </w:r>
          </w:p>
        </w:tc>
        <w:tc>
          <w:tcPr>
            <w:tcW w:w="80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(261,034,322)</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$(261,034,322)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Policyholder account balances (4)</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(45,480,785)</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(36,775,860)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(36,775,860)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 annuities (4)</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(96,259,449)</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(96,537,956)</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(96,537,956)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right="3820" w:firstLine="9"/>
        <w:spacing w:after="0" w:line="261" w:lineRule="auto"/>
        <w:tabs>
          <w:tab w:leader="none" w:pos="13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condensed consolidated balance sheet.</w:t>
      </w:r>
    </w:p>
    <w:p>
      <w:pPr>
        <w:ind w:left="1400" w:hanging="251"/>
        <w:spacing w:after="0"/>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held to maturity</w:t>
      </w:r>
    </w:p>
    <w:p>
      <w:pPr>
        <w:spacing w:after="0" w:line="9" w:lineRule="exact"/>
        <w:rPr>
          <w:rFonts w:ascii="Times New Roman" w:cs="Times New Roman" w:eastAsia="Times New Roman" w:hAnsi="Times New Roman"/>
          <w:sz w:val="18"/>
          <w:szCs w:val="18"/>
          <w:color w:val="auto"/>
        </w:rPr>
      </w:pPr>
    </w:p>
    <w:p>
      <w:pPr>
        <w:ind w:left="1400" w:hanging="251"/>
        <w:spacing w:after="0"/>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9" w:lineRule="exact"/>
        <w:rPr>
          <w:rFonts w:ascii="Times New Roman" w:cs="Times New Roman" w:eastAsia="Times New Roman" w:hAnsi="Times New Roman"/>
          <w:sz w:val="18"/>
          <w:szCs w:val="18"/>
          <w:color w:val="auto"/>
        </w:rPr>
      </w:pPr>
    </w:p>
    <w:p>
      <w:pPr>
        <w:ind w:left="1400" w:hanging="251"/>
        <w:spacing w:after="0"/>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condensed consolidated balance sheet.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6" w:name="page37"/>
    <w:bookmarkEnd w:id="36"/>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680" w:hanging="672"/>
        <w:spacing w:after="0"/>
        <w:tabs>
          <w:tab w:leader="none" w:pos="6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Fair Value of Financial Instruments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carrying values and estimated fair values for such financial instruments, and their corresponding placement in the fair value hierarchy, are summarized as follows as of December 31, 2018:</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Carrying</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Estimated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Value</w:t>
            </w: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Level 3</w:t>
            </w:r>
          </w:p>
        </w:tc>
        <w:tc>
          <w:tcPr>
            <w:tcW w:w="60" w:type="dxa"/>
            <w:vAlign w:val="bottom"/>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176"/>
        </w:trPr>
        <w:tc>
          <w:tcPr>
            <w:tcW w:w="32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held to maturity</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$ 232,078,723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229,668,844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5,082,014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$ 234,750,858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87,947,566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92,503,553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92,503,553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70,886,702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70,886,702</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70,886,702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27,630,801</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28,359,205</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28,359,205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$ 186,465,069</w:t>
            </w:r>
          </w:p>
        </w:tc>
        <w:tc>
          <w:tcPr>
            <w:tcW w:w="100" w:type="dxa"/>
            <w:vAlign w:val="bottom"/>
          </w:tcPr>
          <w:p>
            <w:pPr>
              <w:spacing w:after="0"/>
              <w:rPr>
                <w:sz w:val="18"/>
                <w:szCs w:val="18"/>
                <w:color w:val="auto"/>
              </w:rPr>
            </w:pPr>
          </w:p>
        </w:tc>
        <w:tc>
          <w:tcPr>
            <w:tcW w:w="8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191,749,460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$ 191,749,460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6,424,325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6,424,325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34,146,868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34,146,868</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34,146,868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1,258,397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assets (3)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1,799,268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1,810,185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1,810,185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Cemetery perpetual care trust investments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990,390</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983,410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983,410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20,016,822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28,885,316</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28,885,316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$(187,521,188)</w:t>
            </w:r>
          </w:p>
        </w:tc>
        <w:tc>
          <w:tcPr>
            <w:tcW w:w="80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(187,521,188)</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$(187,521,188)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Policyholder account balances (4)</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(46,479,853)</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(37,348,289)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(37,348,289)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 annuities (4)</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(98,137,615)</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(97,641,146)</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(97,641,146)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right="3820" w:firstLine="9"/>
        <w:spacing w:after="0" w:line="261" w:lineRule="auto"/>
        <w:tabs>
          <w:tab w:leader="none" w:pos="13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condensed consolidated balance sheet.</w:t>
      </w:r>
    </w:p>
    <w:p>
      <w:pPr>
        <w:ind w:left="1400" w:hanging="251"/>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held to maturity</w:t>
      </w:r>
    </w:p>
    <w:p>
      <w:pPr>
        <w:spacing w:after="0" w:line="9" w:lineRule="exact"/>
        <w:rPr>
          <w:rFonts w:ascii="Times New Roman" w:cs="Times New Roman" w:eastAsia="Times New Roman" w:hAnsi="Times New Roman"/>
          <w:sz w:val="18"/>
          <w:szCs w:val="18"/>
          <w:color w:val="auto"/>
        </w:rPr>
      </w:pPr>
    </w:p>
    <w:p>
      <w:pPr>
        <w:ind w:left="1400" w:hanging="251"/>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mortgage loans held for investment (commercial)</w:t>
      </w:r>
    </w:p>
    <w:p>
      <w:pPr>
        <w:spacing w:after="0" w:line="9" w:lineRule="exact"/>
        <w:rPr>
          <w:rFonts w:ascii="Times New Roman" w:cs="Times New Roman" w:eastAsia="Times New Roman" w:hAnsi="Times New Roman"/>
          <w:sz w:val="18"/>
          <w:szCs w:val="18"/>
          <w:color w:val="auto"/>
        </w:rPr>
      </w:pPr>
    </w:p>
    <w:p>
      <w:pPr>
        <w:ind w:left="1140" w:right="4020" w:firstLine="9"/>
        <w:spacing w:after="0" w:line="261" w:lineRule="auto"/>
        <w:tabs>
          <w:tab w:leader="none" w:pos="13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condensed consolidated balance sheet.</w:t>
      </w:r>
    </w:p>
    <w:p>
      <w:pPr>
        <w:spacing w:after="0" w:line="2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methods, assumptions and significant valuation techniques and inputs used to estimate the fair value of these financial instruments are summarized as follows: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i w:val="1"/>
          <w:iCs w:val="1"/>
          <w:u w:val="single" w:color="auto"/>
          <w:color w:val="auto"/>
        </w:rPr>
        <w:t>Fixed Maturity Securities Held to Maturity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fair values of fixed maturity securities are based on quoted market prices, when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i w:val="1"/>
          <w:iCs w:val="1"/>
          <w:u w:val="single" w:color="auto"/>
          <w:color w:val="auto"/>
        </w:rPr>
        <w:t>Mortgage Loans Held for Investment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estimated fair value of the Company’s mortgage loans held for investment is determined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using various methods. 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233" w:lineRule="exact"/>
        <w:rPr>
          <w:sz w:val="20"/>
          <w:szCs w:val="20"/>
          <w:color w:val="auto"/>
        </w:rPr>
      </w:pPr>
    </w:p>
    <w:p>
      <w:pPr>
        <w:jc w:val="both"/>
        <w:ind w:left="660"/>
        <w:spacing w:after="0" w:line="270" w:lineRule="auto"/>
        <w:rPr>
          <w:sz w:val="20"/>
          <w:szCs w:val="20"/>
          <w:color w:val="auto"/>
        </w:rPr>
      </w:pPr>
      <w:r>
        <w:rPr>
          <w:rFonts w:ascii="Times New Roman" w:cs="Times New Roman" w:eastAsia="Times New Roman" w:hAnsi="Times New Roman"/>
          <w:sz w:val="22"/>
          <w:szCs w:val="22"/>
          <w:color w:val="auto"/>
        </w:rPr>
        <w:t>Residential – The estimated fair value is determined through a combination of discounted cash flows (estimating expected future cash flows of interest payments and discounting them using current interest rates from single family mortgages) and considering pricing of similar loans that were sold recently.</w:t>
      </w:r>
    </w:p>
    <w:p>
      <w:pPr>
        <w:spacing w:after="0" w:line="227"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22"/>
          <w:szCs w:val="22"/>
          <w:color w:val="auto"/>
        </w:rPr>
        <w:t>Residential Construction – These loans are primarily short in maturity. Accordingly, the estimated fair value is determined to be the carrying value.</w:t>
      </w:r>
    </w:p>
    <w:p>
      <w:pPr>
        <w:spacing w:after="0" w:line="212"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22"/>
          <w:szCs w:val="22"/>
          <w:color w:val="auto"/>
        </w:rPr>
        <w:t>Commercial – The estimated fair value is determined by estimating expected future cash flows of interest payments and discounting them using current interest rates for commercial mortgages.</w:t>
      </w:r>
    </w:p>
    <w:p>
      <w:pPr>
        <w:spacing w:after="0" w:line="2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i w:val="1"/>
          <w:iCs w:val="1"/>
          <w:u w:val="single" w:color="auto"/>
          <w:color w:val="auto"/>
        </w:rPr>
        <w:t>Policy Loans</w:t>
      </w:r>
      <w:r>
        <w:rPr>
          <w:rFonts w:ascii="Times New Roman" w:cs="Times New Roman" w:eastAsia="Times New Roman" w:hAnsi="Times New Roman"/>
          <w:sz w:val="22"/>
          <w:szCs w:val="22"/>
          <w:color w:val="auto"/>
        </w:rPr>
        <w:t>: The carrying amounts reported in the accompanying condensed consolidated balance sheet for these financial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instruments approximate their fair values because they are fully collateralized by the cash surrender value of the underlying insurance policies.</w:t>
      </w:r>
    </w:p>
    <w:p>
      <w:pPr>
        <w:sectPr>
          <w:pgSz w:w="11900" w:h="16838" w:orient="portrait"/>
          <w:cols w:equalWidth="0" w:num="1">
            <w:col w:w="11420"/>
          </w:cols>
          <w:pgMar w:left="240" w:top="126" w:right="239" w:bottom="58" w:gutter="0" w:footer="0" w:header="0"/>
        </w:sectPr>
      </w:pPr>
    </w:p>
    <w:bookmarkStart w:id="37" w:name="page38"/>
    <w:bookmarkEnd w:id="37"/>
    <w:p>
      <w:pPr>
        <w:spacing w:after="0" w:line="288" w:lineRule="auto"/>
        <w:rPr>
          <w:sz w:val="20"/>
          <w:szCs w:val="20"/>
          <w:color w:val="auto"/>
        </w:rPr>
      </w:pPr>
      <w:r>
        <w:rPr>
          <w:rFonts w:ascii="Times New Roman" w:cs="Times New Roman" w:eastAsia="Times New Roman" w:hAnsi="Times New Roman"/>
          <w:sz w:val="22"/>
          <w:szCs w:val="22"/>
          <w:i w:val="1"/>
          <w:iCs w:val="1"/>
          <w:u w:val="single" w:color="auto"/>
          <w:color w:val="auto"/>
        </w:rPr>
        <w:t>Insurance Assignments, Net</w:t>
      </w:r>
      <w:r>
        <w:rPr>
          <w:rFonts w:ascii="Times New Roman" w:cs="Times New Roman" w:eastAsia="Times New Roman" w:hAnsi="Times New Roman"/>
          <w:sz w:val="22"/>
          <w:szCs w:val="22"/>
          <w:color w:val="auto"/>
        </w:rPr>
        <w:t>: These investments are primarily short in maturity, accordingly, the carrying amounts reported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accompanying condensed consolidated balance sheet for these financial instruments approximate their fair values.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680" w:hanging="672"/>
        <w:spacing w:after="0"/>
        <w:tabs>
          <w:tab w:leader="none" w:pos="6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Fair Value of Financial Instruments</w:t>
      </w:r>
      <w:r>
        <w:rPr>
          <w:rFonts w:ascii="Times New Roman" w:cs="Times New Roman" w:eastAsia="Times New Roman" w:hAnsi="Times New Roman"/>
          <w:sz w:val="22"/>
          <w:szCs w:val="22"/>
          <w:color w:val="auto"/>
        </w:rPr>
        <w:t xml:space="preserve"> (Continued)</w:t>
      </w:r>
    </w:p>
    <w:p>
      <w:pPr>
        <w:spacing w:after="0" w:line="28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2"/>
          <w:szCs w:val="22"/>
          <w:i w:val="1"/>
          <w:iCs w:val="1"/>
          <w:u w:val="single" w:color="auto"/>
          <w:color w:val="auto"/>
        </w:rPr>
        <w:t>Bank and Other Loans Payable</w:t>
      </w:r>
      <w:r>
        <w:rPr>
          <w:rFonts w:ascii="Times New Roman" w:cs="Times New Roman" w:eastAsia="Times New Roman" w:hAnsi="Times New Roman"/>
          <w:sz w:val="22"/>
          <w:szCs w:val="22"/>
          <w:color w:val="auto"/>
        </w:rPr>
        <w:t>: The carrying amounts reported in the accompanying condensed consolidated balance sheet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these financial instruments approximate their fair values due to their relatively short-term maturities and variable interest rates.</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i w:val="1"/>
          <w:iCs w:val="1"/>
          <w:u w:val="single" w:color="auto"/>
          <w:color w:val="auto"/>
        </w:rPr>
        <w:t>Policyholder Account Balances and Future Policy Benefits-Annuities</w:t>
      </w:r>
      <w:r>
        <w:rPr>
          <w:rFonts w:ascii="Times New Roman" w:cs="Times New Roman" w:eastAsia="Times New Roman" w:hAnsi="Times New Roman"/>
          <w:sz w:val="22"/>
          <w:szCs w:val="22"/>
          <w:color w:val="auto"/>
        </w:rPr>
        <w:t>: Future policy benefit reserves for interest-sensitive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insurance products are computed 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w:t>
      </w: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233" w:lineRule="exact"/>
        <w:rPr>
          <w:sz w:val="20"/>
          <w:szCs w:val="20"/>
          <w:color w:val="auto"/>
        </w:rPr>
      </w:pPr>
    </w:p>
    <w:p>
      <w:pPr>
        <w:ind w:left="780" w:hanging="772"/>
        <w:spacing w:after="0"/>
        <w:tabs>
          <w:tab w:leader="none" w:pos="7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Allowance for Doubtful Accounts</w:t>
      </w:r>
    </w:p>
    <w:p>
      <w:pPr>
        <w:spacing w:after="0" w:line="2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The Company records an allowance and recognizes an expense for potential losses from other investments and receivables in accordance with generally accepted accounting principles.</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235" w:lineRule="exact"/>
        <w:rPr>
          <w:sz w:val="20"/>
          <w:szCs w:val="20"/>
          <w:color w:val="auto"/>
        </w:rPr>
      </w:pPr>
    </w:p>
    <w:p>
      <w:pPr>
        <w:ind w:left="780" w:hanging="772"/>
        <w:spacing w:after="0"/>
        <w:tabs>
          <w:tab w:leader="none" w:pos="7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Derivative Instruments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Mortgage Banking Derivatives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Loan Commitments</w:t>
      </w:r>
    </w:p>
    <w:p>
      <w:pPr>
        <w:spacing w:after="0" w:line="2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2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ectPr>
          <w:pgSz w:w="11900" w:h="16838" w:orient="portrait"/>
          <w:cols w:equalWidth="0" w:num="1">
            <w:col w:w="11420"/>
          </w:cols>
          <w:pgMar w:left="240" w:top="126" w:right="239"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39" w:name="page40"/>
    <w:bookmarkEnd w:id="39"/>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780" w:hanging="772"/>
        <w:spacing w:after="0"/>
        <w:tabs>
          <w:tab w:leader="none" w:pos="7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Derivative Instruments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Forward Sale Commitments</w:t>
      </w:r>
    </w:p>
    <w:p>
      <w:pPr>
        <w:spacing w:after="0" w:line="2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Call and Put Options</w:t>
      </w:r>
    </w:p>
    <w:p>
      <w:pPr>
        <w:spacing w:after="0" w:line="2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realizes a gain from the sale of the option. In the event a put option is exercised, the Company acquires an equity security at the strike price of the option reduced by the value received from the sale of the put option. The equity security is then traded as a normal equity security in the Company’s portfolio. The net changes in the fair value of call and put options are shown in current earnings as a component of gains (losses) on investments and other assets. Call and put options are shown in other liabilities and accrued expenses on the condensed consolidated balance sheets.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shows the notional amount and fair value of derivatives as of September 30, 2019 and December 31, 2018.</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2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Fair Values and Notional Values of Derivative Instruments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September 30, 2019</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December 31, 2018</w:t>
            </w: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Notional</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rPr>
              <w:t>Asset Fair</w:t>
            </w:r>
          </w:p>
        </w:tc>
        <w:tc>
          <w:tcPr>
            <w:tcW w:w="100" w:type="dxa"/>
            <w:vAlign w:val="bottom"/>
          </w:tcPr>
          <w:p>
            <w:pPr>
              <w:spacing w:after="0"/>
              <w:rPr>
                <w:sz w:val="17"/>
                <w:szCs w:val="17"/>
                <w:color w:val="auto"/>
              </w:rPr>
            </w:pPr>
          </w:p>
        </w:tc>
        <w:tc>
          <w:tcPr>
            <w:tcW w:w="10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Liability Fair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Notional</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rPr>
              <w:t>Asset Fair</w:t>
            </w:r>
          </w:p>
        </w:tc>
        <w:tc>
          <w:tcPr>
            <w:tcW w:w="80" w:type="dxa"/>
            <w:vAlign w:val="bottom"/>
          </w:tcPr>
          <w:p>
            <w:pPr>
              <w:spacing w:after="0"/>
              <w:rPr>
                <w:sz w:val="17"/>
                <w:szCs w:val="17"/>
                <w:color w:val="auto"/>
              </w:rPr>
            </w:pPr>
          </w:p>
        </w:tc>
        <w:tc>
          <w:tcPr>
            <w:tcW w:w="106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Liability 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Balance Sheet Location</w:t>
            </w:r>
          </w:p>
        </w:tc>
        <w:tc>
          <w:tcPr>
            <w:tcW w:w="18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Value</w:t>
            </w:r>
          </w:p>
        </w:tc>
        <w:tc>
          <w:tcPr>
            <w:tcW w:w="8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Derivatives not</w:t>
            </w:r>
          </w:p>
        </w:tc>
        <w:tc>
          <w:tcPr>
            <w:tcW w:w="1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designated as hedging</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instruments:</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Other assets and</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1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218,687,084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4,047,124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540,085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93,758,218</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1,969,967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Call options</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2,591,700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options</w:t>
            </w:r>
          </w:p>
        </w:tc>
        <w:tc>
          <w:tcPr>
            <w:tcW w:w="1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4,861,700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222,723,274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4,047,124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645,236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99,425,418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1,969,967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678,833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40" w:name="page41"/>
    <w:bookmarkEnd w:id="40"/>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780" w:hanging="772"/>
        <w:spacing w:after="0"/>
        <w:tabs>
          <w:tab w:leader="none" w:pos="7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Derivative Instruments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shows the gains and losses on derivatives for the periods presented.</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color w:val="auto"/>
              </w:rPr>
              <w:t>Net Amount Gain (Loss)</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9"/>
              </w:rPr>
              <w:t>Net Amount Gain (Loss)</w:t>
            </w:r>
          </w:p>
        </w:tc>
        <w:tc>
          <w:tcPr>
            <w:tcW w:w="8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4"/>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4"/>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Nine Months Ended</w:t>
            </w:r>
          </w:p>
        </w:tc>
        <w:tc>
          <w:tcPr>
            <w:tcW w:w="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8"/>
              </w:rPr>
              <w:t>September 30</w:t>
            </w:r>
          </w:p>
        </w:tc>
        <w:tc>
          <w:tcPr>
            <w:tcW w:w="80" w:type="dxa"/>
            <w:vAlign w:val="bottom"/>
          </w:tcPr>
          <w:p>
            <w:pPr>
              <w:spacing w:after="0"/>
              <w:rPr>
                <w:sz w:val="20"/>
                <w:szCs w:val="20"/>
                <w:color w:val="auto"/>
              </w:rPr>
            </w:pPr>
          </w:p>
        </w:tc>
      </w:tr>
      <w:tr>
        <w:trPr>
          <w:trHeight w:val="223"/>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w:t>
            </w:r>
          </w:p>
        </w:tc>
        <w:tc>
          <w:tcPr>
            <w:tcW w:w="2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Classification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9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2840" w:type="dxa"/>
            <w:vAlign w:val="bottom"/>
            <w:tcBorders>
              <w:top w:val="single" w:sz="8" w:color="auto"/>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Mortgage fee income</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378,899</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94,569</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1,915,223</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537,696</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84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Gains on investments and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55"/>
        </w:trPr>
        <w:tc>
          <w:tcPr>
            <w:tcW w:w="20" w:type="dxa"/>
            <w:vAlign w:val="bottom"/>
          </w:tcPr>
          <w:p>
            <w:pPr>
              <w:spacing w:after="0"/>
              <w:rPr>
                <w:sz w:val="22"/>
                <w:szCs w:val="22"/>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 and put options</w:t>
            </w:r>
          </w:p>
        </w:tc>
        <w:tc>
          <w:tcPr>
            <w:tcW w:w="2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104,702</w:t>
            </w:r>
          </w:p>
        </w:tc>
        <w:tc>
          <w:tcPr>
            <w:tcW w:w="3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509,639</w:t>
            </w:r>
          </w:p>
        </w:tc>
        <w:tc>
          <w:tcPr>
            <w:tcW w:w="3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313,913</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ind w:left="780" w:hanging="772"/>
        <w:spacing w:after="0"/>
        <w:tabs>
          <w:tab w:leader="none" w:pos="7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Reinsurance, Commitments and Contingencies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Reinsurance</w:t>
      </w:r>
    </w:p>
    <w:p>
      <w:pPr>
        <w:spacing w:after="0" w:line="2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Company follows the procedure of reinsuring risks in excess of a specified limit, which ranges from $25,000 to $100,000. The Company is liable for these amounts in the event such reinsurers are unable to pay their portion of the claims. The Company has also assumed insurance from other companies.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Mortgage Loan Loss Settlements</w:t>
      </w:r>
    </w:p>
    <w:p>
      <w:pPr>
        <w:spacing w:after="0" w:line="2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Future loan losses can be extremely difficult to estimate. However, management believes that the Company’s reserve methodology and its current practice of property preservation allow it to estimate its potential losses on loans sold. The estimated liability for indemnification losses is included in other liabilities and accrued expenses and, as of September 30, 2019 and December 31, 2018, the balances were $3,882,000 and $3,605,000, respectively.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Mortgage Loan Loss Litigation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Lehman Brothers Holdings Litigation – Delaware and New York</w:t>
      </w:r>
    </w:p>
    <w:p>
      <w:pPr>
        <w:spacing w:after="0" w:line="2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In January 2014, Lehman Brothers Holdings Inc. (“Lehman Holdings”) entered into a settlement with the Federal National Mortgage Association (Fannie Mae) concerning the mortgage loan claims that Fannie Mae had asserted against Lehman Holdings, which were based on alleged breaches of certain representations and warranties by Lehman Holdings in the mortgage loans it had sold to Fannie Mae. Lehman Holdings had acquired these loans from Aurora Bank, FSB, formerly known as Lehman Brothers Bank, FSB, which in turn purchased the loans from residential mortgage loan originators, including SecurityNational Mortgage Company (“SecurityNational Mortgage”). A settlement based on similar circumstances was entered into between Lehman Holdings and the Federal Home Loan Mortgage Corporation (Freddie Mac) in February 2014.</w:t>
      </w: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Lehman Holdings filed a motion in May 2014 with the U.S. Bankruptcy Court of the Southern District of New York to require the mortgage loan originators, including SecurityNational Mortgage, to engage in non-binding mediations of the alleged indemnification claims against the mortgage loan originators relative to the Fannie Mae and Freddie Mac settlements with Lehman Holdings. The mediation was not successful in resolving any issues between SecurityNational Mortgage and Lehman Holdings.</w:t>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On January 26, 2016, SecurityNational Mortgage filed a declaratory judgment action against Lehman Holdings in the Superior Court for the State of Delaware. In the Delaware action, SecurityNational Mortgage asserted its right to obtain a declaration of rights in that there are allegedly millions of dollars in dispute with Lehman Holdings pertaining to approximately 136 mortgage loans. SecurityNational Mortgage sought a declaratory judgment as to its rights as it contends that it has no liability to Lehman Holdings as a result of Lehman Holdings’ settlements with Fannie Mae and Freddie Mac. Lehman Holdings filed a motion in the Delaware court seeking to stay or dismiss the declaratory judgment action. On August 24, 2016, the Court ruled that it would exercise its discretion to decline jurisdiction over the action and granted Lehman Holdings’ motion to dismiss.</w:t>
      </w:r>
    </w:p>
    <w:p>
      <w:pPr>
        <w:sectPr>
          <w:pgSz w:w="11900" w:h="16838" w:orient="portrait"/>
          <w:cols w:equalWidth="0" w:num="1">
            <w:col w:w="11420"/>
          </w:cols>
          <w:pgMar w:left="240" w:top="126" w:right="239" w:bottom="937"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937" w:gutter="0" w:footer="0" w:header="0"/>
          <w:type w:val="continuous"/>
        </w:sectPr>
      </w:pPr>
    </w:p>
    <w:bookmarkStart w:id="41" w:name="page42"/>
    <w:bookmarkEnd w:id="41"/>
    <w:p>
      <w:pPr>
        <w:spacing w:after="0" w:line="22" w:lineRule="exact"/>
        <w:rPr>
          <w:sz w:val="20"/>
          <w:szCs w:val="20"/>
          <w:color w:val="auto"/>
        </w:rPr>
      </w:pPr>
    </w:p>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700" w:hanging="692"/>
        <w:spacing w:after="0"/>
        <w:tabs>
          <w:tab w:leader="none" w:pos="7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Reinsurance, Commitments and Contingencies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On February 3, 2016, Lehman Holdings filed an adversary proceeding against approximately 150 mortgage loan originators, including SecurityNational Mortgage, in the U.S. Bankruptcy Court of the Southern District of New York seeking a declaration of rights similar in nature to the declaration judgment that SecurityNational Mortgage sought in its Delaware lawsuit, and for damages relating to the alleged obligations of the defendants under indemnification provisions of the alleged agreements, in amounts to be determined at trial, including interest, attorneys’ fees and costs incurred by Lehman Holdings in enforcing the obligations of the defendants. No response was required to be filed relative to the Complaint or the Amended Complaint dated March 7, 2016. A Case Management Order was entered on November 1, 2016.</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On December 27, 2016, pursuant to the Case Management Order, Lehman Holdings filed a Second Amended Complaint against SecurityNational Mortgage, which eliminates the declaratory judgment claim but retains a similar claim for damages as in the Complaint. Many of the defendants, including SecurityNational Mortgage, filed a joint motion in the case asserting that the Bankruptcy Court does not have subject matter jurisdiction concerning the matter and that venue is improper. Lehman Holdings’ response memorandum was filed on May 31, 2017 and a reply memorandum of the defendants filing the motion was filed on July 14, 2017. A hearing on the motion was held on June 12, 2018.</w:t>
      </w:r>
    </w:p>
    <w:p>
      <w:pPr>
        <w:spacing w:after="0" w:line="2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 xml:space="preserve">On August 13, 2018, the Court issued its Memorandum Decision and Order (“Decision”) denying the motion. On August 27, 2018, a number of the defendants, including SecurityNational Mortgage, filed a joint motion with the United States District Court (Case No. 18-mc-00392(VEC)) requesting that the Bankruptcy Court’s Decision be treated as findings of fact and conclusions of law, and for the District Court to review the Decision </w:t>
      </w:r>
      <w:r>
        <w:rPr>
          <w:rFonts w:ascii="Times New Roman" w:cs="Times New Roman" w:eastAsia="Times New Roman" w:hAnsi="Times New Roman"/>
          <w:sz w:val="22"/>
          <w:szCs w:val="22"/>
          <w:i w:val="1"/>
          <w:iCs w:val="1"/>
          <w:color w:val="auto"/>
        </w:rPr>
        <w:t>de novo</w:t>
      </w:r>
      <w:r>
        <w:rPr>
          <w:rFonts w:ascii="Times New Roman" w:cs="Times New Roman" w:eastAsia="Times New Roman" w:hAnsi="Times New Roman"/>
          <w:sz w:val="22"/>
          <w:szCs w:val="22"/>
          <w:color w:val="auto"/>
        </w:rPr>
        <w:t xml:space="preserve"> as to jurisdiction. Included with the motion were proposed objections to the Bankruptcy Court’s Decision. On September 18, 2018, Lehman Holdings filed its response to the joint motion, and defendants’ reply was filed on October 2, 2018.</w:t>
      </w:r>
    </w:p>
    <w:p>
      <w:pPr>
        <w:spacing w:after="0" w:line="2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On September 17, 2018, certain defendants, including SecurityNational Mortgage, also filed a notice of appeal, and thereafter a motion for leave to file an interlocutory appeal as to the Bankruptcy Court’s Decision pertaining to jurisdiction and improper venue as a “protective” appeal should the District Court decide not to treat the Decision as findings of fact and conclusions of law. Separately, certain other defendants also filed a notice of appeal and motion for leave to file an interlocutory appeal with respect to the Bankruptcy Court’s Decision concerning improper venue. Lehman Holdings filed its response on October 22, 2018, and defendants filed a joint reply to Lehman Holdings’ response on November 26, 2018. The motions to file appeals were consolidated before Valerie Caproni, U.S. District Court Judge, Case No. 18-cv-08986 (VEC). Case No. 18-mc-00392 (VEC) is also before Judge Caproni.</w:t>
      </w:r>
    </w:p>
    <w:p>
      <w:pPr>
        <w:spacing w:after="0" w:line="2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On October 1, 2018, Lehman Holdings filed a motion for leave to file a Third Amended Complaints against numerous defendants including SecurityNational Mortgage. In addition to the Fannie Mae and Freddie Mac related loans, the amendments/supplements include additional mortgage loans sold to Lehman Holdings that were packaged for securitization (“RMBS loans”). The RMBS loans had allegedly been sold by defendants to Lehman Bank that, in turn, sold them to Lehman Holdings. The allegations pertaining to the RMBS loans include, e.g., purported breaches of representations and warranties made to the securitization trusts by Lehman Holdings. Lehman Holdings asserts that it made representations and warranties purportedly based in part by representations and warranties made to Lehman Bank by loan originators, including SecurityNational Mortgage.</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The alleged RMBS loans in dispute with SecurityNational Mortgage allegedly involve millions of dollars pertaining to approximately 577 mortgage loans in addition to the Fannie Mae and Freddie Mac related loans. Lehman Holdings also moved the Court to simultaneously allow alternative dispute resolution procedures to take place, including potential mediation. Over objections, at a hearing on October 29, 2018, the Court granted Lehman Holdings’ motion to amend/supplement its complaints adding the RMBS loans, and also to mandate alternative dispute resolution procedures affecting many defendants including SecurityNational Mortgage.</w:t>
      </w:r>
    </w:p>
    <w:p>
      <w:pPr>
        <w:spacing w:after="0" w:line="2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Instead of filing a Third Amended Complaint to include the RMBS loans referenced above, Lehman Holdings filed the matter against SecurityNational Mortgage as a new complaint ("RMBS Complaint") (United States Bankruptcy Court, Southern District of New York, Adversary Proceeding 18-01819) pertaining to the approximately 577 RMBS loans, in addition to the Second Amended Complaint already on file. The RMBS Complaint seeks alleged damages relating to obligations under alleged contractual indemnification provisions in an amount to be determined at trial, interest, costs and expenses incurred by LBHI in enforcing alleged obligations, including attorneys' fees and any expert witness fees incurred in litigation; and such other relief as the Court deems just and proper. SecurityNational Mortgage denies any liability to Lehman Holdings and intends to vigorously protect and defend its position.</w:t>
      </w:r>
    </w:p>
    <w:p>
      <w:pPr>
        <w:sectPr>
          <w:pgSz w:w="11900" w:h="16860" w:orient="portrait"/>
          <w:cols w:equalWidth="0" w:num="1">
            <w:col w:w="11420"/>
          </w:cols>
          <w:pgMar w:left="240" w:top="126" w:right="239" w:bottom="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60" w:orient="portrait"/>
          <w:cols w:equalWidth="0" w:num="1">
            <w:col w:w="11420"/>
          </w:cols>
          <w:pgMar w:left="240" w:top="126" w:right="239" w:bottom="0" w:gutter="0" w:footer="0" w:header="0"/>
          <w:type w:val="continuous"/>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700" w:hanging="692"/>
        <w:spacing w:after="0"/>
        <w:tabs>
          <w:tab w:leader="none" w:pos="7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Reinsurance, Commitments and Contingencies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In response to a Court order, certain defendants referenced in the Second Amended Complaint and the RMBS Complaints negotiated with Lehman Holdings concerning an amended case management order pertaining to certain case procedures and management for both lawsuits including, but not limited to, timing for filing motions and answering the complaints, and provisions concerning discovery such as document production, taking depositions, and use of experts. At a hearing held on March 7, 2019, the Court considered differences of the parties as to the content of an amended case management order, and thereafter signed an amended case management order dated March 13, 2019.</w:t>
      </w:r>
    </w:p>
    <w:p>
      <w:pPr>
        <w:spacing w:after="0" w:line="2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On May 8, 2019, Judge Caproni issued her Opinion and Order denying the motion for an interlocutory appeal of the bankruptcy court’s ruling relative to jurisdiction and venue. Further, the judge denied the motion for immediate </w:t>
      </w:r>
      <w:r>
        <w:rPr>
          <w:rFonts w:ascii="Times New Roman" w:cs="Times New Roman" w:eastAsia="Times New Roman" w:hAnsi="Times New Roman"/>
          <w:sz w:val="22"/>
          <w:szCs w:val="22"/>
          <w:i w:val="1"/>
          <w:iCs w:val="1"/>
          <w:color w:val="auto"/>
        </w:rPr>
        <w:t>de novo</w:t>
      </w:r>
      <w:r>
        <w:rPr>
          <w:rFonts w:ascii="Times New Roman" w:cs="Times New Roman" w:eastAsia="Times New Roman" w:hAnsi="Times New Roman"/>
          <w:sz w:val="22"/>
          <w:szCs w:val="22"/>
          <w:color w:val="auto"/>
        </w:rPr>
        <w:t xml:space="preserve"> review of the bankruptcy court’s ruling indicating that </w:t>
      </w:r>
      <w:r>
        <w:rPr>
          <w:rFonts w:ascii="Times New Roman" w:cs="Times New Roman" w:eastAsia="Times New Roman" w:hAnsi="Times New Roman"/>
          <w:sz w:val="22"/>
          <w:szCs w:val="22"/>
          <w:i w:val="1"/>
          <w:iCs w:val="1"/>
          <w:color w:val="auto"/>
        </w:rPr>
        <w:t>de novo</w:t>
      </w:r>
      <w:r>
        <w:rPr>
          <w:rFonts w:ascii="Times New Roman" w:cs="Times New Roman" w:eastAsia="Times New Roman" w:hAnsi="Times New Roman"/>
          <w:sz w:val="22"/>
          <w:szCs w:val="22"/>
          <w:color w:val="auto"/>
        </w:rPr>
        <w:t xml:space="preserve"> review can be left for the future. Certain discovery has begun in the cases, and SecurityNational Mortgage filed answers and amended answers in the cases.</w:t>
      </w:r>
    </w:p>
    <w:p>
      <w:pPr>
        <w:spacing w:after="0" w:line="2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Lehman Holdings sent an Indemnification Alternative Dispute Resolution Notice (“Notice”) to SecurityNational Mortgage dated August 1, 2019. SecurityNational Mortgage sent its Statement of Position to Lehman Brothers Holdings dated September 3, 2019 in response to the Notice. Thereafter, Lehman Holdings sent its Reply dated October 2, 2019 to SecurityNational Mortgage. The parties are finalizing the selection of the mediator in anticipation of then working out details with the mediator for non-binding mediation.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Debt Covenants for Mortgage Warehouse Lines of Credit</w:t>
      </w:r>
    </w:p>
    <w:p>
      <w:pPr>
        <w:spacing w:after="0" w:line="2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Company, through its subsidiary SecurityNational Mortgage, has a $100,000,000 line of credit with Wells Fargo Bank N.A. The agreement charges interest at the 1-Month LIBOR rate plus 2.1% and matures on June 16, 2020. SecurityNational Mortgage is required to comply with covenants for adjusted tangible net worth, unrestricted cash balance, the ratio of indebtedness to adjusted tangible net worth, and the liquidity overhead coverage ratio, and a quarterly gross profit of at least $1.</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The Company, through its subsidiary SecurityNational Mortgage, also uses a line of credit with Texas Capital Bank N.A. This agreement with the bank allows SecurityNational Mortgage to borrow up to $100,000,000 for the sole purpose of funding mortgage loans. SecurityNational Mortgage is currently approved to borrow $30,000,000 of the $100,000,000 available. The agreement charges interest at the 1-Month LIBOR rate plus 3% and matures on September 9, 2020. The Company is required to comply with covenants for adjusted tangible net worth, unrestricted cash balance, and minimum combined pre-tax income (excluding any changes in the fair value of mortgage servicing rights) of at least $1 on a rolling four-quarter basis.</w:t>
      </w:r>
    </w:p>
    <w:p>
      <w:pPr>
        <w:spacing w:after="0" w:line="2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agreements for both warehouse lines include cross default provisions in that a covenant violation under one agreement constitutes a covenant violation under the other agreement. As of September 30, 2019, the Company had approximately $54,156,000 and $94,950,000 outstanding on the Texas Capital Bank and Wells Fargo warehouse lines, respectively, and was in compliance with all debt 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Contingencies and Commitments</w:t>
      </w:r>
    </w:p>
    <w:p>
      <w:pPr>
        <w:spacing w:after="0" w:line="2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The Company has entered into commitments to fund construction and land development loans and has also provided financing for land acquisition and development. As of September 30, 2019, the Company’s commitments were approximately $123,113,000 for these loans, of which $94,570,000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5.50% to 8.00% per annum. Maturities range between six and eighteen months.</w:t>
      </w:r>
    </w:p>
    <w:p>
      <w:pPr>
        <w:spacing w:after="0" w:line="2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ectPr>
          <w:pgSz w:w="11900" w:h="16838" w:orient="portrait"/>
          <w:cols w:equalWidth="0" w:num="1">
            <w:col w:w="11420"/>
          </w:cols>
          <w:pgMar w:left="240" w:top="126" w:right="239" w:bottom="0" w:gutter="0" w:footer="0" w:header="0"/>
        </w:sectPr>
      </w:pPr>
    </w:p>
    <w:bookmarkStart w:id="44" w:name="page45"/>
    <w:bookmarkEnd w:id="44"/>
    <w:p>
      <w:pPr>
        <w:jc w:val="both"/>
        <w:spacing w:after="0" w:line="265" w:lineRule="auto"/>
        <w:rPr>
          <w:sz w:val="20"/>
          <w:szCs w:val="20"/>
          <w:color w:val="auto"/>
        </w:rPr>
      </w:pPr>
      <w:r>
        <w:rPr>
          <w:rFonts w:ascii="Times New Roman" w:cs="Times New Roman" w:eastAsia="Times New Roman" w:hAnsi="Times New Roman"/>
          <w:sz w:val="22"/>
          <w:szCs w:val="22"/>
          <w:color w:val="auto"/>
        </w:rPr>
        <w:t>The Company is a defendant in various other legal actions arising from the normal conduct of business. Management believes that none of the actions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23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1"/>
          <w:szCs w:val="21"/>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2"/>
          <w:szCs w:val="22"/>
          <w:color w:val="auto"/>
        </w:rPr>
        <w:t>SECURITY NATIONAL FINANCIAL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September 30, 2019 (Unaudited)</w:t>
      </w:r>
    </w:p>
    <w:p>
      <w:pPr>
        <w:spacing w:after="0" w:line="17" w:lineRule="exact"/>
        <w:rPr>
          <w:sz w:val="20"/>
          <w:szCs w:val="20"/>
          <w:color w:val="auto"/>
        </w:rPr>
      </w:pPr>
    </w:p>
    <w:p>
      <w:pPr>
        <w:ind w:left="700" w:hanging="692"/>
        <w:spacing w:after="0"/>
        <w:tabs>
          <w:tab w:leader="none" w:pos="7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Mortgage Servicing Rights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initially records these MSRs at fair value as discussed in Note 8.</w:t>
      </w:r>
    </w:p>
    <w:p>
      <w:pPr>
        <w:spacing w:after="0" w:line="2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2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a summary of the MSR activity for the periods presented.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As of</w:t>
            </w: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As of</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September</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Amortized cost:</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before valuation allowance at beginning of year</w:t>
            </w:r>
          </w:p>
        </w:tc>
        <w:tc>
          <w:tcPr>
            <w:tcW w:w="28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20,016,822</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21,376,937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MSR additions resulting from loan sales</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2,015,872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3,922,816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(1)</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(5,081,570)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(5,282,931)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Application of valuation allowance to write down MSRs</w:t>
            </w:r>
          </w:p>
        </w:tc>
        <w:tc>
          <w:tcPr>
            <w:tcW w:w="2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 other than temporary impairment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before valuation allowance at end of period</w:t>
            </w:r>
          </w:p>
        </w:tc>
        <w:tc>
          <w:tcPr>
            <w:tcW w:w="2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16,951,124</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20,016,822</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impairment of MSRs: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8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Application of valuation allowance to write down MSRs</w:t>
            </w:r>
          </w:p>
        </w:tc>
        <w:tc>
          <w:tcPr>
            <w:tcW w:w="2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 other than temporary impairment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28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16,951,124</w:t>
            </w:r>
          </w:p>
        </w:tc>
        <w:tc>
          <w:tcPr>
            <w:tcW w:w="1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20,016,822</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MSRs at end of period</w:t>
            </w:r>
          </w:p>
        </w:tc>
        <w:tc>
          <w:tcPr>
            <w:tcW w:w="28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20,216,363</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28,885,316</w:t>
            </w: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(1) Included in other expenses on the condensed consolidated statements of earnings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11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60" w:type="dxa"/>
            <w:vAlign w:val="bottom"/>
          </w:tcPr>
          <w:p>
            <w:pPr>
              <w:jc w:val="right"/>
              <w:ind w:right="2256"/>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6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46" w:name="page47"/>
    <w:bookmarkEnd w:id="46"/>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700" w:hanging="692"/>
        <w:spacing w:after="0"/>
        <w:tabs>
          <w:tab w:leader="none" w:pos="7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Mortgage Servicing Rights</w:t>
      </w:r>
      <w:r>
        <w:rPr>
          <w:rFonts w:ascii="Times New Roman" w:cs="Times New Roman" w:eastAsia="Times New Roman" w:hAnsi="Times New Roman"/>
          <w:sz w:val="22"/>
          <w:szCs w:val="22"/>
          <w:color w:val="auto"/>
        </w:rPr>
        <w:t xml:space="preserve"> (Continued)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Company’s estimate of future amortization of its existing MSRs carried at amortized cost:</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Estimated</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MSR</w:t>
            </w:r>
          </w:p>
        </w:tc>
        <w:tc>
          <w:tcPr>
            <w:tcW w:w="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640" w:type="dxa"/>
            <w:vAlign w:val="bottom"/>
            <w:gridSpan w:val="2"/>
          </w:tcPr>
          <w:p>
            <w:pPr>
              <w:jc w:val="center"/>
              <w:ind w:left="3590"/>
              <w:spacing w:after="0"/>
              <w:rPr>
                <w:sz w:val="20"/>
                <w:szCs w:val="20"/>
                <w:color w:val="auto"/>
              </w:rPr>
            </w:pPr>
            <w:r>
              <w:rPr>
                <w:rFonts w:ascii="Times New Roman" w:cs="Times New Roman" w:eastAsia="Times New Roman" w:hAnsi="Times New Roman"/>
                <w:sz w:val="18"/>
                <w:szCs w:val="18"/>
                <w:color w:val="auto"/>
                <w:w w:val="99"/>
              </w:rPr>
              <w:t>Amortization</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6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1,447,366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5,452,834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3,769,028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3,003,819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2,412,176</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865,901</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$ 16,951,124</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The Company collected the following contractual servicing fee income and late fee income as reported in other revenues on the condensed consolidated statement of earnings: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Nine Months Ended</w:t>
            </w:r>
          </w:p>
        </w:tc>
        <w:tc>
          <w:tcPr>
            <w:tcW w:w="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servicing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1,765,957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1,905,887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5,433,970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5,670,346</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Late fees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82,547</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106,354</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261,437</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334,452</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1,848,504</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2,012,241</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5,695,407</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6,004,798</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a summary of the unpaid principal balances (“UPB”) of the servicing portfolio for the periods presented: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As of</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of</w:t>
            </w:r>
          </w:p>
        </w:tc>
        <w:tc>
          <w:tcPr>
            <w:tcW w:w="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rPr>
              <w:t>September 30</w:t>
            </w:r>
          </w:p>
        </w:tc>
        <w:tc>
          <w:tcPr>
            <w:tcW w:w="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8"/>
                <w:szCs w:val="18"/>
                <w:color w:val="auto"/>
              </w:rPr>
            </w:pPr>
          </w:p>
        </w:tc>
      </w:tr>
      <w:tr>
        <w:trPr>
          <w:trHeight w:val="241"/>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UPB</w:t>
            </w:r>
          </w:p>
        </w:tc>
        <w:tc>
          <w:tcPr>
            <w:tcW w:w="6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$2,754,157,857</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$2,941,231,563</w:t>
            </w:r>
          </w:p>
        </w:tc>
        <w:tc>
          <w:tcPr>
            <w:tcW w:w="80" w:type="dxa"/>
            <w:vAlign w:val="bottom"/>
            <w:shd w:val="clear" w:color="auto" w:fill="CCEEFF"/>
          </w:tcPr>
          <w:p>
            <w:pPr>
              <w:spacing w:after="0"/>
              <w:rPr>
                <w:sz w:val="18"/>
                <w:szCs w:val="18"/>
                <w:color w:val="auto"/>
              </w:rPr>
            </w:pPr>
          </w:p>
        </w:tc>
      </w:tr>
      <w:tr>
        <w:trPr>
          <w:trHeight w:val="539"/>
        </w:trPr>
        <w:tc>
          <w:tcPr>
            <w:tcW w:w="71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The following key assumptions were used in determining MSR value:</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9"/>
        </w:trPr>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Prepayment</w:t>
            </w:r>
          </w:p>
        </w:tc>
        <w:tc>
          <w:tcPr>
            <w:tcW w:w="180" w:type="dxa"/>
            <w:vAlign w:val="bottom"/>
          </w:tcPr>
          <w:p>
            <w:pPr>
              <w:spacing w:after="0"/>
              <w:rPr>
                <w:sz w:val="24"/>
                <w:szCs w:val="24"/>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Average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Discount</w:t>
            </w:r>
          </w:p>
        </w:tc>
        <w:tc>
          <w:tcPr>
            <w:tcW w:w="80" w:type="dxa"/>
            <w:vAlign w:val="bottom"/>
          </w:tcPr>
          <w:p>
            <w:pPr>
              <w:spacing w:after="0"/>
              <w:rPr>
                <w:sz w:val="24"/>
                <w:szCs w:val="24"/>
                <w:color w:val="auto"/>
              </w:rPr>
            </w:pPr>
          </w:p>
        </w:tc>
      </w:tr>
      <w:tr>
        <w:trPr>
          <w:trHeight w:val="241"/>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Speeds</w:t>
            </w:r>
          </w:p>
        </w:tc>
        <w:tc>
          <w:tcPr>
            <w:tcW w:w="180" w:type="dxa"/>
            <w:vAlign w:val="bottom"/>
          </w:tcPr>
          <w:p>
            <w:pPr>
              <w:spacing w:after="0"/>
              <w:rPr>
                <w:sz w:val="20"/>
                <w:szCs w:val="20"/>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Life (Years)</w:t>
            </w:r>
          </w:p>
        </w:tc>
        <w:tc>
          <w:tcPr>
            <w:tcW w:w="200" w:type="dxa"/>
            <w:vAlign w:val="bottom"/>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Rate</w:t>
            </w:r>
          </w:p>
        </w:tc>
        <w:tc>
          <w:tcPr>
            <w:tcW w:w="8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shd w:val="clear" w:color="auto" w:fill="CCEEFF"/>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tcPr>
          <w:p>
            <w:pPr>
              <w:spacing w:after="0"/>
              <w:rPr>
                <w:sz w:val="20"/>
                <w:szCs w:val="20"/>
                <w:color w:val="auto"/>
              </w:rPr>
            </w:pPr>
          </w:p>
        </w:tc>
      </w:tr>
      <w:tr>
        <w:trPr>
          <w:trHeight w:val="468"/>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6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Income Taxes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The Company’s overall effective tax rate for the three months ended September 30, 2019 and 2018 was 24.0% and 9.0%, respectively, which resulted in a provision for income taxes of $1,142,000 and $198,000, respectively. The Company’s overall effective tax rate for the nine months ended September 30, 2019 and 2018 was 23.6% and 19.5%, respectively, which resulted in a provision for income taxes of $2,788,000 and $5,383,000, respectively. The Company's effective tax rates differ from the U.S. federal statutory rate of 21% partially due to its provision for state income taxes. The effective tax rate in the current period increased when compared to the prior year period largely due to the Company’s provision for state income taxes and larger discrete provision-to-return adjustments in the prior year mainly due to the Tax Cuts and Jobs Act reduction of the federal statutory rate from 35% to 21%.</w:t>
      </w:r>
    </w:p>
    <w:p>
      <w:pPr>
        <w:sectPr>
          <w:pgSz w:w="11900" w:h="16838" w:orient="portrait"/>
          <w:cols w:equalWidth="0" w:num="1">
            <w:col w:w="11420"/>
          </w:cols>
          <w:pgMar w:left="240" w:top="126" w:right="239"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47" w:name="page48"/>
    <w:bookmarkEnd w:id="47"/>
    <w:p>
      <w:pPr>
        <w:jc w:val="center"/>
        <w:spacing w:after="0" w:line="26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33" w:lineRule="exact"/>
        <w:rPr>
          <w:sz w:val="20"/>
          <w:szCs w:val="20"/>
          <w:color w:val="auto"/>
        </w:rPr>
      </w:pPr>
    </w:p>
    <w:p>
      <w:pPr>
        <w:ind w:left="780" w:hanging="772"/>
        <w:spacing w:after="0"/>
        <w:tabs>
          <w:tab w:leader="none" w:pos="7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Revenues from Contracts with Customers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reports revenues from contracts with customers pursuant to ASC No. 606, Revenue from Contracts with Customers.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Information about Performance Obligations and Contract Balances</w:t>
      </w:r>
    </w:p>
    <w:p>
      <w:pPr>
        <w:spacing w:after="0" w:line="2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three types of future obligations are as follows:</w:t>
      </w:r>
    </w:p>
    <w:p>
      <w:pPr>
        <w:spacing w:after="0" w:line="2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i w:val="1"/>
          <w:iCs w:val="1"/>
          <w:u w:val="single" w:color="auto"/>
          <w:color w:val="auto"/>
        </w:rPr>
        <w:t>Pre-need Merchandise and Service Revenue</w:t>
      </w:r>
      <w:r>
        <w:rPr>
          <w:rFonts w:ascii="Times New Roman" w:cs="Times New Roman" w:eastAsia="Times New Roman" w:hAnsi="Times New Roman"/>
          <w:sz w:val="22"/>
          <w:szCs w:val="22"/>
          <w:color w:val="auto"/>
        </w:rPr>
        <w:t>: All pre-need merchandise and service revenue is deferred and the funds are placed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trust until the need arises, the merchandise is received or the service is performed. The trust is then relieved, and the revenue and commissions are recognized.</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i w:val="1"/>
          <w:iCs w:val="1"/>
          <w:u w:val="single" w:color="auto"/>
          <w:color w:val="auto"/>
        </w:rPr>
        <w:t>At-need Specialty Merchandise Revenue</w:t>
      </w:r>
      <w:r>
        <w:rPr>
          <w:rFonts w:ascii="Times New Roman" w:cs="Times New Roman" w:eastAsia="Times New Roman" w:hAnsi="Times New Roman"/>
          <w:sz w:val="22"/>
          <w:szCs w:val="22"/>
          <w:color w:val="auto"/>
        </w:rPr>
        <w:t>: At-need specialty merchandise revenue consists of customizable merchandise ordered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a manufacturer such as markers and bases. When specialty merchandise is ordered, it can take time to manufacture and deliver the product. Revenue is deferred until the at-need merchandise is received.</w:t>
      </w:r>
    </w:p>
    <w:p>
      <w:pPr>
        <w:spacing w:after="0" w:line="22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2"/>
          <w:szCs w:val="22"/>
          <w:i w:val="1"/>
          <w:iCs w:val="1"/>
          <w:u w:val="single" w:color="auto"/>
          <w:color w:val="auto"/>
        </w:rPr>
        <w:t>Deferred Pre-need Land Revenue</w:t>
      </w:r>
      <w:r>
        <w:rPr>
          <w:rFonts w:ascii="Times New Roman" w:cs="Times New Roman" w:eastAsia="Times New Roman" w:hAnsi="Times New Roman"/>
          <w:sz w:val="22"/>
          <w:szCs w:val="22"/>
          <w:color w:val="auto"/>
        </w:rPr>
        <w:t>: Deferred pre-need revenue and corresponding commissions are deferred until 10% of the funds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received from the customer through regular monthly payments. Deferred pre-need land revenue is not placed in trust.</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opening and closing balances of the Company’s receivables, contract assets and contract liabilities are as follows: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100" w:type="dxa"/>
            <w:vAlign w:val="bottom"/>
            <w:tcBorders>
              <w:bottom w:val="single" w:sz="8" w:color="auto"/>
            </w:tcBorders>
            <w:gridSpan w:val="6"/>
          </w:tcPr>
          <w:p>
            <w:pPr>
              <w:jc w:val="right"/>
              <w:ind w:right="810"/>
              <w:spacing w:after="0"/>
              <w:rPr>
                <w:sz w:val="20"/>
                <w:szCs w:val="20"/>
                <w:color w:val="auto"/>
              </w:rPr>
            </w:pPr>
            <w:r>
              <w:rPr>
                <w:rFonts w:ascii="Times New Roman" w:cs="Times New Roman" w:eastAsia="Times New Roman" w:hAnsi="Times New Roman"/>
                <w:sz w:val="18"/>
                <w:szCs w:val="18"/>
                <w:color w:val="auto"/>
              </w:rPr>
              <w:t>Contract Balances</w:t>
            </w:r>
          </w:p>
        </w:tc>
        <w:tc>
          <w:tcPr>
            <w:tcW w:w="8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Receivables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w w:val="99"/>
              </w:rPr>
              <w:t>Contract</w:t>
            </w:r>
          </w:p>
        </w:tc>
        <w:tc>
          <w:tcPr>
            <w:tcW w:w="160" w:type="dxa"/>
            <w:vAlign w:val="bottom"/>
          </w:tcPr>
          <w:p>
            <w:pPr>
              <w:spacing w:after="0"/>
              <w:rPr>
                <w:sz w:val="17"/>
                <w:szCs w:val="17"/>
                <w:color w:val="auto"/>
              </w:rPr>
            </w:pPr>
          </w:p>
        </w:tc>
        <w:tc>
          <w:tcPr>
            <w:tcW w:w="90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Contract</w:t>
            </w:r>
          </w:p>
        </w:tc>
        <w:tc>
          <w:tcPr>
            <w:tcW w:w="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2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Asset</w:t>
            </w:r>
          </w:p>
        </w:tc>
        <w:tc>
          <w:tcPr>
            <w:tcW w:w="1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Liability</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(1/1/2019)</w:t>
            </w:r>
          </w:p>
        </w:tc>
        <w:tc>
          <w:tcPr>
            <w:tcW w:w="2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2,816,225</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$12,508,625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Closing (9/30/2019)</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2,912,835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12,901,226</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2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96,610</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392,601</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 Included in Receivables, net on the condensed consolidated balance sheets</w:t>
      </w:r>
    </w:p>
    <w:p>
      <w:pPr>
        <w:spacing w:after="0" w:line="2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amount of revenue recognized and included in the opening contract liability balance for the three months ended September 30, 2019 and 2018 was $884,180 and $724,097, respectively, and for the nine months ended September 30, 2019 and 2018 was $2,515,278 and $2,079,157, respectively.</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2"/>
          <w:szCs w:val="22"/>
          <w:color w:val="auto"/>
        </w:rPr>
        <w:t>SECURITY NATIONAL FINANCIAL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September 30, 2019 (Unaudited)</w:t>
      </w:r>
    </w:p>
    <w:p>
      <w:pPr>
        <w:spacing w:after="0" w:line="275" w:lineRule="exact"/>
        <w:rPr>
          <w:sz w:val="20"/>
          <w:szCs w:val="20"/>
          <w:color w:val="auto"/>
        </w:rPr>
      </w:pPr>
    </w:p>
    <w:p>
      <w:pPr>
        <w:ind w:left="780" w:hanging="772"/>
        <w:spacing w:after="0"/>
        <w:tabs>
          <w:tab w:leader="none" w:pos="7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Revenues from Contracts with Customers</w:t>
      </w:r>
      <w:r>
        <w:rPr>
          <w:rFonts w:ascii="Times New Roman" w:cs="Times New Roman" w:eastAsia="Times New Roman" w:hAnsi="Times New Roman"/>
          <w:sz w:val="22"/>
          <w:szCs w:val="22"/>
          <w:color w:val="auto"/>
        </w:rPr>
        <w:t xml:space="preserve"> (Continued)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Disaggregation of Revenue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disaggregates revenue for the Company’s cemetery and mortuary contracts for the periods presented:</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Nine Months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Ended September 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Major goods/service lines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At-need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2,888,996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2,772,859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8,883,846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7,973,554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Pre-need</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637,420</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873,431</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2,321,928</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2,456,574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3,526,416</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3,646,290</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11,205,774</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10,430,128</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4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Timing of Revenue Recognition</w:t>
            </w:r>
          </w:p>
        </w:tc>
        <w:tc>
          <w:tcPr>
            <w:tcW w:w="2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2,371,041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2,448,836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7,515,881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1,155,375</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1,197,454</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3,689,893</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3,495,155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3,526,416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3,646,290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11,205,774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10,430,128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reconciles revenues from cemetery and mortuary contracts to Note 7 – Business Segment Information for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Cemetery/Mortuary Segment for the periods presented: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19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Nine Months Ended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19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9"/>
                <w:szCs w:val="19"/>
                <w:color w:val="auto"/>
              </w:rPr>
            </w:pPr>
          </w:p>
        </w:tc>
        <w:tc>
          <w:tcPr>
            <w:tcW w:w="1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12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3,526,416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3,646,290</w:t>
            </w:r>
          </w:p>
        </w:tc>
        <w:tc>
          <w:tcPr>
            <w:tcW w:w="1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$11,205,774</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$10,430,128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2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(100,685)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245,448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752,412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2,330,701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387,617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194,425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32,442</w:t>
            </w: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126,908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105,103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116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3,570,419</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4,008,943</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12,472,711</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13,060,357</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605"/>
        </w:trPr>
        <w:tc>
          <w:tcPr>
            <w:tcW w:w="1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45</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
        </w:trPr>
        <w:tc>
          <w:tcPr>
            <w:tcW w:w="116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2" w:right="239" w:bottom="1440" w:gutter="0" w:footer="0" w:header="0"/>
        </w:sectPr>
      </w:pPr>
    </w:p>
    <w:bookmarkStart w:id="49" w:name="page50"/>
    <w:bookmarkEnd w:id="49"/>
    <w:p>
      <w:pPr>
        <w:jc w:val="center"/>
        <w:spacing w:after="0" w:line="264"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00" w:lineRule="exact"/>
        <w:rPr>
          <w:sz w:val="20"/>
          <w:szCs w:val="20"/>
          <w:color w:val="auto"/>
        </w:rPr>
      </w:pPr>
    </w:p>
    <w:p>
      <w:pPr>
        <w:spacing w:after="0" w:line="303" w:lineRule="exact"/>
        <w:rPr>
          <w:sz w:val="20"/>
          <w:szCs w:val="20"/>
          <w:color w:val="auto"/>
        </w:rPr>
      </w:pPr>
    </w:p>
    <w:p>
      <w:pPr>
        <w:ind w:left="780" w:hanging="772"/>
        <w:spacing w:after="0"/>
        <w:tabs>
          <w:tab w:leader="none" w:pos="7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Acquisitions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Probst Family Funerals and Cremations and Heber Valley Funeral Home</w:t>
      </w:r>
    </w:p>
    <w:p>
      <w:pPr>
        <w:spacing w:after="0" w:line="2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On February 15, 2019, the Company, through its wholly-owned subsidiary, Memorial Mortuary Inc., completed an asset purchase transaction with Probst Family Funerals and Cremations, LLC. (“Probst Family Funerals”) and Heber Valley Funeral Home, Inc. (“Heber Valley Funeral Home”). These funeral homes are both located in Heber Valley, a community situated about 45 miles southeast of Salt Lake City. For the year ended December 31, 2018, Probst Family Funerals and Heber Valley Funeral Home had combined revenues of $1,055,634 and a combined net pre-tax income of $179,613. As of December 31, 2018, Probst Family Funerals and Heber Valley Funeral Home had combined assets of $1,161,029 and a combined total equity of $18,052.</w:t>
      </w:r>
    </w:p>
    <w:p>
      <w:pPr>
        <w:spacing w:after="0" w:line="2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Under the terms of the transaction, as set forth in the Asset Purchase Agreement, dated February 15, 2019, by and among SN Probst, a wholly owned subsidiary of Memorial Mortuary, and Probst Family Funerals, Heber Valley Funeral Home, Joe T. Probst, Clinton Wayne Probst, Calle J. Probst, and Marsha L. Probst, Memorial Mortuary, through its wholly owned subsidiary SN Probst, paid a net purchase price of $3,315,647 for the business and assets of Probst Family Funerals and Heber Valley Funeral Home, subject to a $150,000 holdback. At the closing, Probst Funeral Homes and Heber Valley Funeral Home paid off the $907,407 principal balance and $4,340 in interest on a loan at Zions Bank that was secured by the Heber Valley Funeral Home. Also, at the closing, Probst Funeral Homes and Heber Valley Funeral Home paid off the $157,148 loan with Utah Community Credit Union and the $32,987 line of credit with Zions Bank.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estimated fair values of the assets acquired and liabilities assumed as of the date of acquisition were as follows:</w:t>
      </w:r>
    </w:p>
    <w:p>
      <w:pPr>
        <w:spacing w:after="0" w:line="30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3,318,823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net assets acquired/consideration paid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3,315,647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estimated fair values of buildings, land and warehouses included in property and equipment are based on independent appraisals using a sales comparison approach which are considered to be Level 3 under the fair value hierarchy. The Company determined that the estimated fair value of the remaining assets and liabilities acquired approximated their book values.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0" w:name="page51"/>
    <w:bookmarkEnd w:id="50"/>
    <w:p>
      <w:pPr>
        <w:jc w:val="center"/>
        <w:spacing w:after="0" w:line="270" w:lineRule="auto"/>
        <w:rPr>
          <w:sz w:val="20"/>
          <w:szCs w:val="20"/>
          <w:color w:val="auto"/>
        </w:rPr>
      </w:pPr>
      <w:r>
        <w:rPr>
          <w:rFonts w:ascii="Times New Roman" w:cs="Times New Roman" w:eastAsia="Times New Roman" w:hAnsi="Times New Roman"/>
          <w:sz w:val="22"/>
          <w:szCs w:val="22"/>
          <w:color w:val="auto"/>
        </w:rPr>
        <w:t>SECURITY NATIONAL FINANCIAL CORPORATION AND SUBSIDIARIES Notes to Condensed Consolidated Financial Statements September 30, 2019 (Unaudited)</w:t>
      </w:r>
    </w:p>
    <w:p>
      <w:pPr>
        <w:spacing w:after="0" w:line="227" w:lineRule="exact"/>
        <w:rPr>
          <w:sz w:val="20"/>
          <w:szCs w:val="20"/>
          <w:color w:val="auto"/>
        </w:rPr>
      </w:pPr>
    </w:p>
    <w:p>
      <w:pPr>
        <w:ind w:left="780" w:hanging="772"/>
        <w:spacing w:after="0"/>
        <w:tabs>
          <w:tab w:leader="none" w:pos="7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Acquisitions</w:t>
      </w:r>
      <w:r>
        <w:rPr>
          <w:rFonts w:ascii="Times New Roman" w:cs="Times New Roman" w:eastAsia="Times New Roman" w:hAnsi="Times New Roman"/>
          <w:sz w:val="22"/>
          <w:szCs w:val="22"/>
          <w:color w:val="auto"/>
        </w:rPr>
        <w:t xml:space="preserve"> (Continued)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Beta Capital Corp</w:t>
      </w:r>
    </w:p>
    <w:p>
      <w:pPr>
        <w:spacing w:after="0" w:line="2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On June 1, 2018, the Company completed a stock purchase transaction with Beta Capital Corp. ("Beta Capital") and Ronald D. Maxson ("Maxson"), the sole owner of all the outstanding shares of common stock of Beta Capital, to purchase all of the outstanding shares of common stock of Beta Capital. Beta Capital is engaged in the operation of a factoring business with the principal purpose of providing funding for funeral homes and mortuaries.</w:t>
      </w:r>
    </w:p>
    <w:p>
      <w:pPr>
        <w:spacing w:after="0" w:line="2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Under the terms of the transaction, as set forth in the Stock Purchase Agreement dated June 1, 2018, by and among the Company, Beta Capital and Maxson, the Company paid Maxson the purchase consideration at the closing of the transaction equal to the sum of (i) $890,000 in cash plus (ii) the accounts receivable value of $2,515,783, representing the total amount of the Company's outstanding receivables as of the closing date of June 1, 2018, for a total closing payment of $3,405,783. From the $3,405,783 closing payment, a holdback amount equal to $175,000 was deposited into an interest bearing escrow account to be held for a period of eighteen months from the closing date to pay off any uncollected accounts receivable and other liabilities of Beta Capital as of the closing date.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estimated fair values of the assets acquired as of the date of acquisition were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 insurance assignments</w:t>
            </w:r>
          </w:p>
        </w:tc>
        <w:tc>
          <w:tcPr>
            <w:tcW w:w="2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2,515,783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 customer list intangible asset</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2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3,405,783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net assets acquired/consideration paid</w:t>
            </w:r>
          </w:p>
        </w:tc>
        <w:tc>
          <w:tcPr>
            <w:tcW w:w="2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w w:val="95"/>
              </w:rPr>
              <w:t>16)</w:t>
            </w:r>
          </w:p>
        </w:tc>
        <w:tc>
          <w:tcPr>
            <w:tcW w:w="628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Subsequent Events</w:t>
            </w:r>
          </w:p>
        </w:tc>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80" w:type="dxa"/>
            <w:vAlign w:val="bottom"/>
            <w:vMerge w:val="continue"/>
          </w:tcPr>
          <w:p>
            <w:pPr>
              <w:spacing w:after="0"/>
              <w:rPr>
                <w:sz w:val="24"/>
                <w:szCs w:val="24"/>
                <w:color w:val="auto"/>
              </w:rPr>
            </w:pPr>
          </w:p>
        </w:tc>
        <w:tc>
          <w:tcPr>
            <w:tcW w:w="6280" w:type="dxa"/>
            <w:vAlign w:val="bottom"/>
            <w:gridSpan w:val="3"/>
            <w:vMerge w:val="continue"/>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Kilpatrick Life Insurance Company</w:t>
      </w:r>
    </w:p>
    <w:p>
      <w:pPr>
        <w:spacing w:after="0" w:line="2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On October 11, 2019, the Company, through its wholly owned subsidiary, Security National Life Insurance Company (“Security Life”) entered into a stock purchase agreement (the “Stock Purchase Agreement”) with Kilpatrick Life Insurance Company, a Louisiana domiciled life insurance company (“Kilpatrick Life”) and its shareholders to purchase all of the outstanding shares of common stock of Kilpatrick Life. The closing of the transaction is subject to approval by the Louisiana Department of Insurance of the change of control of Kilpatrick Life. Closing will occur after approval by the Louisiana Department of Insurance.</w:t>
      </w: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Under the terms of the Stock Purchase Agreement, the aggregate purchase price for all the shares held by the Kilpatrick Life shareholders is $22,000,000 plus or minus adjustments for increases or decreases in the fair value of bonds held by Kilpatrick Life as defined in the Stock Purchase Agreement.</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The Stock Purchase Agreement further provides that Security Life and Kilpatrick Life each agree to enter into a Coinsurance Agreement contemporaneous with the execution of the Stock Purchase Agreement. Subject to the terms and conditions of the Coinsurance Agreement, Security Life, as coinsurer, agrees to coinsure all of the insurance policies as of the coinsure effective date in exchange for receipt of the reinsurance settlement amount from Kilpatrick Life, to the extent permitted by the Louisiana Department of Insurance, except for certain policies not included with the coinsured policies. It is anticipated that the settlement amount compensating Security Life for assuming the obligations associated with these policies will be approximately $166,453,000. Unless otherwise directed by Security Life, as coinsurer, Kilpatrick Life will administer the policies on behalf of Security Life, as coinsurer, for the duration of the Coinsurance Agreement.</w:t>
      </w:r>
    </w:p>
    <w:p>
      <w:pPr>
        <w:spacing w:after="0" w:line="2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For further information regarding the Stock Purchase Agreement and the Coinsurance Agreement between Security Life and Kilpatrick Life, please refer to the Company’s Form 8-K filed on November 14, 2019.</w:t>
      </w:r>
    </w:p>
    <w:p>
      <w:pPr>
        <w:sectPr>
          <w:pgSz w:w="11900" w:h="16838" w:orient="portrait"/>
          <w:cols w:equalWidth="0" w:num="1">
            <w:col w:w="11420"/>
          </w:cols>
          <w:pgMar w:left="240" w:top="126"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Company’s operations over the last several years generally reflect three trends or events which the Company expects to continue: (i) increased attention to “niche” insurance products, such as the Company’s funeral plan policies and traditional whole life products; (ii) emphasis on cemetery and mortuary business; and (iii) capitalizing on an improving housing market by originating mortgage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Insurance Operations</w:t>
      </w:r>
    </w:p>
    <w:p>
      <w:pPr>
        <w:spacing w:after="0" w:line="2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A funeral plan is a small face value life insurance policy that generally has face coverage of up to $25,000.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24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following table shows the condensed financial results of the insurance operations for three and nine months ended September 30, 2019 and 2018. See Note 7 to the condensed consolidated financial statements.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180" w:type="dxa"/>
            <w:vAlign w:val="bottom"/>
          </w:tcPr>
          <w:p>
            <w:pPr>
              <w:spacing w:after="0"/>
              <w:rPr>
                <w:sz w:val="18"/>
                <w:szCs w:val="18"/>
                <w:color w:val="auto"/>
              </w:rPr>
            </w:pPr>
          </w:p>
        </w:tc>
        <w:tc>
          <w:tcPr>
            <w:tcW w:w="306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180" w:type="dxa"/>
            <w:vAlign w:val="bottom"/>
          </w:tcPr>
          <w:p>
            <w:pPr>
              <w:spacing w:after="0"/>
              <w:rPr>
                <w:sz w:val="20"/>
                <w:szCs w:val="20"/>
                <w:color w:val="auto"/>
              </w:rPr>
            </w:pPr>
          </w:p>
        </w:tc>
        <w:tc>
          <w:tcPr>
            <w:tcW w:w="3060" w:type="dxa"/>
            <w:vAlign w:val="bottom"/>
            <w:gridSpan w:val="7"/>
          </w:tcPr>
          <w:p>
            <w:pPr>
              <w:jc w:val="center"/>
              <w:ind w:right="40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 Increase</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(Decrease)</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198"/>
        </w:trPr>
        <w:tc>
          <w:tcPr>
            <w:tcW w:w="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Revenues</w:t>
            </w:r>
          </w:p>
        </w:tc>
        <w:tc>
          <w:tcPr>
            <w:tcW w:w="9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from</w:t>
            </w:r>
          </w:p>
        </w:tc>
        <w:tc>
          <w:tcPr>
            <w:tcW w:w="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external</w:t>
            </w: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customers</w:t>
            </w: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Insurance premiums</w:t>
            </w:r>
          </w:p>
        </w:tc>
        <w:tc>
          <w:tcPr>
            <w:tcW w:w="7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19,832</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13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58,505</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56,641</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28,574</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80" w:type="dxa"/>
            <w:vAlign w:val="bottom"/>
            <w:tcBorders>
              <w:right w:val="single" w:sz="8" w:color="CCEEFF"/>
            </w:tcBorders>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Gains (losses) on investments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other assets</w:t>
            </w:r>
          </w:p>
        </w:tc>
        <w:tc>
          <w:tcPr>
            <w:tcW w:w="7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3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29,824</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28,963</w:t>
            </w: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88,937</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109,199</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720" w:type="dxa"/>
            <w:vAlign w:val="bottom"/>
          </w:tcPr>
          <w:p>
            <w:pPr>
              <w:spacing w:after="0"/>
              <w:rPr>
                <w:sz w:val="18"/>
                <w:szCs w:val="18"/>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5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28,841</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Intersegment revenues are primarily interest income from the warehouse line provided to SecurityNational Mortgage Company (“SecurityNational Mortgage”). Profitability in the three and nine months ended September 30, 2019 has decreased due to the $22,252,000 gain that was realized on the sale of Dry Creek at East Village Apartments in the first quarter of 2018 and impairment losses on commercial real estate recognized in 2019.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Cemetery and Mortuary Operations</w:t>
      </w:r>
    </w:p>
    <w:p>
      <w:pPr>
        <w:spacing w:after="0" w:line="2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Company sells mortuary services and products through its eight mortuaries in Utah. The Company also sells cemetery products and services through its five cemeteries in Utah and one cemetery in San Diego County, California.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ectPr>
          <w:pgSz w:w="11900" w:h="16838" w:orient="portrait"/>
          <w:cols w:equalWidth="0" w:num="1">
            <w:col w:w="11420"/>
          </w:cols>
          <w:pgMar w:left="240" w:top="365"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type w:val="continuous"/>
        </w:sectPr>
      </w:pPr>
    </w:p>
    <w:bookmarkStart w:id="52" w:name="page53"/>
    <w:bookmarkEnd w:id="52"/>
    <w:p>
      <w:pPr>
        <w:jc w:val="both"/>
        <w:spacing w:after="0" w:line="284" w:lineRule="auto"/>
        <w:rPr>
          <w:sz w:val="20"/>
          <w:szCs w:val="20"/>
          <w:color w:val="auto"/>
        </w:rPr>
      </w:pPr>
      <w:r>
        <w:rPr>
          <w:rFonts w:ascii="Times New Roman" w:cs="Times New Roman" w:eastAsia="Times New Roman" w:hAnsi="Times New Roman"/>
          <w:sz w:val="22"/>
          <w:szCs w:val="22"/>
          <w:color w:val="auto"/>
        </w:rPr>
        <w:t>The following table shows the condensed financial results of the cemetery and mortuary operations for the three and nine months ended September 30, 2019 and 2018. See Note 7 to the condensed consolidated financial statements.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180" w:type="dxa"/>
            <w:vAlign w:val="bottom"/>
          </w:tcPr>
          <w:p>
            <w:pPr>
              <w:spacing w:after="0"/>
              <w:rPr>
                <w:sz w:val="18"/>
                <w:szCs w:val="18"/>
                <w:color w:val="auto"/>
              </w:rPr>
            </w:pPr>
          </w:p>
        </w:tc>
        <w:tc>
          <w:tcPr>
            <w:tcW w:w="306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180" w:type="dxa"/>
            <w:vAlign w:val="bottom"/>
          </w:tcPr>
          <w:p>
            <w:pPr>
              <w:spacing w:after="0"/>
              <w:rPr>
                <w:sz w:val="20"/>
                <w:szCs w:val="20"/>
                <w:color w:val="auto"/>
              </w:rPr>
            </w:pPr>
          </w:p>
        </w:tc>
        <w:tc>
          <w:tcPr>
            <w:tcW w:w="3060" w:type="dxa"/>
            <w:vAlign w:val="bottom"/>
            <w:gridSpan w:val="7"/>
          </w:tcPr>
          <w:p>
            <w:pPr>
              <w:jc w:val="center"/>
              <w:ind w:right="40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 Increase</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(Decrease)</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198"/>
        </w:trPr>
        <w:tc>
          <w:tcPr>
            <w:tcW w:w="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Revenues</w:t>
            </w:r>
          </w:p>
        </w:tc>
        <w:tc>
          <w:tcPr>
            <w:tcW w:w="9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from</w:t>
            </w:r>
          </w:p>
        </w:tc>
        <w:tc>
          <w:tcPr>
            <w:tcW w:w="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external</w:t>
            </w: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customers</w:t>
            </w: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Mortuary revenues</w:t>
            </w:r>
          </w:p>
        </w:tc>
        <w:tc>
          <w:tcPr>
            <w:tcW w:w="7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3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Cemetery revenues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7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3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8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Gains on investments and other</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5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Included in Net investment income was rental income from residential and commercial properties purchased from Security National Life. Memorial Estates purchased these properties from financing provided by Security National Life. The rental income is offset by property insurance, taxes, maintenance expenses and depreciation. Memorial Estates has recorded depreciation on these properties of $121,000 and $104,000 for the three months ended September 30, 2019 and 2018, respectively, and $384,000 and $413,000 for the nine months ended September 30, 2019 and 2018, respectively. Profitability in the nine months ended September 30, 2019 has decreased due to a realized gain recognized on the sale of assets of Deseret Mortuary in 2018. This decrease was partially offset by increases in net investment income and cemetery and mortuary at-need sales 2019.</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Mortgage Operations</w:t>
      </w:r>
    </w:p>
    <w:p>
      <w:pPr>
        <w:spacing w:after="0" w:line="2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The Company’s wholly owned subsidiaries, SecurityNational Mortgage and EverLEND Mortgage Company (formerly known as Green Street Mortgage Services, Inc.),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and unaffiliated financial institutions.</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12% of its loan origination volume. These mortgage loans are serviced by either SecurityNational Mortgage or an approved third-party sub-servicer.</w:t>
      </w:r>
    </w:p>
    <w:p>
      <w:pPr>
        <w:spacing w:after="0" w:line="2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For the nine months ended September 30, 2019 and 2018, SecurityNational Mortgage originated 7,817 loans ($1,792,058,000 total volume) and 7,953 loans ($1,169,071,000 total volume), respectively. For the nine months ended September 30, 2019 and 2018, EverLEND Mortgage originated 185 loans ($48,494,000 total volume) and 130 loans ($33,603,000 total volume), respectively.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3" w:name="page54"/>
    <w:bookmarkEnd w:id="53"/>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The following table shows the condensed financial results of the mortgage operations for the three and nine months ended September 30, 2019 and 2018. See Note 7 to the condensed consolidated financial statements.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180" w:type="dxa"/>
            <w:vAlign w:val="bottom"/>
          </w:tcPr>
          <w:p>
            <w:pPr>
              <w:spacing w:after="0"/>
              <w:rPr>
                <w:sz w:val="18"/>
                <w:szCs w:val="18"/>
                <w:color w:val="auto"/>
              </w:rPr>
            </w:pPr>
          </w:p>
        </w:tc>
        <w:tc>
          <w:tcPr>
            <w:tcW w:w="306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180" w:type="dxa"/>
            <w:vAlign w:val="bottom"/>
          </w:tcPr>
          <w:p>
            <w:pPr>
              <w:spacing w:after="0"/>
              <w:rPr>
                <w:sz w:val="20"/>
                <w:szCs w:val="20"/>
                <w:color w:val="auto"/>
              </w:rPr>
            </w:pPr>
          </w:p>
        </w:tc>
        <w:tc>
          <w:tcPr>
            <w:tcW w:w="3060" w:type="dxa"/>
            <w:vAlign w:val="bottom"/>
            <w:gridSpan w:val="7"/>
          </w:tcPr>
          <w:p>
            <w:pPr>
              <w:jc w:val="center"/>
              <w:ind w:right="40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 Increase</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(Decrease)</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Revenues from external</w:t>
            </w: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customers</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from loan originations</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Secondary gains from investors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22,315</w:t>
            </w: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58,633</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Gains on investments and other</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41,984</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34,252</w:t>
            </w: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95,906</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531%</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Included in other revenues is service fee income. The increase in earnings for the nine months ended September 30, 2019 was due to the efforts to reduce costs and restructure internal processes.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Mortgage Loan Loss Settlements</w:t>
      </w:r>
    </w:p>
    <w:p>
      <w:pPr>
        <w:spacing w:after="0" w:line="2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Future mortgage loan losses can be extremely difficult to estimate. However, management believes that the Company’s reserve methodology and its current practice of property preservation allow it to estimate its potential losses on mortgage loans sold. The estimated liability for indemnification losses was included in other liabilities and accrued expenses and, as of September 30, 2019 and December 31, 2018, the balances were $3,882,000 and $3,605,000, respectively.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Mortgage Loan Loss Litigation</w:t>
      </w:r>
    </w:p>
    <w:p>
      <w:pPr>
        <w:spacing w:after="0" w:line="2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For a description of the litigation involving SecurityNational Mortgage and Lehman Brothers Holdings, see Part I, Item 1. Notes to Condensed Consolidated Financial Statements (unaudited) in Note 11.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Three Months Ended September 30, 2019 Compared to Three Months Ended September 30, 2018</w:t>
      </w:r>
    </w:p>
    <w:p>
      <w:pPr>
        <w:spacing w:after="0" w:line="2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Total revenues increased by $8,157,000, or 12.1%, to $75,380,000 for the three months ended September 30, 2019, from $67,223,000 for the comparable period in 2018. Contributing to this increase in total revenues was a $8,071,000 increase in mortgage fee income, a $1,193,000 increase in insurance premiums and other considerations, and a $837,000 increase in net investment income. This increase in total revenues was partially offset by a $1,542,000 decrease in gains on investments and other assets, a $283,000 decrease in other revenues, and a $120,000 decrease in net mortuary and cemetery sales.</w:t>
      </w:r>
    </w:p>
    <w:p>
      <w:pPr>
        <w:spacing w:after="0" w:line="23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Insurance premiums and other considerations increased by $1,193,000, or 6.4%, to $19,832,000 for the three months ended September 30, 2019, from $18,639,000 for the comparable period in 2018. This increase was primarily due to an increase in renewal premiums due to the growth of the Company in recent years, particularly in whole life products, which resulted in more premium paying business in force.</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Net investment income increased by $837,000, or 8.7%, to $10,478,000 for the three months ended September 30, 2019, from $9,641,000 for the comparable period in 2018. This increase was primarily attributable to a $318,000 increase in mortgage loan interest, a $268,000 increase in insurance assignment income, a $135,000 increase in rental income from real estate held for investment, an $82,000 increase in fixed maturity securities income, a $29,000 decrease in investment expenses, a $28,000 increase in policy loan income, a $24,000 increase in interest on cash and cash equivalents, and a $10,000 increase in equity securities income. This increase was partially offset by a $57,000 decrease in other investment income.</w:t>
      </w:r>
    </w:p>
    <w:p>
      <w:pPr>
        <w:spacing w:after="0" w:line="2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Net mortuary and cemetery sales decreased by $120,000, or 3.3%, to $3,526,000 for the three months ended September 30, 2019, from $3,646,000 for the comparable period in 2018. This decrease was primarily due to a $236,000 decrease in cemetery preneed sales. This decrease was partially offset by a $43,000 increase in mortuary at-need sales and a $73,000 increase in cemetery at-need sales</w:t>
      </w:r>
    </w:p>
    <w:p>
      <w:pPr>
        <w:spacing w:after="0" w:line="23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Gains on investments and other assets decreased by $1,542,000, or 150.8%, to losses of $520,000 for the three months ended September 30, 2019, from gains of $1,022,000 for the comparable period in 2018. This decrease in gains on investments and other assets was primarily due to an impairment loss of $791,000 recognized on a commercial real estate property held for investment.</w:t>
      </w:r>
    </w:p>
    <w:p>
      <w:pPr>
        <w:sectPr>
          <w:pgSz w:w="11900" w:h="16838" w:orient="portrait"/>
          <w:cols w:equalWidth="0" w:num="1">
            <w:col w:w="11420"/>
          </w:cols>
          <w:pgMar w:left="240" w:top="126" w:right="239" w:bottom="0" w:gutter="0" w:footer="0" w:header="0"/>
        </w:sectPr>
      </w:pPr>
    </w:p>
    <w:bookmarkStart w:id="54" w:name="page55"/>
    <w:bookmarkEnd w:id="54"/>
    <w:p>
      <w:pPr>
        <w:jc w:val="both"/>
        <w:spacing w:after="0" w:line="260" w:lineRule="auto"/>
        <w:rPr>
          <w:sz w:val="20"/>
          <w:szCs w:val="20"/>
          <w:color w:val="auto"/>
        </w:rPr>
      </w:pPr>
      <w:r>
        <w:rPr>
          <w:rFonts w:ascii="Times New Roman" w:cs="Times New Roman" w:eastAsia="Times New Roman" w:hAnsi="Times New Roman"/>
          <w:sz w:val="22"/>
          <w:szCs w:val="22"/>
          <w:color w:val="auto"/>
        </w:rPr>
        <w:t>The Company elected to conduct a review of the property’s value after it received an unsolicited offer to buy during the second quarter 2019. The Company recognized an impairment loss of $1,867,000 in the second quarter 2019. The Company also obtained an independent appraisal from an outside commercial real estate valuation firm during the third quarter 2019 which indicated an additional impairment loss. This decrease was also the result of a $462,000 decrease in gains on other assets and a $308,000 decrease in gains on equity securities mostly attributable to decreases in the fair value of these equity securities. Due to the adoption of Accounting Standards Update (“ASU”) 2016-01 on January 1, 2018, these changes in fair value are now recognized in earnings instead of other comprehensive income. This decrease in gains on investments and other assets was partially offset by a $19,000 increase in gains on fixed maturity securities.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5" w:name="page56"/>
    <w:bookmarkEnd w:id="55"/>
    <w:p>
      <w:pPr>
        <w:jc w:val="both"/>
        <w:spacing w:after="0" w:line="265" w:lineRule="auto"/>
        <w:rPr>
          <w:sz w:val="20"/>
          <w:szCs w:val="20"/>
          <w:color w:val="auto"/>
        </w:rPr>
      </w:pPr>
      <w:r>
        <w:rPr>
          <w:rFonts w:ascii="Times New Roman" w:cs="Times New Roman" w:eastAsia="Times New Roman" w:hAnsi="Times New Roman"/>
          <w:sz w:val="22"/>
          <w:szCs w:val="22"/>
          <w:color w:val="auto"/>
        </w:rPr>
        <w:t>Mortgage fee income increased by $8,071,000, or 25.5%, to $39,736,000, for the three months ended September 30, 2019, from $31,665,000 for the comparable period in 2018. This increase was primarily due to a $5,259,000 increase in secondary gains from loans sold to third-party investors, an increase of $1,899,000 in the fair value of loans held for sale and loan commitments, an increase of $814,000 in loan fees and interest income, and a $99,000 decrease in the provision for loan loss reserve.</w:t>
      </w:r>
    </w:p>
    <w:p>
      <w:pPr>
        <w:spacing w:after="0" w:line="2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Other revenues decreased by $283,000, or 10.8%, to $2,326,000 for the three months ended September 30, 2019, from $2,609,000 for the comparable period in 2018. This decrease was primarily attributable to a decrease in servicing fee revenue.</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Total benefits and expenses were $70,620,000, or 93.7% of total revenues, for the three months ended September 30, 2019, as compared to $65,011,000, or 96.7% of total revenues, for the comparable period in 2018.</w:t>
      </w: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Death benefits, surrenders and other policy benefits, and future policy benefits increased by an aggregate of $560,000 or 3.5%, to $16,555,000 for the three months ended September 30, 2019, from $15,995,000 for the comparable period in 2018. This increase was primarily the result of a $1,322,000 increase in death benefits. This decrease was partially offset by a $706,000 decrease in future policy benefits and a $56,000 decrease in surrender and other policy benefits.</w:t>
      </w:r>
    </w:p>
    <w:p>
      <w:pPr>
        <w:spacing w:after="0" w:line="2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Amortization of deferred policy and pre-need acquisition costs and value of business acquired increased by $731,000, or 26.6%, to $3,477,000 for the three months ended September 30, 2019, from $2,746,000 for the comparable period in 2018. This increase was primarily due to an increase in the average outstanding balance of deferred policy and pre-need acquisition costs.</w:t>
      </w:r>
    </w:p>
    <w:p>
      <w:pPr>
        <w:spacing w:after="0" w:line="2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Selling, general and administrative expenses increased by $3,969,000, or 9.1%, to $47,808,000 for the three months ended September 30, 2019, from $43,839,000 for the comparable period in 2018. This increase was primarily the result of a $3,095,000 increase in commissions and a $1,739,000 increase in other expenses. This increase was partially offset by a $787,000 decrease in personnel expenses, a $185,000 decrease in costs related to funding mortgage loans, a $164,000 decrease in rent and rent related expenses, a $62,000 decrease in advertising expenses, and a $35,000 decrease in depreciation on property and equipment.</w:t>
      </w: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Interest expense increased by $223,000, or 12.0%, to $2,079,000 for the three months ended September 30, 2019, from $1,856,000 for the comparable period in 2018. This increase was primarily due to an increase in interest expense on bank loans for real estate held for investment.</w:t>
      </w: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Cost of goods and services sold-mortuaries and cemeteries increased by $126,000, or 21.8%, to $702,000 for the three months ended September 30, 2019, from $576,000 for the comparable period in 2018. This increase was primarily due to increases in both mortuary and cemetery at-need sales and cemetery preneed sales.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Nine months Ended September 30, 2019 Compared to Nine months Ended September 30, 2018</w:t>
      </w:r>
    </w:p>
    <w:p>
      <w:pPr>
        <w:spacing w:after="0" w:line="2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Total revenues decreased by $12,846,000, or 5.9%, to $205,319,000 for the nine months ended September 30, 2019, from $218,164,000 for the comparable period in 2018. Contributing to this decrease in total revenues was a $25,111,000 decrease in gains on investments and other assets and a $305,000 decrease in other revenues. This decrease in total revenues was partially offset by a $8,327,000 increase in mortgage fee income, a $1,864,000 increase in insurance premiums and other considerations, a $1,603,000 increase in net investment income, and a $776,000 increase in net mortuary and cemetery sales.</w:t>
      </w:r>
    </w:p>
    <w:p>
      <w:pPr>
        <w:spacing w:after="0" w:line="23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Insurance premiums and other considerations increased by $1,864,000, or 3.3%, to $58,505,000 for the nine months ended September 30, 2019, from $56,640,000 for the comparable period in 2018. This increase was primarily due to an increase in renewal premiums due to the growth of the Company in recent years, particularly in whole life products, which resulted in more premium paying business in force.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6" w:name="page57"/>
    <w:bookmarkEnd w:id="56"/>
    <w:p>
      <w:pPr>
        <w:jc w:val="both"/>
        <w:spacing w:after="0" w:line="260" w:lineRule="auto"/>
        <w:rPr>
          <w:sz w:val="20"/>
          <w:szCs w:val="20"/>
          <w:color w:val="auto"/>
        </w:rPr>
      </w:pPr>
      <w:r>
        <w:rPr>
          <w:rFonts w:ascii="Times New Roman" w:cs="Times New Roman" w:eastAsia="Times New Roman" w:hAnsi="Times New Roman"/>
          <w:sz w:val="22"/>
          <w:szCs w:val="22"/>
          <w:color w:val="auto"/>
        </w:rPr>
        <w:t>Net investment income increased by $1,603,000, or 5.4%, to $31,061,000 for the nine months ended September 30, 2019, from $29,458,000 for the comparable period in 2018. This increase was primarily attributable to a $1,014,000 increase in insurance assignment income due to higher volume, a $907,000 decrease in investment expenses, and a $612,000 increase in interest on cash and cash equivalents due to higher invested balances and slight increases in interest rates, a $74,000 decrease in fixed maturity securities income, a $51,000 increase in equity securities income, and a $12,000 increase in policy loan income. This increase was partially offset by a $829,000 decrease in mortgage loan interest, a $158,000 decrease in rental income from real estate held for investment, and an $80,000 decrease in other investment income.</w:t>
      </w: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Net mortuary and cemetery sales increased by $776,000, or 7.4%, to $11,206,000 for the nine months ended September 30, 2019, from $10,430,000 for the comparable period in 2018. This increase was primarily due to a $613,000 increase in mortuary at-need sales and a $288,000 increase in cemetery at-need sales, driven in large measure by the acquisition of Probst Family Funerals and Cremations and Heber Valley Funeral Home. This increase was partially offset by a $135,000 decrease in cemetery preneed sales.</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Gains on investments and other assets decreased by $25,111,000, or 99.0%, to $261,000 for the nine months ended September 30, 2019, from $25,372,000 for the comparable period in 2018. This decrease in gains on investments and other assets was primarily attributable to the $22,252,000 gain that was realized on the sale of Dry Creek at East Village Apartments in the first quarter of 2018 and an impairment loss of $2,658,000 recognized on a commercial real estate property held for investment. The Company elected to conduct a review of the property’s value after it received an unsolicited offer to buy and also obtained an independent appraisal from an outside commercial real estate valuation firm. This decrease was also the result of a $1,556,000 gain that was realized on the sale of assets of Deseret Mortuary in the second quarter of 2018. This decrease was partially offset by a $758,000 increase in gains on equity securities mostly attributable to increases in the fair value of these securities. Due to the adoption of Accounting Standards Update (“ASU”) 2016-01 on January 1, 2018, these changes in fair value are now recognized in earnings instead of other comprehensive income. This decrease was also partially offset by a $445,000 increase in gains on fixed maturity securities and a $153,000 increase in gains on other assets.</w:t>
      </w:r>
    </w:p>
    <w:p>
      <w:pPr>
        <w:spacing w:after="0" w:line="2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Mortgage fee income increased by $8,327,000, or 9.4%, to $97,161,000, for the nine months ended September 30, 2019, from $88,834,000 for the comparable period in 2018. This increase was primarily due to $7,802,000 increase in secondary gains on loans sold to third-party investors from increased lending volumes, a $1,149,000 increase in other loan fees and interest income, and a $496,000 decrease in the provision for loan loss reserve. This increase was partially offset by a net decrease of $1,120,000 in the fair value of loans held for sale and loan commitments.</w:t>
      </w:r>
    </w:p>
    <w:p>
      <w:pPr>
        <w:spacing w:after="0" w:line="23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Other revenues decreased by $305,000, or 4.1%, to $7,125,000 for the nine months ended September 30, 2019, from $7,430,000 for the comparable period in 2018. This decrease was primarily attributable to a decrease in servicing fee revenue.</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Total benefits and expenses were $193,503,000, or 94.2% of total revenues, for the nine months ended September 30, 2019, as compared to $190,603,000, or 87.4% of total revenues, for the comparable period in 2018.</w:t>
      </w: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Death benefits, surrenders and other policy benefits, and future policy benefits increased by an aggregate of $741,000 or 1.5%, to $48,939,000 for the nine months ended September 30, 2019, from $48,198,000 for the comparable period in 2018. This increase was primarily the result of a $1,685,000 increase in death benefits and a $68,000 increase in surrender and other policy benefits. This increase was partially offset by a $1,012,000 decrease in future policy benefits.</w:t>
      </w:r>
    </w:p>
    <w:p>
      <w:pPr>
        <w:spacing w:after="0" w:line="2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Amortization of deferred policy and pre-need acquisition costs and value of business acquired increased by $1,712,000, or 21.5%, to $9,679,000 for the nine months ended September 30, 2019, from $7,967,000 for the comparable period in 2018. This increase was primarily due to an increase in the average outstanding balance of deferred policy and pre-need acquisition costs.</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Selling, general and administrative expenses decreased by $12,000, or 0.0%, to $127,487,000 for the nine months ended September 30, 2019, from $127,499,000 for the comparable period in 2018. This decrease was primarily the result of a $3,529,000 decrease in personnel expenses, a $316,000 decrease in costs related to funding mortgage loans, a $428,000 decrease in rent and rent related expenses, a $132,000 decrease in depreciation on property and equipment, and a $81,000 decrease in advertising expenses. This decrease was partially offset by a $3,592,000 increase in other expenses from increased amortization of mortgage servicing rights and a $882,000 increase in commissions. The decreases in personnel expenses are primarily a result of the efforts of the Mortgage segment to reduce costs and restructure internal processes.</w:t>
      </w:r>
    </w:p>
    <w:p>
      <w:pPr>
        <w:sectPr>
          <w:pgSz w:w="11900" w:h="16838" w:orient="portrait"/>
          <w:cols w:equalWidth="0" w:num="1">
            <w:col w:w="11420"/>
          </w:cols>
          <w:pgMar w:left="240" w:top="126"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57" w:name="page58"/>
    <w:bookmarkEnd w:id="57"/>
    <w:p>
      <w:pPr>
        <w:jc w:val="both"/>
        <w:spacing w:after="0" w:line="270" w:lineRule="auto"/>
        <w:rPr>
          <w:sz w:val="20"/>
          <w:szCs w:val="20"/>
          <w:color w:val="auto"/>
        </w:rPr>
      </w:pPr>
      <w:r>
        <w:rPr>
          <w:rFonts w:ascii="Times New Roman" w:cs="Times New Roman" w:eastAsia="Times New Roman" w:hAnsi="Times New Roman"/>
          <w:sz w:val="22"/>
          <w:szCs w:val="22"/>
          <w:color w:val="auto"/>
        </w:rPr>
        <w:t>Interest expense increased by $56,000, or 1.1%, to $5,353,000 for the nine months ended September 30, 2019, from $5,297,000 for the comparable period in 2018. This increase was primarily due to an increase in interest expense on bank loans for real estate held for investment.</w:t>
      </w: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Cost of goods and services sold-mortuaries and cemeteries increased by $403,000, or 24.6%, to $2,045,000 for the nine months ended September 30, 2019, from $1,642,000 for the comparable period in 2018. This increase was primarily due to increases in both mortuary and cemetery at-need sales and cemetery preneed sales.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maturity of held to maturity investments or sale of other investments. The mortgage subsidiaries realize cash flow from fees generated by originating and refinancing mortgage loans, and fees earned from mortgage loans held for sale that are sold to investors.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and debt service, and to meet current operating expenses.</w:t>
      </w:r>
    </w:p>
    <w:p>
      <w:pPr>
        <w:spacing w:after="0" w:line="2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During the nine months ended September 30, 2019 and 2018, the Company's operations used cash of $62,866,000 and $10,251,000, respectively. This increase was due primarily to originations of mortgage loans held for sale.</w:t>
      </w:r>
    </w:p>
    <w:p>
      <w:pPr>
        <w:spacing w:after="0" w:line="21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1"/>
          <w:szCs w:val="21"/>
          <w:color w:val="auto"/>
        </w:rPr>
        <w:t>The Company’s liability for future policy benefits is expected to be paid out over the long-term due to the Company’s market niche of selling funeral plans. Funeral plans are small face value life insurance that will pay the costs and expenses incurred at the time of a person’s death. A person generally will keep these policies in force and will not surrender them prior to a person’s death. Because of the long-term nature of these liabilities, the Company is able to hold to maturity its bonds, real estate, and mortgage loans, thus reducing the risk of having to liquidate these long-term investments as a result of any sudden changes in their fair values.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Company attempts to match the duration of invested assets with its policyholder and cemetery and mortuary liabilities. The Company may sell investments other than those held to maturity in the portfolio to help in this timing. The Company purchases short-term investments on a temporary basis to meet the expectations of short-term requirements of the Company’s products. The Company’s investment philosophy is intended to provide a rate of return that will persist during the expected duration of policyholder and cemetery and mortuary liabilities regardless of future interest rate movements.</w:t>
      </w:r>
    </w:p>
    <w:p>
      <w:pPr>
        <w:spacing w:after="0" w:line="235" w:lineRule="exact"/>
        <w:rPr>
          <w:sz w:val="20"/>
          <w:szCs w:val="20"/>
          <w:color w:val="auto"/>
        </w:rPr>
      </w:pPr>
    </w:p>
    <w:p>
      <w:pPr>
        <w:jc w:val="both"/>
        <w:spacing w:after="0" w:line="274" w:lineRule="exact"/>
        <w:rPr>
          <w:sz w:val="20"/>
          <w:szCs w:val="20"/>
          <w:color w:val="auto"/>
        </w:rPr>
      </w:pPr>
      <w:r>
        <w:rPr>
          <w:rFonts w:ascii="Times New Roman" w:cs="Times New Roman" w:eastAsia="Times New Roman" w:hAnsi="Times New Roman"/>
          <w:sz w:val="22"/>
          <w:szCs w:val="22"/>
          <w:color w:val="auto"/>
        </w:rPr>
        <w:t>The Company’s investment policy is to invest predominantly in fixed maturity securities, real estate, mortgage loans, and warehousing of mortgage loans on a short-term basis before selling the loans to investors in accordance with the requirements and laws governing the life insurance subsidiaries. Bonds owned by the insurance subsidiaries amounted to $239,647,000 and $231,976,000 as of September 30, 2019 and December 31, 2018, respectively. This represents 39.2% and 38.9% of the total investments as of September 30, 2019 and December 31, 2018, respectively. Generally, all bonds owned by the life insurance subsidiaries are rated by the National Association of Insurance Commissioners. Under this rating system, there are nine categories used for rating bonds. At September 30, 2019, 2.99% (or $7,160,000) and at December 31, 2018, 3.6% (or $8,413,000) of the Company’s total bond investments were invested in bonds in rating categories three through nine, which were considered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investment grade.</w:t>
      </w: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Company has classified its fixed income securities as held to maturity. Notwithstanding, business conditions may develop in the future which may indicate a need for a higher level of liquidity in the investment portfolio. In that event, the Company believes it could sell short-term investment grade securities before liquidating higher yielding longer-term securities.</w:t>
      </w:r>
    </w:p>
    <w:p>
      <w:pPr>
        <w:spacing w:after="0" w:line="22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2"/>
          <w:szCs w:val="22"/>
          <w:color w:val="auto"/>
        </w:rPr>
        <w:t>The Company is subject to risk-based capital guidelines established by statutory regulators requiring minimum capital levels based on the perceived risk of assets, liabilities, disintermediation, and business risk. At September 30, 2019 and December 31, 2018, the life insurance subsidiaries were in compliance with the regulatory criteria.</w:t>
      </w:r>
    </w:p>
    <w:p>
      <w:pPr>
        <w:sectPr>
          <w:pgSz w:w="11900" w:h="16838" w:orient="portrait"/>
          <w:cols w:equalWidth="0" w:num="1">
            <w:col w:w="11420"/>
          </w:cols>
          <w:pgMar w:left="240" w:top="126" w:right="239"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58" w:name="page59"/>
    <w:bookmarkEnd w:id="58"/>
    <w:p>
      <w:pPr>
        <w:jc w:val="both"/>
        <w:spacing w:after="0" w:line="270" w:lineRule="auto"/>
        <w:rPr>
          <w:sz w:val="20"/>
          <w:szCs w:val="20"/>
          <w:color w:val="auto"/>
        </w:rPr>
      </w:pPr>
      <w:r>
        <w:rPr>
          <w:rFonts w:ascii="Times New Roman" w:cs="Times New Roman" w:eastAsia="Times New Roman" w:hAnsi="Times New Roman"/>
          <w:sz w:val="22"/>
          <w:szCs w:val="22"/>
          <w:color w:val="auto"/>
        </w:rPr>
        <w:t>The Company’s total capitalization of stockholders’ equity, bank and other loans payable was $442,107,000 as of September 30, 2019, as compared to $359,172,000 as of December 31, 2018. Stockholders’ equity as a percent of total capitalization was 41.0% and 47.8% as of September 30, 2019 and December 31, 2018, respectively.</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Lapse rates measure the amount of insurance terminated during a particular period. The Company’s lapse rate for life insurance in 2018 was 9.9% as compared to a rate of 10.6% for 2017. The 2019 lapse rate to date has been approximately the same as 2018.</w:t>
      </w:r>
    </w:p>
    <w:p>
      <w:pPr>
        <w:spacing w:after="0" w:line="2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At September 30, 2019, the combined statutory capital and surplus of the Company’s life insurance subsidiaries was $57,269,000. The life insurance subsidiaries cannot pay a dividend to its parent company without approval of state insurance regulatory authorities.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Quantitative and Qualitative Disclosures About Market Risk.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smaller reporting company, the Company is not required to provide information typically disclosed under this item.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Disclosure Controls and Procedures</w:t>
      </w:r>
    </w:p>
    <w:p>
      <w:pPr>
        <w:spacing w:after="0" w:line="2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As of September 30, 2019,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September 30, 2019,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Changes in Internal Control over Financial Reporting</w:t>
      </w:r>
    </w:p>
    <w:p>
      <w:pPr>
        <w:spacing w:after="0" w:line="2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There have been no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rPr>
        <w:t xml:space="preserve"> Other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r>
        <w:rPr>
          <w:rFonts w:ascii="Times New Roman" w:cs="Times New Roman" w:eastAsia="Times New Roman" w:hAnsi="Times New Roman"/>
          <w:sz w:val="22"/>
          <w:szCs w:val="22"/>
          <w:color w:val="auto"/>
        </w:rPr>
        <w:t>.</w:t>
      </w:r>
    </w:p>
    <w:p>
      <w:pPr>
        <w:spacing w:after="0" w:line="2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For a description of the litigation involving SecurityNational Mortgage and Lehman Brothers Holdings, see Part I, Item 1. Notes to Condensed Consolidated Financial Statements (unaudited) in Note 11.</w:t>
      </w:r>
    </w:p>
    <w:p>
      <w:pPr>
        <w:spacing w:after="0" w:line="21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1"/>
          <w:szCs w:val="21"/>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smaller reporting company, the Company is not required to provide information typically disclosed under this item.</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Sales of Unregistered Securities and Use of Proceeds from Registered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Issuer Purchases of Equity Securities</w:t>
      </w:r>
    </w:p>
    <w:p>
      <w:pPr>
        <w:spacing w:after="0" w:line="2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On September 7, 2018, the Board of Directors of the Company approved a Stock Repurchase Plan that authorized the repurchase of 300,000 shares of the Company's Class A Common Stock in the open market. The repurchased shares of Class A common stock will be held as treasury shares to be used as the Company's employer matching contribution to the Employee 401(k) Retirement Savings Plan.</w:t>
      </w:r>
    </w:p>
    <w:p>
      <w:pPr>
        <w:spacing w:after="0" w:line="2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following table shows the Company's repurchase activity during the three months ended September 30, 2019 under the Stock Repurchase Plan.</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 Total</w:t>
            </w:r>
          </w:p>
        </w:tc>
        <w:tc>
          <w:tcPr>
            <w:tcW w:w="11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Approximate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Dollar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Value)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that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 Total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Part of</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Yet Be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 Average</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Publicly</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Price Paid</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Announced</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Under the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per Class A</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Plan or</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Plan or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Program</w:t>
            </w:r>
          </w:p>
        </w:tc>
        <w:tc>
          <w:tcPr>
            <w:tcW w:w="16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Program</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7/1/2019-7/31/2019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8/1/2019-8/31/2019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9/1/2019-9/30/2019</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190,797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190,797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Acquisition of Probst Family Funerals and Cremations and Heber Valley Funeral Home</w:t>
      </w:r>
    </w:p>
    <w:p>
      <w:pPr>
        <w:spacing w:after="0" w:line="2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On February 15, 2019, the Company, through its wholly-owned subsidiary, Memorial Mortuary Inc., completed an asset purchase transaction with Probst Family Funerals and Cremations, LLC. (“Probst Family Funerals”) and Heber Valley Funeral Home, Inc. (“Heber Valley Funeral Home”). These funeral homes are both located in Heber Valley, a community situated about 45 miles southeast of Salt Lake City. For the year ended December 31, 2018, Probst Family Funerals and Heber Valley Funeral Home had combined revenues of $1,055,634 and a combined net pre-tax income of $179,613. As of December 31, 2018, Probst Family Funerals and Heber Valley Funeral Home had combined assets of $1,161,029 and a combined total equity of $18,052.</w:t>
      </w:r>
    </w:p>
    <w:p>
      <w:pPr>
        <w:spacing w:after="0" w:line="2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Under the terms of the transaction, as set forth in the Asset Purchase Agreement, dated February 15, 2019, by and among SN Probst, a wholly owned subsidiary of Memorial Mortuary, and Probst Family Funerals, Heber Valley Funeral Home, Joe T. Probst, Clinton Wayne Probst, Calle J. Probst, and Marsha L. Probst, Memorial Mortuary, through its wholly owned subsidiary SN Probst, paid a net purchase price of $3,315,647 for the business and assets of Probst Family Funerals and Heber Valley Funeral Home, subject to a $150,000 holdback. At the closing, Probst Funeral Homes and Heber Valley Funeral Home paid off the $907,407 principal balance and $4,340 in interest on a loan at Zions Bank that was secured by the Heber Valley Funeral Home. Also, at the closing, Probst Funeral Homes and Heber Valley Funeral Home paid off the $157,148 loan with Utah Community Credit Union and the $32,987 line of credit with Zions Bank.</w:t>
      </w:r>
    </w:p>
    <w:p>
      <w:pPr>
        <w:sectPr>
          <w:pgSz w:w="11900" w:h="16838" w:orient="portrait"/>
          <w:cols w:equalWidth="0" w:num="1">
            <w:col w:w="11420"/>
          </w:cols>
          <w:pgMar w:left="240" w:top="392" w:right="239" w:bottom="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b w:val="1"/>
          <w:bCs w:val="1"/>
          <w:color w:val="auto"/>
        </w:rPr>
        <w:t>Acquisition of Beta Capital Corp.</w:t>
      </w:r>
    </w:p>
    <w:p>
      <w:pPr>
        <w:spacing w:after="0" w:line="2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On June 1, 2018, the Company completed a stock purchase transaction with Beta Capital Corp. ("Beta Capital") and Ronald D. Maxson ("Maxson"), the sole owner of all the outstanding shares of common stock of Beta Capital, to purchase all of the outstanding shares of common stock of Beta Capital. Beta Capital is engaged in the operation of a factoring business with the principal purpose of providing funding for funeral homes and mortuaries. For the year ended December 31, 2017, Beta Capital had revenues of $1,208,000 with a net pre-tax income of $204,000. As of December 31, 2017, the total assets of Beta Capital were $3,270,000 and total equity was $1,832,000.</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jc w:val="both"/>
        <w:spacing w:after="0" w:line="260" w:lineRule="auto"/>
        <w:rPr>
          <w:sz w:val="20"/>
          <w:szCs w:val="20"/>
          <w:color w:val="auto"/>
        </w:rPr>
      </w:pPr>
      <w:r>
        <w:rPr>
          <w:rFonts w:ascii="Times New Roman" w:cs="Times New Roman" w:eastAsia="Times New Roman" w:hAnsi="Times New Roman"/>
          <w:sz w:val="22"/>
          <w:szCs w:val="22"/>
          <w:color w:val="auto"/>
        </w:rPr>
        <w:t>Under the terms of the transaction, as set forth in the Stock Purchase Agreement dated September 1, 2018 (the "Purchase Agreement"), by and among the Company, Beta Capital and Maxson, the Company paid Maxson the purchase consideration at the closing of the transaction equal to the sum of (i) $890,000 in cash plus (ii) the accounts receivable value of $2,515,783, representing the total amount of the Company's outstanding receivables as of the closing date of September 1, 2018, for a total closing payment of $3,405,783. From the $3,405,783 closing payment, a holdback amount equal to $175,000 was deposited into an interest bearing escrow account to be held for a period of eighteen months from the closing date to pay off any uncollected accounts receivable and other liabilities of Beta Capital as of the closing date.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Sale of Dry Creek at East Village Apartments</w:t>
      </w:r>
    </w:p>
    <w:p>
      <w:pPr>
        <w:spacing w:after="0" w:line="2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On March 29, 2018, the Company through its wholly owned subsidiary, Security National Life Insurance Company (“Security National Life”), completed the sale of the Dry Creek at East Village (“Dry Creek”) apartments to a subsidiary of Dinapoli Capital Partners, LLC (“Dinapoli Capital”) pursuant to the terms of the Purchase and Sale Agreement, dated February 14, 2018, between Security National Life and Dinapoli Capital. The purchase price paid for the Dry Creek apartments was $57,000,000. From the proceeds that Security National Life received from the sale of the apartment complex, $26,802,904 was used to pay off an existing loan at Zions First National Bank, N.A., which was secured by a security interest in the apartment complex. A brokerage commission of $285,000 and legal fees and related costs were also paid from the purchase proceeds. The Company’s book basis in Dry Creek was approximately $34,400,000, and the Company recognized the gain net of tax effects from the sale in the first quarter of 2018.</w:t>
      </w:r>
    </w:p>
    <w:p>
      <w:pPr>
        <w:spacing w:after="0" w:line="2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Dry Creek apartments consist of 282 units, with a mixture of one, two, and three-bedroom units. The construction of Dry Creek was completed in December 2015. As of December 31, 2017, the apartments were 95% leased. Also, rental rates in the market had increased by 9.8% over pro forma rents, and effective (achieved) rates net of concessions increased. The Company had owned the land for the development since 1991, when the Company purchased the land, along with the cemetery and mortuary that are adjacent to the property. The Company continues to operate the cemetery and mortuary.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 Financial Statements Schedules and Reports on Form 8-K.</w:t>
      </w:r>
    </w:p>
    <w:p>
      <w:pPr>
        <w:spacing w:after="0" w:line="28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“Table of Contents – Part I – Financial Information” under page 2 above</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197" w:lineRule="exact"/>
        <w:rPr>
          <w:sz w:val="20"/>
          <w:szCs w:val="20"/>
          <w:color w:val="auto"/>
        </w:rPr>
      </w:pPr>
    </w:p>
    <w:p>
      <w:pPr>
        <w:ind w:left="820"/>
        <w:spacing w:after="0" w:line="239" w:lineRule="exact"/>
        <w:rPr>
          <w:sz w:val="20"/>
          <w:szCs w:val="20"/>
          <w:color w:val="auto"/>
        </w:rPr>
      </w:pPr>
      <w:r>
        <w:rPr>
          <w:rFonts w:ascii="Times New Roman" w:cs="Times New Roman" w:eastAsia="Times New Roman" w:hAnsi="Times New Roman"/>
          <w:sz w:val="18"/>
          <w:szCs w:val="18"/>
          <w:color w:val="auto"/>
        </w:rPr>
        <w:t>All other schedules to the consolidated financial statements required by Article 7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 are not required under the related instructions or are inapplicable and therefore have been omitted.</w:t>
      </w:r>
    </w:p>
    <w:p>
      <w:pPr>
        <w:spacing w:after="0" w:line="19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u w:val="single" w:color="auto"/>
          <w:color w:val="auto"/>
        </w:rPr>
        <w:t>Exhibits</w:t>
      </w:r>
    </w:p>
    <w:p>
      <w:pPr>
        <w:spacing w:after="0" w:line="197" w:lineRule="exact"/>
        <w:rPr>
          <w:sz w:val="20"/>
          <w:szCs w:val="20"/>
          <w:color w:val="auto"/>
        </w:rPr>
      </w:pPr>
    </w:p>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The following Exhibits are filed herewith pursuant to Rule 601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are incorporated by reference to previous filings.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w:t>
            </w:r>
          </w:p>
        </w:tc>
        <w:tc>
          <w:tcPr>
            <w:tcW w:w="10600" w:type="dxa"/>
            <w:vAlign w:val="bottom"/>
            <w:gridSpan w:val="13"/>
            <w:shd w:val="clear" w:color="auto" w:fill="CCEEFF"/>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Articles of Incorporation, as amended and restated (6)</w:t>
              </w:r>
            </w:hyperlink>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92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c>
          <w:tcPr>
            <w:tcW w:w="24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6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Bylaws, as amended and restated (10)</w:t>
              </w:r>
            </w:hyperlink>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92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c>
          <w:tcPr>
            <w:tcW w:w="24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106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Specimen Class A Stock Certificate (1)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106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Specimen Class C Stock Certificate (1)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106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Specimen Preferred Stock Certificate and Certificate of Designation of Preferred Stock (1)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106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Ownership Plan (ESOP) and Trust Agreement, as amended and restated (1)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6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2013 Stock Option and Other Equity Incentive Awards Plan, as amended and restated (4)</w:t>
              </w:r>
            </w:hyperlink>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92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1280" w:type="dxa"/>
            <w:vAlign w:val="bottom"/>
            <w:tcBorders>
              <w:top w:val="single" w:sz="8" w:color="0000EE"/>
            </w:tcBorders>
          </w:tcPr>
          <w:p>
            <w:pPr>
              <w:spacing w:after="0"/>
              <w:rPr>
                <w:sz w:val="21"/>
                <w:szCs w:val="21"/>
                <w:color w:val="auto"/>
              </w:rPr>
            </w:pPr>
          </w:p>
        </w:tc>
        <w:tc>
          <w:tcPr>
            <w:tcW w:w="24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6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2014 Director Stock Option Plan (2)</w:t>
              </w:r>
            </w:hyperlink>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92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c>
          <w:tcPr>
            <w:tcW w:w="24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6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Employment Agreement with Scott M. Quist (3)</w:t>
              </w:r>
            </w:hyperlink>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92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c>
          <w:tcPr>
            <w:tcW w:w="24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6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Stock Purchase Agreement among Security National Financial Corporation, Beta Capital Corp., and Ronald D. Maxson, sole shareholder (7)</w:t>
              </w:r>
            </w:hyperlink>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92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1280" w:type="dxa"/>
            <w:vAlign w:val="bottom"/>
            <w:tcBorders>
              <w:top w:val="single" w:sz="8" w:color="0000EE"/>
            </w:tcBorders>
          </w:tcPr>
          <w:p>
            <w:pPr>
              <w:spacing w:after="0"/>
              <w:rPr>
                <w:sz w:val="21"/>
                <w:szCs w:val="21"/>
                <w:color w:val="auto"/>
              </w:rPr>
            </w:pPr>
          </w:p>
        </w:tc>
        <w:tc>
          <w:tcPr>
            <w:tcW w:w="2400" w:type="dxa"/>
            <w:vAlign w:val="bottom"/>
            <w:tcBorders>
              <w:top w:val="single" w:sz="8" w:color="0000EE"/>
            </w:tcBorders>
          </w:tcPr>
          <w:p>
            <w:pPr>
              <w:spacing w:after="0"/>
              <w:rPr>
                <w:sz w:val="21"/>
                <w:szCs w:val="21"/>
                <w:color w:val="auto"/>
              </w:rPr>
            </w:pPr>
          </w:p>
        </w:tc>
        <w:tc>
          <w:tcPr>
            <w:tcW w:w="10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6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Stock Repurchase Plan (8)</w:t>
              </w:r>
            </w:hyperlink>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920" w:type="dxa"/>
            <w:vAlign w:val="bottom"/>
            <w:tcBorders>
              <w:top w:val="single" w:sz="8" w:color="0000EE"/>
            </w:tcBorders>
          </w:tcPr>
          <w:p>
            <w:pPr>
              <w:spacing w:after="0"/>
              <w:rPr>
                <w:sz w:val="21"/>
                <w:szCs w:val="21"/>
                <w:color w:val="auto"/>
              </w:rPr>
            </w:pPr>
          </w:p>
        </w:tc>
        <w:tc>
          <w:tcPr>
            <w:tcW w:w="7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c>
          <w:tcPr>
            <w:tcW w:w="24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6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Asset Purchase Agreement among SN Probst LLC, Probst Family Funerals and Cremations, L.L.C, Heber Valley Funeral Home, Inc., Joe T.</w:t>
              </w:r>
            </w:hyperlink>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tcBorders>
              <w:top w:val="single" w:sz="8" w:color="CCEEFF"/>
            </w:tcBorders>
            <w:shd w:val="clear" w:color="auto" w:fill="CCEEFF"/>
          </w:tcPr>
          <w:p>
            <w:pPr>
              <w:spacing w:after="0"/>
              <w:rPr>
                <w:sz w:val="21"/>
                <w:szCs w:val="21"/>
                <w:color w:val="auto"/>
              </w:rPr>
            </w:pPr>
          </w:p>
        </w:tc>
        <w:tc>
          <w:tcPr>
            <w:tcW w:w="1058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Probst, Clinton Wayne Probst, Calle J. Probst, and Marsha J. Probst (9)</w:t>
              </w:r>
            </w:hyperlink>
          </w:p>
        </w:tc>
        <w:tc>
          <w:tcPr>
            <w:tcW w:w="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92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c>
          <w:tcPr>
            <w:tcW w:w="24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986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Stock Purchase Agreement among Security National Financial Corporation, Kilpatrick Life Insurance Company, and the Shareholders of</w:t>
              </w:r>
            </w:hyperlink>
          </w:p>
        </w:tc>
        <w:tc>
          <w:tcPr>
            <w:tcW w:w="740" w:type="dxa"/>
            <w:vAlign w:val="bottom"/>
            <w:tcBorders>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6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Kilpatrick Life Insurance Company (11)</w:t>
              </w:r>
            </w:hyperlink>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92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c>
          <w:tcPr>
            <w:tcW w:w="240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6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Coinsurance Agreement between Kilpatrick Life Insurance Company and Security National Life Insurance Company (12)</w:t>
              </w:r>
            </w:hyperlink>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240" w:type="dxa"/>
            <w:vAlign w:val="bottom"/>
            <w:tcBorders>
              <w:top w:val="single" w:sz="8" w:color="0000EE"/>
            </w:tcBorders>
            <w:shd w:val="clear" w:color="auto" w:fill="CCEEFF"/>
          </w:tcPr>
          <w:p>
            <w:pPr>
              <w:spacing w:after="0"/>
              <w:rPr>
                <w:sz w:val="4"/>
                <w:szCs w:val="4"/>
                <w:color w:val="auto"/>
              </w:rPr>
            </w:pPr>
          </w:p>
        </w:tc>
        <w:tc>
          <w:tcPr>
            <w:tcW w:w="1280" w:type="dxa"/>
            <w:vAlign w:val="bottom"/>
            <w:tcBorders>
              <w:top w:val="single" w:sz="8" w:color="0000EE"/>
            </w:tcBorders>
            <w:shd w:val="clear" w:color="auto" w:fill="CCEEFF"/>
          </w:tcPr>
          <w:p>
            <w:pPr>
              <w:spacing w:after="0"/>
              <w:rPr>
                <w:sz w:val="4"/>
                <w:szCs w:val="4"/>
                <w:color w:val="auto"/>
              </w:rPr>
            </w:pPr>
          </w:p>
        </w:tc>
        <w:tc>
          <w:tcPr>
            <w:tcW w:w="240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820" w:hanging="812"/>
        <w:spacing w:after="0"/>
        <w:tabs>
          <w:tab w:leader="none" w:pos="820" w:val="left"/>
        </w:tabs>
        <w:numPr>
          <w:ilvl w:val="0"/>
          <w:numId w:val="50"/>
        </w:numPr>
        <w:rPr>
          <w:rFonts w:ascii="Times New Roman" w:cs="Times New Roman" w:eastAsia="Times New Roman" w:hAnsi="Times New Roman"/>
          <w:sz w:val="18"/>
          <w:szCs w:val="18"/>
          <w:u w:val="single" w:color="auto"/>
          <w:color w:val="0000EE"/>
        </w:rPr>
      </w:pPr>
      <w:hyperlink r:id="rId70">
        <w:r>
          <w:rPr>
            <w:rFonts w:ascii="Times New Roman" w:cs="Times New Roman" w:eastAsia="Times New Roman" w:hAnsi="Times New Roman"/>
            <w:sz w:val="18"/>
            <w:szCs w:val="18"/>
            <w:u w:val="single" w:color="auto"/>
            <w:color w:val="0000EE"/>
          </w:rPr>
          <w:t>Code of Business Conduct and Ethics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820" w:hanging="812"/>
        <w:spacing w:after="0"/>
        <w:tabs>
          <w:tab w:leader="none" w:pos="820" w:val="left"/>
        </w:tabs>
        <w:numPr>
          <w:ilvl w:val="0"/>
          <w:numId w:val="51"/>
        </w:numPr>
        <w:rPr>
          <w:rFonts w:ascii="Times New Roman" w:cs="Times New Roman" w:eastAsia="Times New Roman" w:hAnsi="Times New Roman"/>
          <w:sz w:val="18"/>
          <w:szCs w:val="18"/>
          <w:u w:val="single" w:color="auto"/>
          <w:color w:val="0000EE"/>
        </w:rPr>
      </w:pPr>
      <w:hyperlink r:id="rId72">
        <w:r>
          <w:rPr>
            <w:rFonts w:ascii="Times New Roman" w:cs="Times New Roman" w:eastAsia="Times New Roman" w:hAnsi="Times New Roman"/>
            <w:sz w:val="18"/>
            <w:szCs w:val="18"/>
            <w:u w:val="single" w:color="auto"/>
            <w:color w:val="0000EE"/>
          </w:rPr>
          <w:t>Subsidiaries of the Registrant (10)</w:t>
        </w:r>
      </w:hyperlink>
    </w:p>
    <w:p>
      <w:pPr>
        <w:spacing w:after="0" w:line="27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hyperlink r:id="rId73">
        <w:r>
          <w:rPr>
            <w:rFonts w:ascii="Times New Roman" w:cs="Times New Roman" w:eastAsia="Times New Roman" w:hAnsi="Times New Roman"/>
            <w:sz w:val="17"/>
            <w:szCs w:val="17"/>
            <w:u w:val="single" w:color="auto"/>
            <w:color w:val="0000EE"/>
          </w:rPr>
          <w:t>Consent of Eide Bailly LLP (5)</w:t>
        </w:r>
      </w:hyperlink>
    </w:p>
    <w:p>
      <w:pPr>
        <w:spacing w:after="0" w:line="279" w:lineRule="exact"/>
        <w:rPr>
          <w:rFonts w:ascii="Times New Roman" w:cs="Times New Roman" w:eastAsia="Times New Roman" w:hAnsi="Times New Roman"/>
          <w:sz w:val="17"/>
          <w:szCs w:val="17"/>
          <w:u w:val="single" w:color="auto"/>
          <w:color w:val="0000EE"/>
        </w:rPr>
      </w:pPr>
    </w:p>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23.2</w:t>
      </w:r>
      <w:hyperlink r:id="rId74">
        <w:r>
          <w:rPr>
            <w:rFonts w:ascii="Times New Roman" w:cs="Times New Roman" w:eastAsia="Times New Roman" w:hAnsi="Times New Roman"/>
            <w:sz w:val="18"/>
            <w:szCs w:val="18"/>
            <w:u w:val="single" w:color="auto"/>
            <w:color w:val="0000EE"/>
          </w:rPr>
          <w:t>Consent of Mackey Price &amp; Mecham (5)</w:t>
        </w:r>
      </w:hyperlink>
    </w:p>
    <w:p>
      <w:pPr>
        <w:spacing w:after="0" w:line="27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31.1</w:t>
      </w:r>
      <w:hyperlink w:anchor="page66">
        <w:r>
          <w:rPr>
            <w:rFonts w:ascii="Times New Roman" w:cs="Times New Roman" w:eastAsia="Times New Roman" w:hAnsi="Times New Roman"/>
            <w:sz w:val="17"/>
            <w:szCs w:val="17"/>
            <w:u w:val="single" w:color="auto"/>
            <w:color w:val="0000EE"/>
          </w:rPr>
          <w:t>Certification pursuant to 18 U.S.C. Section 1350, as enacted by Section 302 of the Sarbanes-Oxley Act of 2002</w:t>
        </w:r>
      </w:hyperlink>
    </w:p>
    <w:p>
      <w:pPr>
        <w:spacing w:after="0" w:line="279" w:lineRule="exact"/>
        <w:rPr>
          <w:rFonts w:ascii="Times New Roman" w:cs="Times New Roman" w:eastAsia="Times New Roman" w:hAnsi="Times New Roman"/>
          <w:sz w:val="17"/>
          <w:szCs w:val="17"/>
          <w:u w:val="single" w:color="auto"/>
          <w:color w:val="0000EE"/>
        </w:rPr>
      </w:pPr>
    </w:p>
    <w:p>
      <w:pPr>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31.2</w:t>
      </w:r>
      <w:hyperlink w:anchor="page68">
        <w:r>
          <w:rPr>
            <w:rFonts w:ascii="Times New Roman" w:cs="Times New Roman" w:eastAsia="Times New Roman" w:hAnsi="Times New Roman"/>
            <w:sz w:val="17"/>
            <w:szCs w:val="17"/>
            <w:u w:val="single" w:color="auto"/>
            <w:color w:val="0000EE"/>
          </w:rPr>
          <w:t>Certification pursuant to 18 U.S.C. Section 1350, as enacted by Section 302 of the Sarbanes-Oxley Act of 2002</w:t>
        </w:r>
      </w:hyperlink>
    </w:p>
    <w:p>
      <w:pPr>
        <w:spacing w:after="0" w:line="279" w:lineRule="exact"/>
        <w:rPr>
          <w:rFonts w:ascii="Times New Roman" w:cs="Times New Roman" w:eastAsia="Times New Roman" w:hAnsi="Times New Roman"/>
          <w:sz w:val="17"/>
          <w:szCs w:val="17"/>
          <w:u w:val="single" w:color="auto"/>
          <w:color w:val="0000EE"/>
        </w:rPr>
      </w:pPr>
    </w:p>
    <w:p>
      <w:pPr>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32.1</w:t>
      </w:r>
      <w:hyperlink w:anchor="page69">
        <w:r>
          <w:rPr>
            <w:rFonts w:ascii="Times New Roman" w:cs="Times New Roman" w:eastAsia="Times New Roman" w:hAnsi="Times New Roman"/>
            <w:sz w:val="17"/>
            <w:szCs w:val="17"/>
            <w:u w:val="single" w:color="auto"/>
            <w:color w:val="0000EE"/>
          </w:rPr>
          <w:t>Certification pursuant to 18 U.S.C. Section 1350, as adopted pursuant to Section 906 of the Sarbanes-Oxley Act of 2002</w:t>
        </w:r>
      </w:hyperlink>
    </w:p>
    <w:p>
      <w:pPr>
        <w:spacing w:after="0" w:line="279" w:lineRule="exact"/>
        <w:rPr>
          <w:rFonts w:ascii="Times New Roman" w:cs="Times New Roman" w:eastAsia="Times New Roman" w:hAnsi="Times New Roman"/>
          <w:sz w:val="17"/>
          <w:szCs w:val="17"/>
          <w:u w:val="single" w:color="auto"/>
          <w:color w:val="0000EE"/>
        </w:rPr>
      </w:pPr>
    </w:p>
    <w:p>
      <w:pPr>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32.2</w:t>
      </w:r>
      <w:hyperlink w:anchor="page70">
        <w:r>
          <w:rPr>
            <w:rFonts w:ascii="Times New Roman" w:cs="Times New Roman" w:eastAsia="Times New Roman" w:hAnsi="Times New Roman"/>
            <w:sz w:val="17"/>
            <w:szCs w:val="17"/>
            <w:u w:val="single" w:color="auto"/>
            <w:color w:val="0000EE"/>
          </w:rPr>
          <w:t>Certification pursuant to 18 U.S.C. Section 1350, as adopted pursuant to Section 906 of the Sarbanes-Oxley Act of 2002</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-1971675</wp:posOffset>
            </wp:positionV>
            <wp:extent cx="72466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-1663065</wp:posOffset>
            </wp:positionV>
            <wp:extent cx="72466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2466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2466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2466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78" w:lineRule="exact"/>
        <w:rPr>
          <w:rFonts w:ascii="Times New Roman" w:cs="Times New Roman" w:eastAsia="Times New Roman" w:hAnsi="Times New Roman"/>
          <w:sz w:val="17"/>
          <w:szCs w:val="17"/>
          <w:u w:val="single" w:color="auto"/>
          <w:color w:val="0000EE"/>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101.xml</w:t>
            </w:r>
          </w:p>
        </w:tc>
        <w:tc>
          <w:tcPr>
            <w:tcW w:w="10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Instance Document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00" w:type="dxa"/>
            <w:vAlign w:val="bottom"/>
          </w:tcPr>
          <w:p>
            <w:pPr>
              <w:spacing w:after="0"/>
              <w:rPr>
                <w:sz w:val="21"/>
                <w:szCs w:val="21"/>
                <w:color w:val="auto"/>
              </w:rPr>
            </w:pPr>
          </w:p>
        </w:tc>
        <w:tc>
          <w:tcPr>
            <w:tcW w:w="10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101.xsd</w:t>
            </w:r>
          </w:p>
        </w:tc>
        <w:tc>
          <w:tcPr>
            <w:tcW w:w="10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Taxonomy Extension Schema Document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00" w:type="dxa"/>
            <w:vAlign w:val="bottom"/>
          </w:tcPr>
          <w:p>
            <w:pPr>
              <w:spacing w:after="0"/>
              <w:rPr>
                <w:sz w:val="21"/>
                <w:szCs w:val="21"/>
                <w:color w:val="auto"/>
              </w:rPr>
            </w:pPr>
          </w:p>
        </w:tc>
        <w:tc>
          <w:tcPr>
            <w:tcW w:w="10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Taxonomy Extension Calculation Linkbase Document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00" w:type="dxa"/>
            <w:vAlign w:val="bottom"/>
          </w:tcPr>
          <w:p>
            <w:pPr>
              <w:spacing w:after="0"/>
              <w:rPr>
                <w:sz w:val="21"/>
                <w:szCs w:val="21"/>
                <w:color w:val="auto"/>
              </w:rPr>
            </w:pPr>
          </w:p>
        </w:tc>
        <w:tc>
          <w:tcPr>
            <w:tcW w:w="10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Taxonomy Extension Definition Linkbase Document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00" w:type="dxa"/>
            <w:vAlign w:val="bottom"/>
          </w:tcPr>
          <w:p>
            <w:pPr>
              <w:spacing w:after="0"/>
              <w:rPr>
                <w:sz w:val="21"/>
                <w:szCs w:val="21"/>
                <w:color w:val="auto"/>
              </w:rPr>
            </w:pPr>
          </w:p>
        </w:tc>
        <w:tc>
          <w:tcPr>
            <w:tcW w:w="10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Taxonomy Extension Label Linkbase Document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00" w:type="dxa"/>
            <w:vAlign w:val="bottom"/>
          </w:tcPr>
          <w:p>
            <w:pPr>
              <w:spacing w:after="0"/>
              <w:rPr>
                <w:sz w:val="21"/>
                <w:szCs w:val="21"/>
                <w:color w:val="auto"/>
              </w:rPr>
            </w:pPr>
          </w:p>
        </w:tc>
        <w:tc>
          <w:tcPr>
            <w:tcW w:w="10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Taxonomy Extension Presentation Linkbase Document</w:t>
            </w: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7"/>
          <w:szCs w:val="17"/>
          <w:u w:val="single" w:color="auto"/>
          <w:color w:val="0000EE"/>
        </w:rPr>
      </w:pPr>
    </w:p>
    <w:p>
      <w:pPr>
        <w:sectPr>
          <w:pgSz w:w="11900" w:h="16838" w:orient="portrait"/>
          <w:cols w:equalWidth="0" w:num="1">
            <w:col w:w="11420"/>
          </w:cols>
          <w:pgMar w:left="240" w:top="108" w:right="239" w:bottom="1440" w:gutter="0" w:footer="0" w:header="0"/>
        </w:sectPr>
      </w:pPr>
    </w:p>
    <w:p>
      <w:pPr>
        <w:spacing w:after="0" w:line="196" w:lineRule="exact"/>
        <w:rPr>
          <w:rFonts w:ascii="Times New Roman" w:cs="Times New Roman" w:eastAsia="Times New Roman" w:hAnsi="Times New Roman"/>
          <w:sz w:val="17"/>
          <w:szCs w:val="17"/>
          <w:u w:val="single" w:color="auto"/>
          <w:color w:val="0000EE"/>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63" w:name="page64"/>
    <w:bookmarkEnd w:id="63"/>
    <w:p>
      <w:pPr>
        <w:ind w:left="812" w:hanging="812"/>
        <w:spacing w:after="0" w:line="207" w:lineRule="exact"/>
        <w:tabs>
          <w:tab w:leader="none" w:pos="8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as filed on June 29, 1987</w:t>
      </w:r>
    </w:p>
    <w:p>
      <w:pPr>
        <w:spacing w:after="0" w:line="77" w:lineRule="exact"/>
        <w:rPr>
          <w:rFonts w:ascii="Times New Roman" w:cs="Times New Roman" w:eastAsia="Times New Roman" w:hAnsi="Times New Roman"/>
          <w:sz w:val="18"/>
          <w:szCs w:val="18"/>
          <w:color w:val="auto"/>
        </w:rPr>
      </w:pPr>
    </w:p>
    <w:p>
      <w:pPr>
        <w:ind w:left="812" w:hanging="812"/>
        <w:spacing w:after="0" w:line="259" w:lineRule="auto"/>
        <w:tabs>
          <w:tab w:leader="none" w:pos="8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Schedule 14A Definitive Proxy Statement, as filed on June 2, 2014, related to Company’s Annual Meeting of Stockholders</w:t>
      </w:r>
    </w:p>
    <w:p>
      <w:pPr>
        <w:spacing w:after="0" w:line="1" w:lineRule="exact"/>
        <w:rPr>
          <w:rFonts w:ascii="Times New Roman" w:cs="Times New Roman" w:eastAsia="Times New Roman" w:hAnsi="Times New Roman"/>
          <w:sz w:val="18"/>
          <w:szCs w:val="18"/>
          <w:color w:val="auto"/>
        </w:rPr>
      </w:pPr>
    </w:p>
    <w:p>
      <w:pPr>
        <w:ind w:left="812" w:hanging="812"/>
        <w:spacing w:after="0"/>
        <w:tabs>
          <w:tab w:leader="none" w:pos="8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November 13, 2015</w:t>
      </w:r>
    </w:p>
    <w:p>
      <w:pPr>
        <w:spacing w:after="0" w:line="36" w:lineRule="exact"/>
        <w:rPr>
          <w:rFonts w:ascii="Times New Roman" w:cs="Times New Roman" w:eastAsia="Times New Roman" w:hAnsi="Times New Roman"/>
          <w:sz w:val="18"/>
          <w:szCs w:val="18"/>
          <w:color w:val="auto"/>
        </w:rPr>
      </w:pPr>
    </w:p>
    <w:p>
      <w:pPr>
        <w:ind w:left="812" w:hanging="812"/>
        <w:spacing w:after="0"/>
        <w:tabs>
          <w:tab w:leader="none" w:pos="8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August 15, 2016</w:t>
      </w:r>
    </w:p>
    <w:p>
      <w:pPr>
        <w:spacing w:after="0" w:line="36" w:lineRule="exact"/>
        <w:rPr>
          <w:rFonts w:ascii="Times New Roman" w:cs="Times New Roman" w:eastAsia="Times New Roman" w:hAnsi="Times New Roman"/>
          <w:sz w:val="18"/>
          <w:szCs w:val="18"/>
          <w:color w:val="auto"/>
        </w:rPr>
      </w:pPr>
    </w:p>
    <w:p>
      <w:pPr>
        <w:ind w:left="812" w:hanging="812"/>
        <w:spacing w:after="0"/>
        <w:tabs>
          <w:tab w:leader="none" w:pos="8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Registration Statement on Form S-8, as filed on September 7, 2016</w:t>
      </w:r>
    </w:p>
    <w:p>
      <w:pPr>
        <w:spacing w:after="0" w:line="36" w:lineRule="exact"/>
        <w:rPr>
          <w:rFonts w:ascii="Times New Roman" w:cs="Times New Roman" w:eastAsia="Times New Roman" w:hAnsi="Times New Roman"/>
          <w:sz w:val="18"/>
          <w:szCs w:val="18"/>
          <w:color w:val="auto"/>
        </w:rPr>
      </w:pPr>
    </w:p>
    <w:p>
      <w:pPr>
        <w:ind w:left="812" w:hanging="812"/>
        <w:spacing w:after="0"/>
        <w:tabs>
          <w:tab w:leader="none" w:pos="8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2017</w:t>
      </w:r>
    </w:p>
    <w:p>
      <w:pPr>
        <w:spacing w:after="0" w:line="36" w:lineRule="exact"/>
        <w:rPr>
          <w:rFonts w:ascii="Times New Roman" w:cs="Times New Roman" w:eastAsia="Times New Roman" w:hAnsi="Times New Roman"/>
          <w:sz w:val="18"/>
          <w:szCs w:val="18"/>
          <w:color w:val="auto"/>
        </w:rPr>
      </w:pPr>
    </w:p>
    <w:p>
      <w:pPr>
        <w:ind w:left="812" w:hanging="812"/>
        <w:spacing w:after="0"/>
        <w:tabs>
          <w:tab w:leader="none" w:pos="8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8-K, as filed on June 6, 2018</w:t>
      </w:r>
    </w:p>
    <w:p>
      <w:pPr>
        <w:spacing w:after="0" w:line="36" w:lineRule="exact"/>
        <w:rPr>
          <w:rFonts w:ascii="Times New Roman" w:cs="Times New Roman" w:eastAsia="Times New Roman" w:hAnsi="Times New Roman"/>
          <w:sz w:val="18"/>
          <w:szCs w:val="18"/>
          <w:color w:val="auto"/>
        </w:rPr>
      </w:pPr>
    </w:p>
    <w:p>
      <w:pPr>
        <w:ind w:left="812" w:hanging="812"/>
        <w:spacing w:after="0"/>
        <w:tabs>
          <w:tab w:leader="none" w:pos="8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November 13, 2018</w:t>
      </w:r>
    </w:p>
    <w:p>
      <w:pPr>
        <w:spacing w:after="0" w:line="36" w:lineRule="exact"/>
        <w:rPr>
          <w:rFonts w:ascii="Times New Roman" w:cs="Times New Roman" w:eastAsia="Times New Roman" w:hAnsi="Times New Roman"/>
          <w:sz w:val="18"/>
          <w:szCs w:val="18"/>
          <w:color w:val="auto"/>
        </w:rPr>
      </w:pPr>
    </w:p>
    <w:p>
      <w:pPr>
        <w:ind w:left="812" w:hanging="812"/>
        <w:spacing w:after="0"/>
        <w:tabs>
          <w:tab w:leader="none" w:pos="8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8-K, as filed on February 28, 2019</w:t>
      </w:r>
    </w:p>
    <w:p>
      <w:pPr>
        <w:spacing w:after="0" w:line="36" w:lineRule="exact"/>
        <w:rPr>
          <w:rFonts w:ascii="Times New Roman" w:cs="Times New Roman" w:eastAsia="Times New Roman" w:hAnsi="Times New Roman"/>
          <w:sz w:val="18"/>
          <w:szCs w:val="18"/>
          <w:color w:val="auto"/>
        </w:rPr>
      </w:pPr>
    </w:p>
    <w:p>
      <w:pPr>
        <w:ind w:left="812" w:hanging="812"/>
        <w:spacing w:after="0"/>
        <w:tabs>
          <w:tab w:leader="none" w:pos="8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May 15, 2019</w:t>
      </w:r>
    </w:p>
    <w:p>
      <w:pPr>
        <w:spacing w:after="0" w:line="36" w:lineRule="exact"/>
        <w:rPr>
          <w:rFonts w:ascii="Times New Roman" w:cs="Times New Roman" w:eastAsia="Times New Roman" w:hAnsi="Times New Roman"/>
          <w:sz w:val="18"/>
          <w:szCs w:val="18"/>
          <w:color w:val="auto"/>
        </w:rPr>
      </w:pPr>
    </w:p>
    <w:p>
      <w:pPr>
        <w:ind w:left="812" w:hanging="812"/>
        <w:spacing w:after="0"/>
        <w:tabs>
          <w:tab w:leader="none" w:pos="8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8-K, as filed on November 12, 2019</w:t>
      </w:r>
    </w:p>
    <w:p>
      <w:pPr>
        <w:spacing w:after="0" w:line="36" w:lineRule="exact"/>
        <w:rPr>
          <w:rFonts w:ascii="Times New Roman" w:cs="Times New Roman" w:eastAsia="Times New Roman" w:hAnsi="Times New Roman"/>
          <w:sz w:val="18"/>
          <w:szCs w:val="18"/>
          <w:color w:val="auto"/>
        </w:rPr>
      </w:pPr>
    </w:p>
    <w:p>
      <w:pPr>
        <w:ind w:left="812" w:hanging="812"/>
        <w:spacing w:after="0"/>
        <w:tabs>
          <w:tab w:leader="none" w:pos="8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8-K, as filed on November 12, 2019</w:t>
      </w:r>
    </w:p>
    <w:p>
      <w:pPr>
        <w:spacing w:after="0" w:line="200" w:lineRule="exact"/>
        <w:rPr>
          <w:sz w:val="20"/>
          <w:szCs w:val="20"/>
          <w:color w:val="auto"/>
        </w:rPr>
      </w:pPr>
    </w:p>
    <w:p>
      <w:pPr>
        <w:spacing w:after="0" w:line="27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92" w:right="25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REGISTRANT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SECURITY NATIONAL FINANCIAL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Dated: November 14, 2019</w:t>
            </w: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 Scott M. Quist</w:t>
            </w:r>
          </w:p>
        </w:tc>
        <w:tc>
          <w:tcPr>
            <w:tcW w:w="5140" w:type="dxa"/>
            <w:vAlign w:val="bottom"/>
          </w:tcPr>
          <w:p>
            <w:pPr>
              <w:spacing w:after="0"/>
              <w:rPr>
                <w:sz w:val="17"/>
                <w:szCs w:val="17"/>
                <w:color w:val="auto"/>
              </w:rPr>
            </w:pPr>
          </w:p>
        </w:tc>
      </w:tr>
      <w:tr>
        <w:trPr>
          <w:trHeight w:val="218"/>
        </w:trPr>
        <w:tc>
          <w:tcPr>
            <w:tcW w:w="500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00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000" w:type="dxa"/>
            <w:vAlign w:val="bottom"/>
          </w:tcPr>
          <w:p>
            <w:pPr>
              <w:spacing w:after="0"/>
              <w:rPr>
                <w:sz w:val="20"/>
                <w:szCs w:val="20"/>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62"/>
        </w:trPr>
        <w:tc>
          <w:tcPr>
            <w:tcW w:w="5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Dated: November 14, 2019</w:t>
            </w: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Garrett S. Sill</w:t>
            </w:r>
          </w:p>
        </w:tc>
        <w:tc>
          <w:tcPr>
            <w:tcW w:w="5200" w:type="dxa"/>
            <w:vAlign w:val="bottom"/>
            <w:gridSpan w:val="2"/>
          </w:tcPr>
          <w:p>
            <w:pPr>
              <w:spacing w:after="0"/>
              <w:rPr>
                <w:sz w:val="24"/>
                <w:szCs w:val="24"/>
                <w:color w:val="auto"/>
              </w:rPr>
            </w:pPr>
          </w:p>
        </w:tc>
      </w:tr>
      <w:tr>
        <w:trPr>
          <w:trHeight w:val="218"/>
        </w:trPr>
        <w:tc>
          <w:tcPr>
            <w:tcW w:w="500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00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000" w:type="dxa"/>
            <w:vAlign w:val="bottom"/>
          </w:tcPr>
          <w:p>
            <w:pPr>
              <w:spacing w:after="0"/>
              <w:rPr>
                <w:sz w:val="20"/>
                <w:szCs w:val="20"/>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719"/>
        </w:trPr>
        <w:tc>
          <w:tcPr>
            <w:tcW w:w="5000" w:type="dxa"/>
            <w:vAlign w:val="bottom"/>
          </w:tcPr>
          <w:p>
            <w:pPr>
              <w:spacing w:after="0"/>
              <w:rPr>
                <w:sz w:val="24"/>
                <w:szCs w:val="24"/>
                <w:color w:val="auto"/>
              </w:rPr>
            </w:pPr>
          </w:p>
        </w:tc>
        <w:tc>
          <w:tcPr>
            <w:tcW w:w="12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59</w:t>
            </w:r>
          </w:p>
        </w:tc>
        <w:tc>
          <w:tcPr>
            <w:tcW w:w="6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112"/>
        </w:trPr>
        <w:tc>
          <w:tcPr>
            <w:tcW w:w="50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1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392" w:right="239" w:bottom="1440" w:gutter="0" w:footer="0" w:header="0"/>
        </w:sectPr>
      </w:pPr>
    </w:p>
    <w:bookmarkStart w:id="65" w:name="page66"/>
    <w:bookmarkEnd w:id="65"/>
    <w:p>
      <w:pPr>
        <w:ind w:left="10040"/>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3773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23773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377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OF CHIEF EXECUTIVE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REQUIRED BY SECTION 302 OF THE SARBANES-OXLEY ACT OF 2002</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Scott M. Quist, certify that:</w:t>
      </w:r>
    </w:p>
    <w:p>
      <w:pPr>
        <w:spacing w:after="0" w:line="287" w:lineRule="exact"/>
        <w:rPr>
          <w:sz w:val="20"/>
          <w:szCs w:val="20"/>
          <w:color w:val="auto"/>
        </w:rPr>
      </w:pPr>
    </w:p>
    <w:p>
      <w:pPr>
        <w:ind w:left="220" w:hanging="212"/>
        <w:spacing w:after="0"/>
        <w:tabs>
          <w:tab w:leader="none" w:pos="2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report on Form 10-Q of Security National Financial Corporation;</w:t>
      </w:r>
    </w:p>
    <w:p>
      <w:pPr>
        <w:spacing w:after="0" w:line="287" w:lineRule="exact"/>
        <w:rPr>
          <w:rFonts w:ascii="Times New Roman" w:cs="Times New Roman" w:eastAsia="Times New Roman" w:hAnsi="Times New Roman"/>
          <w:sz w:val="22"/>
          <w:szCs w:val="22"/>
          <w:color w:val="auto"/>
        </w:rPr>
      </w:pPr>
    </w:p>
    <w:p>
      <w:pPr>
        <w:jc w:val="both"/>
        <w:ind w:firstLine="8"/>
        <w:spacing w:after="0" w:line="270" w:lineRule="auto"/>
        <w:tabs>
          <w:tab w:leader="none" w:pos="24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6" w:lineRule="exact"/>
        <w:rPr>
          <w:rFonts w:ascii="Times New Roman" w:cs="Times New Roman" w:eastAsia="Times New Roman" w:hAnsi="Times New Roman"/>
          <w:sz w:val="22"/>
          <w:szCs w:val="22"/>
          <w:color w:val="auto"/>
        </w:rPr>
      </w:pPr>
    </w:p>
    <w:p>
      <w:pPr>
        <w:jc w:val="both"/>
        <w:ind w:firstLine="8"/>
        <w:spacing w:after="0" w:line="270" w:lineRule="auto"/>
        <w:tabs>
          <w:tab w:leader="none" w:pos="23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6" w:lineRule="exact"/>
        <w:rPr>
          <w:rFonts w:ascii="Times New Roman" w:cs="Times New Roman" w:eastAsia="Times New Roman" w:hAnsi="Times New Roman"/>
          <w:sz w:val="22"/>
          <w:szCs w:val="22"/>
          <w:color w:val="auto"/>
        </w:rPr>
      </w:pPr>
    </w:p>
    <w:p>
      <w:pPr>
        <w:jc w:val="both"/>
        <w:ind w:firstLine="8"/>
        <w:spacing w:after="0" w:line="270" w:lineRule="auto"/>
        <w:tabs>
          <w:tab w:leader="none" w:pos="26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22"/>
          <w:szCs w:val="22"/>
          <w:color w:val="auto"/>
        </w:rPr>
      </w:pPr>
    </w:p>
    <w:p>
      <w:pPr>
        <w:jc w:val="both"/>
        <w:ind w:firstLine="440"/>
        <w:spacing w:after="0" w:line="270" w:lineRule="auto"/>
        <w:tabs>
          <w:tab w:leader="none" w:pos="1131"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226" w:lineRule="exact"/>
        <w:rPr>
          <w:rFonts w:ascii="Times New Roman" w:cs="Times New Roman" w:eastAsia="Times New Roman" w:hAnsi="Times New Roman"/>
          <w:sz w:val="22"/>
          <w:szCs w:val="22"/>
          <w:color w:val="auto"/>
        </w:rPr>
      </w:pPr>
    </w:p>
    <w:p>
      <w:pPr>
        <w:jc w:val="both"/>
        <w:ind w:firstLine="440"/>
        <w:spacing w:after="0" w:line="270" w:lineRule="auto"/>
        <w:tabs>
          <w:tab w:leader="none" w:pos="1143"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6" w:lineRule="exact"/>
        <w:rPr>
          <w:rFonts w:ascii="Times New Roman" w:cs="Times New Roman" w:eastAsia="Times New Roman" w:hAnsi="Times New Roman"/>
          <w:sz w:val="22"/>
          <w:szCs w:val="22"/>
          <w:color w:val="auto"/>
        </w:rPr>
      </w:pPr>
    </w:p>
    <w:p>
      <w:pPr>
        <w:jc w:val="both"/>
        <w:ind w:firstLine="440"/>
        <w:spacing w:after="0" w:line="270" w:lineRule="auto"/>
        <w:tabs>
          <w:tab w:leader="none" w:pos="1131"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6" w:lineRule="exact"/>
        <w:rPr>
          <w:rFonts w:ascii="Times New Roman" w:cs="Times New Roman" w:eastAsia="Times New Roman" w:hAnsi="Times New Roman"/>
          <w:sz w:val="22"/>
          <w:szCs w:val="22"/>
          <w:color w:val="auto"/>
        </w:rPr>
      </w:pPr>
    </w:p>
    <w:p>
      <w:pPr>
        <w:jc w:val="both"/>
        <w:ind w:firstLine="440"/>
        <w:spacing w:after="0" w:line="270" w:lineRule="auto"/>
        <w:tabs>
          <w:tab w:leader="none" w:pos="1143"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Times New Roman" w:cs="Times New Roman" w:eastAsia="Times New Roman" w:hAnsi="Times New Roman"/>
          <w:sz w:val="22"/>
          <w:szCs w:val="22"/>
          <w:color w:val="auto"/>
        </w:rPr>
      </w:pPr>
    </w:p>
    <w:p>
      <w:pPr>
        <w:jc w:val="both"/>
        <w:ind w:firstLine="8"/>
        <w:spacing w:after="0" w:line="270" w:lineRule="auto"/>
        <w:tabs>
          <w:tab w:leader="none" w:pos="24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6" w:lineRule="exact"/>
        <w:rPr>
          <w:rFonts w:ascii="Times New Roman" w:cs="Times New Roman" w:eastAsia="Times New Roman" w:hAnsi="Times New Roman"/>
          <w:sz w:val="22"/>
          <w:szCs w:val="22"/>
          <w:color w:val="auto"/>
        </w:rPr>
      </w:pPr>
    </w:p>
    <w:p>
      <w:pPr>
        <w:jc w:val="both"/>
        <w:ind w:firstLine="413"/>
        <w:spacing w:after="0" w:line="270" w:lineRule="auto"/>
        <w:tabs>
          <w:tab w:leader="none" w:pos="113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Times New Roman" w:cs="Times New Roman" w:eastAsia="Times New Roman" w:hAnsi="Times New Roman"/>
          <w:sz w:val="22"/>
          <w:szCs w:val="22"/>
          <w:color w:val="auto"/>
        </w:rPr>
      </w:pPr>
    </w:p>
    <w:p>
      <w:pPr>
        <w:ind w:firstLine="413"/>
        <w:spacing w:after="0" w:line="284" w:lineRule="auto"/>
        <w:tabs>
          <w:tab w:leader="none" w:pos="120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Dated: November 14, 2019</w:t>
            </w: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Scott M. Quist</w:t>
            </w:r>
          </w:p>
        </w:tc>
        <w:tc>
          <w:tcPr>
            <w:tcW w:w="5140" w:type="dxa"/>
            <w:vAlign w:val="bottom"/>
          </w:tcPr>
          <w:p>
            <w:pPr>
              <w:spacing w:after="0"/>
              <w:rPr>
                <w:sz w:val="18"/>
                <w:szCs w:val="18"/>
                <w:color w:val="auto"/>
              </w:rPr>
            </w:pPr>
          </w:p>
        </w:tc>
      </w:tr>
      <w:tr>
        <w:trPr>
          <w:trHeight w:val="218"/>
        </w:trPr>
        <w:tc>
          <w:tcPr>
            <w:tcW w:w="500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00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00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087"/>
        </w:trPr>
        <w:tc>
          <w:tcPr>
            <w:tcW w:w="5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2" w:right="239" w:bottom="778" w:gutter="0" w:footer="0" w:header="0"/>
        </w:sectPr>
      </w:pPr>
    </w:p>
    <w:bookmarkStart w:id="66" w:name="page67"/>
    <w:bookmarkEnd w:id="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OF CHIEF FINANCIAL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REQUIRED BY SECTION 302 OF THE SARBANES-OXLEY ACT OF 2002</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Garrett S. Sill, certify that:</w:t>
      </w:r>
    </w:p>
    <w:p>
      <w:pPr>
        <w:spacing w:after="0" w:line="287" w:lineRule="exact"/>
        <w:rPr>
          <w:sz w:val="20"/>
          <w:szCs w:val="20"/>
          <w:color w:val="auto"/>
        </w:rPr>
      </w:pPr>
    </w:p>
    <w:p>
      <w:pPr>
        <w:ind w:left="220" w:hanging="212"/>
        <w:spacing w:after="0"/>
        <w:tabs>
          <w:tab w:leader="none" w:pos="2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report on Form 10-Q of Security National Financial Corporation;</w:t>
      </w:r>
    </w:p>
    <w:p>
      <w:pPr>
        <w:spacing w:after="0" w:line="287" w:lineRule="exact"/>
        <w:rPr>
          <w:rFonts w:ascii="Times New Roman" w:cs="Times New Roman" w:eastAsia="Times New Roman" w:hAnsi="Times New Roman"/>
          <w:sz w:val="22"/>
          <w:szCs w:val="22"/>
          <w:color w:val="auto"/>
        </w:rPr>
      </w:pPr>
    </w:p>
    <w:p>
      <w:pPr>
        <w:jc w:val="both"/>
        <w:ind w:firstLine="8"/>
        <w:spacing w:after="0" w:line="270" w:lineRule="auto"/>
        <w:tabs>
          <w:tab w:leader="none" w:pos="2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6" w:lineRule="exact"/>
        <w:rPr>
          <w:rFonts w:ascii="Times New Roman" w:cs="Times New Roman" w:eastAsia="Times New Roman" w:hAnsi="Times New Roman"/>
          <w:sz w:val="22"/>
          <w:szCs w:val="22"/>
          <w:color w:val="auto"/>
        </w:rPr>
      </w:pPr>
    </w:p>
    <w:p>
      <w:pPr>
        <w:jc w:val="both"/>
        <w:ind w:firstLine="8"/>
        <w:spacing w:after="0" w:line="270" w:lineRule="auto"/>
        <w:tabs>
          <w:tab w:leader="none" w:pos="23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6" w:lineRule="exact"/>
        <w:rPr>
          <w:rFonts w:ascii="Times New Roman" w:cs="Times New Roman" w:eastAsia="Times New Roman" w:hAnsi="Times New Roman"/>
          <w:sz w:val="22"/>
          <w:szCs w:val="22"/>
          <w:color w:val="auto"/>
        </w:rPr>
      </w:pPr>
    </w:p>
    <w:p>
      <w:pPr>
        <w:jc w:val="both"/>
        <w:ind w:firstLine="8"/>
        <w:spacing w:after="0" w:line="270" w:lineRule="auto"/>
        <w:tabs>
          <w:tab w:leader="none" w:pos="26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22"/>
          <w:szCs w:val="22"/>
          <w:color w:val="auto"/>
        </w:rPr>
      </w:pPr>
    </w:p>
    <w:p>
      <w:pPr>
        <w:jc w:val="both"/>
        <w:ind w:firstLine="440"/>
        <w:spacing w:after="0" w:line="270" w:lineRule="auto"/>
        <w:tabs>
          <w:tab w:leader="none" w:pos="1131"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226" w:lineRule="exact"/>
        <w:rPr>
          <w:rFonts w:ascii="Times New Roman" w:cs="Times New Roman" w:eastAsia="Times New Roman" w:hAnsi="Times New Roman"/>
          <w:sz w:val="22"/>
          <w:szCs w:val="22"/>
          <w:color w:val="auto"/>
        </w:rPr>
      </w:pPr>
    </w:p>
    <w:p>
      <w:pPr>
        <w:jc w:val="both"/>
        <w:ind w:firstLine="440"/>
        <w:spacing w:after="0" w:line="270" w:lineRule="auto"/>
        <w:tabs>
          <w:tab w:leader="none" w:pos="1143"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6" w:lineRule="exact"/>
        <w:rPr>
          <w:rFonts w:ascii="Times New Roman" w:cs="Times New Roman" w:eastAsia="Times New Roman" w:hAnsi="Times New Roman"/>
          <w:sz w:val="22"/>
          <w:szCs w:val="22"/>
          <w:color w:val="auto"/>
        </w:rPr>
      </w:pPr>
    </w:p>
    <w:p>
      <w:pPr>
        <w:jc w:val="both"/>
        <w:ind w:firstLine="440"/>
        <w:spacing w:after="0" w:line="270" w:lineRule="auto"/>
        <w:tabs>
          <w:tab w:leader="none" w:pos="1131"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6" w:lineRule="exact"/>
        <w:rPr>
          <w:rFonts w:ascii="Times New Roman" w:cs="Times New Roman" w:eastAsia="Times New Roman" w:hAnsi="Times New Roman"/>
          <w:sz w:val="22"/>
          <w:szCs w:val="22"/>
          <w:color w:val="auto"/>
        </w:rPr>
      </w:pPr>
    </w:p>
    <w:p>
      <w:pPr>
        <w:jc w:val="both"/>
        <w:ind w:firstLine="440"/>
        <w:spacing w:after="0" w:line="270" w:lineRule="auto"/>
        <w:tabs>
          <w:tab w:leader="none" w:pos="1143"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Times New Roman" w:cs="Times New Roman" w:eastAsia="Times New Roman" w:hAnsi="Times New Roman"/>
          <w:sz w:val="22"/>
          <w:szCs w:val="22"/>
          <w:color w:val="auto"/>
        </w:rPr>
      </w:pPr>
    </w:p>
    <w:p>
      <w:pPr>
        <w:jc w:val="both"/>
        <w:ind w:firstLine="8"/>
        <w:spacing w:after="0" w:line="270" w:lineRule="auto"/>
        <w:tabs>
          <w:tab w:leader="none" w:pos="24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6" w:lineRule="exact"/>
        <w:rPr>
          <w:rFonts w:ascii="Times New Roman" w:cs="Times New Roman" w:eastAsia="Times New Roman" w:hAnsi="Times New Roman"/>
          <w:sz w:val="22"/>
          <w:szCs w:val="22"/>
          <w:color w:val="auto"/>
        </w:rPr>
      </w:pPr>
    </w:p>
    <w:p>
      <w:pPr>
        <w:jc w:val="both"/>
        <w:ind w:firstLine="413"/>
        <w:spacing w:after="0" w:line="270" w:lineRule="auto"/>
        <w:tabs>
          <w:tab w:leader="none" w:pos="1131"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Times New Roman" w:cs="Times New Roman" w:eastAsia="Times New Roman" w:hAnsi="Times New Roman"/>
          <w:sz w:val="22"/>
          <w:szCs w:val="22"/>
          <w:color w:val="auto"/>
        </w:rPr>
      </w:pPr>
    </w:p>
    <w:p>
      <w:pPr>
        <w:ind w:firstLine="413"/>
        <w:spacing w:after="0" w:line="284" w:lineRule="auto"/>
        <w:tabs>
          <w:tab w:leader="none" w:pos="120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Dated: November 14, 2019</w:t>
            </w:r>
          </w:p>
        </w:tc>
        <w:tc>
          <w:tcPr>
            <w:tcW w:w="1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/s/ Garrett S. Sill</w:t>
            </w:r>
          </w:p>
        </w:tc>
        <w:tc>
          <w:tcPr>
            <w:tcW w:w="5160" w:type="dxa"/>
            <w:vAlign w:val="bottom"/>
          </w:tcPr>
          <w:p>
            <w:pPr>
              <w:spacing w:after="0"/>
              <w:rPr>
                <w:sz w:val="18"/>
                <w:szCs w:val="18"/>
                <w:color w:val="auto"/>
              </w:rPr>
            </w:pPr>
          </w:p>
        </w:tc>
      </w:tr>
      <w:tr>
        <w:trPr>
          <w:trHeight w:val="218"/>
        </w:trPr>
        <w:tc>
          <w:tcPr>
            <w:tcW w:w="5000" w:type="dxa"/>
            <w:vAlign w:val="bottom"/>
          </w:tcPr>
          <w:p>
            <w:pPr>
              <w:spacing w:after="0"/>
              <w:rPr>
                <w:sz w:val="18"/>
                <w:szCs w:val="18"/>
                <w:color w:val="auto"/>
              </w:rPr>
            </w:pPr>
          </w:p>
        </w:tc>
        <w:tc>
          <w:tcPr>
            <w:tcW w:w="6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000" w:type="dxa"/>
            <w:vAlign w:val="bottom"/>
          </w:tcPr>
          <w:p>
            <w:pPr>
              <w:spacing w:after="0"/>
              <w:rPr>
                <w:sz w:val="18"/>
                <w:szCs w:val="18"/>
                <w:color w:val="auto"/>
              </w:rPr>
            </w:pPr>
          </w:p>
        </w:tc>
        <w:tc>
          <w:tcPr>
            <w:tcW w:w="6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00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1195"/>
        </w:trPr>
        <w:tc>
          <w:tcPr>
            <w:tcW w:w="5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2" w:right="239" w:bottom="940" w:gutter="0" w:footer="0" w:header="0"/>
        </w:sectPr>
      </w:pPr>
    </w:p>
    <w:bookmarkStart w:id="68" w:name="page69"/>
    <w:bookmarkEnd w:id="68"/>
    <w:p>
      <w:pPr>
        <w:ind w:left="10060"/>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CERTIFICATION OF CHIEF EXECUTIVE OFFICER,</w:t>
      </w:r>
    </w:p>
    <w:p>
      <w:pPr>
        <w:spacing w:after="0" w:line="3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AS REQUIRED BY SECTION 906 OF THE SARBANES-OXLEY ACT OF 2002</w:t>
      </w:r>
    </w:p>
    <w:p>
      <w:pPr>
        <w:spacing w:after="0" w:line="2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In connection with the Quarterly Report of Security National Financial Corporation (the “Company”) on Form 10-Q for the period ending September 30, 2019,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229" w:lineRule="exact"/>
        <w:rPr>
          <w:sz w:val="20"/>
          <w:szCs w:val="20"/>
          <w:color w:val="auto"/>
        </w:rPr>
      </w:pPr>
    </w:p>
    <w:p>
      <w:pPr>
        <w:ind w:left="1340" w:hanging="684"/>
        <w:spacing w:after="0"/>
        <w:tabs>
          <w:tab w:leader="none" w:pos="1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9" w:lineRule="exact"/>
        <w:rPr>
          <w:rFonts w:ascii="Times New Roman" w:cs="Times New Roman" w:eastAsia="Times New Roman" w:hAnsi="Times New Roman"/>
          <w:sz w:val="18"/>
          <w:szCs w:val="18"/>
          <w:color w:val="auto"/>
        </w:rPr>
      </w:pPr>
    </w:p>
    <w:p>
      <w:pPr>
        <w:ind w:left="1340" w:hanging="684"/>
        <w:spacing w:after="0" w:line="282" w:lineRule="auto"/>
        <w:tabs>
          <w:tab w:leader="none" w:pos="1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Dated: November 14, 2019</w:t>
            </w: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Scott M. Quist</w:t>
            </w:r>
          </w:p>
        </w:tc>
        <w:tc>
          <w:tcPr>
            <w:tcW w:w="5140" w:type="dxa"/>
            <w:vAlign w:val="bottom"/>
          </w:tcPr>
          <w:p>
            <w:pPr>
              <w:spacing w:after="0"/>
              <w:rPr>
                <w:sz w:val="17"/>
                <w:szCs w:val="17"/>
                <w:color w:val="auto"/>
              </w:rPr>
            </w:pPr>
          </w:p>
        </w:tc>
      </w:tr>
      <w:tr>
        <w:trPr>
          <w:trHeight w:val="218"/>
        </w:trPr>
        <w:tc>
          <w:tcPr>
            <w:tcW w:w="500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00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00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25"/>
        </w:trPr>
        <w:tc>
          <w:tcPr>
            <w:tcW w:w="5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9" w:name="page70"/>
    <w:bookmarkEnd w:id="69"/>
    <w:p>
      <w:pPr>
        <w:ind w:left="10060"/>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OF CHIEF FINANCIAL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REQUIRED BY SECTION 906 OF THE SARBANES-OXLEY ACT OF 2002</w:t>
      </w:r>
    </w:p>
    <w:p>
      <w:pPr>
        <w:spacing w:after="0" w:line="2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In connection with the Quarterly Report of Security National Financial Corporation (the “Company”) on Form 10-Q for the period ending September 30, 2019,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229" w:lineRule="exact"/>
        <w:rPr>
          <w:sz w:val="20"/>
          <w:szCs w:val="20"/>
          <w:color w:val="auto"/>
        </w:rPr>
      </w:pPr>
    </w:p>
    <w:p>
      <w:pPr>
        <w:ind w:left="1340" w:hanging="684"/>
        <w:spacing w:after="0"/>
        <w:tabs>
          <w:tab w:leader="none" w:pos="1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9" w:lineRule="exact"/>
        <w:rPr>
          <w:rFonts w:ascii="Times New Roman" w:cs="Times New Roman" w:eastAsia="Times New Roman" w:hAnsi="Times New Roman"/>
          <w:sz w:val="18"/>
          <w:szCs w:val="18"/>
          <w:color w:val="auto"/>
        </w:rPr>
      </w:pPr>
    </w:p>
    <w:p>
      <w:pPr>
        <w:ind w:left="1340" w:hanging="684"/>
        <w:spacing w:after="0" w:line="282" w:lineRule="auto"/>
        <w:tabs>
          <w:tab w:leader="none" w:pos="1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Dated: November 14, 2019</w:t>
            </w:r>
          </w:p>
        </w:tc>
        <w:tc>
          <w:tcPr>
            <w:tcW w:w="1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/s/ Garrett S. Sill</w:t>
            </w:r>
          </w:p>
        </w:tc>
        <w:tc>
          <w:tcPr>
            <w:tcW w:w="5160" w:type="dxa"/>
            <w:vAlign w:val="bottom"/>
          </w:tcPr>
          <w:p>
            <w:pPr>
              <w:spacing w:after="0"/>
              <w:rPr>
                <w:sz w:val="17"/>
                <w:szCs w:val="17"/>
                <w:color w:val="auto"/>
              </w:rPr>
            </w:pPr>
          </w:p>
        </w:tc>
      </w:tr>
      <w:tr>
        <w:trPr>
          <w:trHeight w:val="218"/>
        </w:trPr>
        <w:tc>
          <w:tcPr>
            <w:tcW w:w="5000" w:type="dxa"/>
            <w:vAlign w:val="bottom"/>
          </w:tcPr>
          <w:p>
            <w:pPr>
              <w:spacing w:after="0"/>
              <w:rPr>
                <w:sz w:val="18"/>
                <w:szCs w:val="18"/>
                <w:color w:val="auto"/>
              </w:rPr>
            </w:pPr>
          </w:p>
        </w:tc>
        <w:tc>
          <w:tcPr>
            <w:tcW w:w="6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000" w:type="dxa"/>
            <w:vAlign w:val="bottom"/>
          </w:tcPr>
          <w:p>
            <w:pPr>
              <w:spacing w:after="0"/>
              <w:rPr>
                <w:sz w:val="18"/>
                <w:szCs w:val="18"/>
                <w:color w:val="auto"/>
              </w:rPr>
            </w:pPr>
          </w:p>
        </w:tc>
        <w:tc>
          <w:tcPr>
            <w:tcW w:w="6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00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628"/>
        </w:trPr>
        <w:tc>
          <w:tcPr>
            <w:tcW w:w="5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decimal"/>
      <w:start w:val="2"/>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decimal"/>
      <w:start w:val="3"/>
    </w:lvl>
  </w:abstractNum>
  <w:abstractNum w:abstractNumId="5">
    <w:nsid w:val="7C3DBD3D"/>
    <w:multiLevelType w:val="hybridMultilevel"/>
    <w:lvl w:ilvl="0">
      <w:lvlJc w:val="left"/>
      <w:lvlText w:val="%1)"/>
      <w:numFmt w:val="decimal"/>
      <w:start w:val="3"/>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3"/>
    </w:lvl>
  </w:abstractNum>
  <w:abstractNum w:abstractNumId="8">
    <w:nsid w:val="22221A70"/>
    <w:multiLevelType w:val="hybridMultilevel"/>
    <w:lvl w:ilvl="0">
      <w:lvlJc w:val="left"/>
      <w:lvlText w:val="%1)"/>
      <w:numFmt w:val="decimal"/>
      <w:start w:val="3"/>
    </w:lvl>
  </w:abstractNum>
  <w:abstractNum w:abstractNumId="9">
    <w:nsid w:val="4516DDE9"/>
    <w:multiLevelType w:val="hybridMultilevel"/>
    <w:lvl w:ilvl="0">
      <w:lvlJc w:val="left"/>
      <w:lvlText w:val="%1)"/>
      <w:numFmt w:val="decimal"/>
      <w:start w:val="3"/>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3"/>
    </w:lvl>
  </w:abstractNum>
  <w:abstractNum w:abstractNumId="12">
    <w:nsid w:val="419AC241"/>
    <w:multiLevelType w:val="hybridMultilevel"/>
    <w:lvl w:ilvl="0">
      <w:lvlJc w:val="left"/>
      <w:lvlText w:val="%1)"/>
      <w:numFmt w:val="decimal"/>
      <w:start w:val="3"/>
    </w:lvl>
  </w:abstractNum>
  <w:abstractNum w:abstractNumId="13">
    <w:nsid w:val="5577F8E1"/>
    <w:multiLevelType w:val="hybridMultilevel"/>
    <w:lvl w:ilvl="0">
      <w:lvlJc w:val="left"/>
      <w:lvlText w:val="%1)"/>
      <w:numFmt w:val="decimal"/>
      <w:start w:val="3"/>
    </w:lvl>
  </w:abstractNum>
  <w:abstractNum w:abstractNumId="14">
    <w:nsid w:val="440BADFC"/>
    <w:multiLevelType w:val="hybridMultilevel"/>
    <w:lvl w:ilvl="0">
      <w:lvlJc w:val="left"/>
      <w:lvlText w:val="%1)"/>
      <w:numFmt w:val="decimal"/>
      <w:start w:val="3"/>
    </w:lvl>
  </w:abstractNum>
  <w:abstractNum w:abstractNumId="15">
    <w:nsid w:val="5072367"/>
    <w:multiLevelType w:val="hybridMultilevel"/>
    <w:lvl w:ilvl="0">
      <w:lvlJc w:val="left"/>
      <w:lvlText w:val="%1)"/>
      <w:numFmt w:val="decimal"/>
      <w:start w:val="3"/>
    </w:lvl>
  </w:abstractNum>
  <w:abstractNum w:abstractNumId="16">
    <w:nsid w:val="3804823E"/>
    <w:multiLevelType w:val="hybridMultilevel"/>
    <w:lvl w:ilvl="0">
      <w:lvlJc w:val="left"/>
      <w:lvlText w:val="%1)"/>
      <w:numFmt w:val="decimal"/>
      <w:start w:val="4"/>
    </w:lvl>
  </w:abstractNum>
  <w:abstractNum w:abstractNumId="17">
    <w:nsid w:val="77465F01"/>
    <w:multiLevelType w:val="hybridMultilevel"/>
    <w:lvl w:ilvl="0">
      <w:lvlJc w:val="left"/>
      <w:lvlText w:val="%1)"/>
      <w:numFmt w:val="decimal"/>
      <w:start w:val="4"/>
    </w:lvl>
  </w:abstractNum>
  <w:abstractNum w:abstractNumId="18">
    <w:nsid w:val="7724C67E"/>
    <w:multiLevelType w:val="hybridMultilevel"/>
    <w:lvl w:ilvl="0">
      <w:lvlJc w:val="left"/>
      <w:lvlText w:val="%1)"/>
      <w:numFmt w:val="decimal"/>
      <w:start w:val="5"/>
    </w:lvl>
  </w:abstractNum>
  <w:abstractNum w:abstractNumId="19">
    <w:nsid w:val="5C482A97"/>
    <w:multiLevelType w:val="hybridMultilevel"/>
    <w:lvl w:ilvl="0">
      <w:lvlJc w:val="left"/>
      <w:lvlText w:val="%1)"/>
      <w:numFmt w:val="decimal"/>
      <w:start w:val="5"/>
    </w:lvl>
  </w:abstractNum>
  <w:abstractNum w:abstractNumId="20">
    <w:nsid w:val="2463B9EA"/>
    <w:multiLevelType w:val="hybridMultilevel"/>
    <w:lvl w:ilvl="0">
      <w:lvlJc w:val="left"/>
      <w:lvlText w:val="%1)"/>
      <w:numFmt w:val="decimal"/>
      <w:start w:val="6"/>
    </w:lvl>
  </w:abstractNum>
  <w:abstractNum w:abstractNumId="21">
    <w:nsid w:val="5E884ADC"/>
    <w:multiLevelType w:val="hybridMultilevel"/>
    <w:lvl w:ilvl="0">
      <w:lvlJc w:val="left"/>
      <w:lvlText w:val="%1)"/>
      <w:numFmt w:val="decimal"/>
      <w:start w:val="7"/>
    </w:lvl>
  </w:abstractNum>
  <w:abstractNum w:abstractNumId="22">
    <w:nsid w:val="51EAD36B"/>
    <w:multiLevelType w:val="hybridMultilevel"/>
    <w:lvl w:ilvl="0">
      <w:lvlJc w:val="left"/>
      <w:lvlText w:val="%1)"/>
      <w:numFmt w:val="decimal"/>
      <w:start w:val="7"/>
    </w:lvl>
  </w:abstractNum>
  <w:abstractNum w:abstractNumId="23">
    <w:nsid w:val="2D517796"/>
    <w:multiLevelType w:val="hybridMultilevel"/>
    <w:lvl w:ilvl="0">
      <w:lvlJc w:val="left"/>
      <w:lvlText w:val="%1)"/>
      <w:numFmt w:val="decimal"/>
      <w:start w:val="8"/>
    </w:lvl>
  </w:abstractNum>
  <w:abstractNum w:abstractNumId="24">
    <w:nsid w:val="580BD78F"/>
    <w:multiLevelType w:val="hybridMultilevel"/>
    <w:lvl w:ilvl="0">
      <w:lvlJc w:val="left"/>
      <w:lvlText w:val="%1)"/>
      <w:numFmt w:val="lowerLetter"/>
      <w:start w:val="1"/>
    </w:lvl>
  </w:abstractNum>
  <w:abstractNum w:abstractNumId="25">
    <w:nsid w:val="153EA438"/>
    <w:multiLevelType w:val="hybridMultilevel"/>
    <w:lvl w:ilvl="0">
      <w:lvlJc w:val="left"/>
      <w:lvlText w:val="%1)"/>
      <w:numFmt w:val="decimal"/>
      <w:start w:val="8"/>
    </w:lvl>
  </w:abstractNum>
  <w:abstractNum w:abstractNumId="26">
    <w:nsid w:val="3855585C"/>
    <w:multiLevelType w:val="hybridMultilevel"/>
    <w:lvl w:ilvl="0">
      <w:lvlJc w:val="left"/>
      <w:lvlText w:val="%1)"/>
      <w:numFmt w:val="decimal"/>
      <w:start w:val="8"/>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8"/>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8"/>
    </w:lvl>
  </w:abstractNum>
  <w:abstractNum w:abstractNumId="31">
    <w:nsid w:val="725A06FB"/>
    <w:multiLevelType w:val="hybridMultilevel"/>
    <w:lvl w:ilvl="0">
      <w:lvlJc w:val="left"/>
      <w:lvlText w:val="%1)"/>
      <w:numFmt w:val="decimal"/>
      <w:start w:val="8"/>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8"/>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8"/>
    </w:lvl>
  </w:abstractNum>
  <w:abstractNum w:abstractNumId="36">
    <w:nsid w:val="542289EC"/>
    <w:multiLevelType w:val="hybridMultilevel"/>
    <w:lvl w:ilvl="0">
      <w:lvlJc w:val="left"/>
      <w:lvlText w:val="%1)"/>
      <w:numFmt w:val="decimal"/>
      <w:start w:val="9"/>
    </w:lvl>
  </w:abstractNum>
  <w:abstractNum w:abstractNumId="37">
    <w:nsid w:val="6DE91B18"/>
    <w:multiLevelType w:val="hybridMultilevel"/>
    <w:lvl w:ilvl="0">
      <w:lvlJc w:val="left"/>
      <w:lvlText w:val="%1)"/>
      <w:numFmt w:val="decimal"/>
      <w:start w:val="10"/>
    </w:lvl>
  </w:abstractNum>
  <w:abstractNum w:abstractNumId="38">
    <w:nsid w:val="38437FDB"/>
    <w:multiLevelType w:val="hybridMultilevel"/>
    <w:lvl w:ilvl="0">
      <w:lvlJc w:val="left"/>
      <w:lvlText w:val="%1)"/>
      <w:numFmt w:val="decimal"/>
      <w:start w:val="10"/>
    </w:lvl>
  </w:abstractNum>
  <w:abstractNum w:abstractNumId="39">
    <w:nsid w:val="7644A45C"/>
    <w:multiLevelType w:val="hybridMultilevel"/>
    <w:lvl w:ilvl="0">
      <w:lvlJc w:val="left"/>
      <w:lvlText w:val="%1)"/>
      <w:numFmt w:val="decimal"/>
      <w:start w:val="10"/>
    </w:lvl>
  </w:abstractNum>
  <w:abstractNum w:abstractNumId="40">
    <w:nsid w:val="32FFF902"/>
    <w:multiLevelType w:val="hybridMultilevel"/>
    <w:lvl w:ilvl="0">
      <w:lvlJc w:val="left"/>
      <w:lvlText w:val="%1)"/>
      <w:numFmt w:val="decimal"/>
      <w:start w:val="11"/>
    </w:lvl>
  </w:abstractNum>
  <w:abstractNum w:abstractNumId="41">
    <w:nsid w:val="684A481A"/>
    <w:multiLevelType w:val="hybridMultilevel"/>
    <w:lvl w:ilvl="0">
      <w:lvlJc w:val="left"/>
      <w:lvlText w:val="%1)"/>
      <w:numFmt w:val="decimal"/>
      <w:start w:val="11"/>
    </w:lvl>
  </w:abstractNum>
  <w:abstractNum w:abstractNumId="42">
    <w:nsid w:val="579478FE"/>
    <w:multiLevelType w:val="hybridMultilevel"/>
    <w:lvl w:ilvl="0">
      <w:lvlJc w:val="left"/>
      <w:lvlText w:val="%1)"/>
      <w:numFmt w:val="decimal"/>
      <w:start w:val="11"/>
    </w:lvl>
  </w:abstractNum>
  <w:abstractNum w:abstractNumId="43">
    <w:nsid w:val="749ABB43"/>
    <w:multiLevelType w:val="hybridMultilevel"/>
    <w:lvl w:ilvl="0">
      <w:lvlJc w:val="left"/>
      <w:lvlText w:val="%1)"/>
      <w:numFmt w:val="decimal"/>
      <w:start w:val="12"/>
    </w:lvl>
  </w:abstractNum>
  <w:abstractNum w:abstractNumId="44">
    <w:nsid w:val="3DC240FB"/>
    <w:multiLevelType w:val="hybridMultilevel"/>
    <w:lvl w:ilvl="0">
      <w:lvlJc w:val="left"/>
      <w:lvlText w:val="%1)"/>
      <w:numFmt w:val="decimal"/>
      <w:start w:val="12"/>
    </w:lvl>
  </w:abstractNum>
  <w:abstractNum w:abstractNumId="45">
    <w:nsid w:val="1BA026FA"/>
    <w:multiLevelType w:val="hybridMultilevel"/>
    <w:lvl w:ilvl="0">
      <w:lvlJc w:val="left"/>
      <w:lvlText w:val="%1)"/>
      <w:numFmt w:val="decimal"/>
      <w:start w:val="14"/>
    </w:lvl>
  </w:abstractNum>
  <w:abstractNum w:abstractNumId="46">
    <w:nsid w:val="79A1DEAA"/>
    <w:multiLevelType w:val="hybridMultilevel"/>
    <w:lvl w:ilvl="0">
      <w:lvlJc w:val="left"/>
      <w:lvlText w:val="%1)"/>
      <w:numFmt w:val="decimal"/>
      <w:start w:val="14"/>
    </w:lvl>
  </w:abstractNum>
  <w:abstractNum w:abstractNumId="47">
    <w:nsid w:val="75C6C33A"/>
    <w:multiLevelType w:val="hybridMultilevel"/>
    <w:lvl w:ilvl="0">
      <w:lvlJc w:val="left"/>
      <w:lvlText w:val="%1)"/>
      <w:numFmt w:val="decimal"/>
      <w:start w:val="15"/>
    </w:lvl>
  </w:abstractNum>
  <w:abstractNum w:abstractNumId="48">
    <w:nsid w:val="12E685FB"/>
    <w:multiLevelType w:val="hybridMultilevel"/>
    <w:lvl w:ilvl="0">
      <w:lvlJc w:val="left"/>
      <w:lvlText w:val="%1)"/>
      <w:numFmt w:val="decimal"/>
      <w:start w:val="15"/>
    </w:lvl>
  </w:abstractNum>
  <w:abstractNum w:abstractNumId="49">
    <w:nsid w:val="70C6A529"/>
    <w:multiLevelType w:val="hybridMultilevel"/>
    <w:lvl w:ilvl="0">
      <w:lvlJc w:val="left"/>
      <w:lvlText w:val="%1"/>
      <w:numFmt w:val="decimal"/>
      <w:start w:val="14"/>
    </w:lvl>
  </w:abstractNum>
  <w:abstractNum w:abstractNumId="50">
    <w:nsid w:val="520EEDD1"/>
    <w:multiLevelType w:val="hybridMultilevel"/>
    <w:lvl w:ilvl="0">
      <w:lvlJc w:val="left"/>
      <w:lvlText w:val="%1"/>
      <w:numFmt w:val="decimal"/>
      <w:start w:val="2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1"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60" Type="http://schemas.openxmlformats.org/officeDocument/2006/relationships/hyperlink" Target="http://www.sec.gov/Archives/edgar/data/318673/000109690617000214/exh3_1.pdf" TargetMode="External"/><Relationship Id="rId61" Type="http://schemas.openxmlformats.org/officeDocument/2006/relationships/hyperlink" Target="http://www.sec.gov/Archives/edgar/data/318673/000109690619000199/exh3_2.pdf" TargetMode="External"/><Relationship Id="rId62" Type="http://schemas.openxmlformats.org/officeDocument/2006/relationships/hyperlink" Target="http://www.sec.gov/Archives/edgar/data/318673/000109690616001835/exh10_4.htm" TargetMode="External"/><Relationship Id="rId63" Type="http://schemas.openxmlformats.org/officeDocument/2006/relationships/hyperlink" Target="http://www.sec.gov/Archives/edgar/data/318673/000109690614000752/snfcadef14a.htm" TargetMode="External"/><Relationship Id="rId64" Type="http://schemas.openxmlformats.org/officeDocument/2006/relationships/hyperlink" Target="http://www.sec.gov/Archives/edgar/data/318673/000109690615001153/exh108.htm" TargetMode="External"/><Relationship Id="rId65" Type="http://schemas.openxmlformats.org/officeDocument/2006/relationships/hyperlink" Target="http://www.sec.gov/Archives/edgar/data/318673/000109690618000285/exh10_1.htm" TargetMode="External"/><Relationship Id="rId66" Type="http://schemas.openxmlformats.org/officeDocument/2006/relationships/hyperlink" Target="http://www.sec.gov/Archives/edgar/data/318673/000109690618000639/exh10_9.htm" TargetMode="External"/><Relationship Id="rId67" Type="http://schemas.openxmlformats.org/officeDocument/2006/relationships/hyperlink" Target="http://www.sec.gov/Archives/edgar/data/318673/000109690619000084/exh10_1.htm" TargetMode="External"/><Relationship Id="rId68" Type="http://schemas.openxmlformats.org/officeDocument/2006/relationships/hyperlink" Target="http://www.sec.gov/Archives/edgar/data/318673/000109690619000367/exh10_1.htm" TargetMode="External"/><Relationship Id="rId69" Type="http://schemas.openxmlformats.org/officeDocument/2006/relationships/hyperlink" Target="http://www.sec.gov/Archives/edgar/data/318673/000109690619000367/exh10_2.htm" TargetMode="External"/><Relationship Id="rId70" Type="http://schemas.openxmlformats.org/officeDocument/2006/relationships/hyperlink" Target="http://www.sec.gov/Archives/edgar/data/318673/000109690619000199/exh14.htm" TargetMode="External"/><Relationship Id="rId72" Type="http://schemas.openxmlformats.org/officeDocument/2006/relationships/hyperlink" Target="http://www.sec.gov/Archives/edgar/data/318673/000109690619000199/exh21.htm" TargetMode="External"/><Relationship Id="rId73" Type="http://schemas.openxmlformats.org/officeDocument/2006/relationships/hyperlink" Target="http://www.sec.gov/Archives/edgar/data/318673/000109690616001895/exh23_1.htm" TargetMode="External"/><Relationship Id="rId74" Type="http://schemas.openxmlformats.org/officeDocument/2006/relationships/hyperlink" Target="http://www.sec.gov/Archives/edgar/data/318673/000109690616001895/exh5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2019-12-28T01:30:03Z</dcterms:created>
  <dcterms:modified xsi:type="dcterms:W3CDTF">2019-12-28T01:30:03Z</dcterms:modified>
</cp:coreProperties>
</file>