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right="1860" w:firstLine="8"/>
        <w:spacing w:after="0" w:line="500" w:lineRule="auto"/>
        <w:tabs>
          <w:tab w:leader="none" w:pos="2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18"/>
        </w:trPr>
        <w:tc>
          <w:tcPr>
            <w:tcW w:w="542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6"/>
              </w:rPr>
              <w:t>UTAH</w:t>
            </w:r>
          </w:p>
        </w:tc>
        <w:tc>
          <w:tcPr>
            <w:tcW w:w="28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87-0345941</w:t>
            </w:r>
          </w:p>
        </w:tc>
      </w:tr>
      <w:tr>
        <w:trPr>
          <w:trHeight w:val="216"/>
        </w:trPr>
        <w:tc>
          <w:tcPr>
            <w:tcW w:w="5420" w:type="dxa"/>
            <w:vAlign w:val="bottom"/>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w:t>
            </w:r>
          </w:p>
        </w:tc>
        <w:tc>
          <w:tcPr>
            <w:tcW w:w="2820" w:type="dxa"/>
            <w:vAlign w:val="bottom"/>
          </w:tcPr>
          <w:p>
            <w:pPr>
              <w:jc w:val="center"/>
              <w:ind w:left="141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5420" w:type="dxa"/>
            <w:vAlign w:val="bottom"/>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w w:val="99"/>
              </w:rPr>
              <w:t>of incorporation or organization)</w:t>
            </w:r>
          </w:p>
        </w:tc>
        <w:tc>
          <w:tcPr>
            <w:tcW w:w="2820" w:type="dxa"/>
            <w:vAlign w:val="bottom"/>
          </w:tcPr>
          <w:p>
            <w:pPr>
              <w:jc w:val="center"/>
              <w:ind w:left="139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52"/>
        </w:trPr>
        <w:tc>
          <w:tcPr>
            <w:tcW w:w="542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433 Ascension Way, 6</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Salt Lake City, Utah</w:t>
            </w:r>
          </w:p>
        </w:tc>
        <w:tc>
          <w:tcPr>
            <w:tcW w:w="2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84123</w:t>
            </w:r>
          </w:p>
        </w:tc>
      </w:tr>
      <w:tr>
        <w:trPr>
          <w:trHeight w:val="236"/>
        </w:trPr>
        <w:tc>
          <w:tcPr>
            <w:tcW w:w="5420" w:type="dxa"/>
            <w:vAlign w:val="bottom"/>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20" w:type="dxa"/>
            <w:vAlign w:val="bottom"/>
          </w:tcPr>
          <w:p>
            <w:pPr>
              <w:jc w:val="center"/>
              <w:ind w:left="139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264-1060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81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439"/>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060" w:type="dxa"/>
            <w:vAlign w:val="bottom"/>
            <w:tcBorders>
              <w:top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Class A Common Stock</w:t>
            </w:r>
          </w:p>
        </w:tc>
        <w:tc>
          <w:tcPr>
            <w:tcW w:w="5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SNFCA</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7"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721" w:gutter="0" w:footer="0" w:header="0"/>
        </w:sectPr>
      </w:pPr>
    </w:p>
    <w:p>
      <w:pPr>
        <w:spacing w:after="0" w:line="147"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920" w:space="720"/>
            <w:col w:w="3600"/>
          </w:cols>
          <w:pgMar w:left="320" w:top="740" w:right="339" w:bottom="721" w:gutter="0" w:footer="0" w:header="0"/>
          <w:type w:val="continuous"/>
        </w:sectPr>
      </w:pPr>
    </w:p>
    <w:p>
      <w:pPr>
        <w:spacing w:after="0" w:line="233"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96"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August 9, 2022, the registrant had 18,717,540 shares of Class A Common Stock, $2.00 par value, outstanding and 2,889,859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721"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4"/>
          </w:tcPr>
          <w:p>
            <w:pPr>
              <w:jc w:val="center"/>
              <w:ind w:right="2120"/>
              <w:spacing w:after="0"/>
              <w:rPr>
                <w:sz w:val="20"/>
                <w:szCs w:val="20"/>
                <w:color w:val="auto"/>
              </w:rPr>
            </w:pPr>
            <w:r>
              <w:rPr>
                <w:rFonts w:ascii="Times New Roman" w:cs="Times New Roman" w:eastAsia="Times New Roman" w:hAnsi="Times New Roman"/>
                <w:sz w:val="18"/>
                <w:szCs w:val="18"/>
                <w:color w:val="auto"/>
                <w:w w:val="99"/>
              </w:rPr>
              <w:t>QUARTER ENDED JUNE 30, 2022</w:t>
            </w:r>
          </w:p>
        </w:tc>
        <w:tc>
          <w:tcPr>
            <w:tcW w:w="8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20" w:type="dxa"/>
            <w:vAlign w:val="bottom"/>
            <w:gridSpan w:val="12"/>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40" w:type="dxa"/>
            <w:vAlign w:val="bottom"/>
          </w:tcPr>
          <w:p>
            <w:pPr>
              <w:spacing w:after="0"/>
              <w:rPr>
                <w:sz w:val="24"/>
                <w:szCs w:val="24"/>
                <w:color w:val="auto"/>
              </w:rPr>
            </w:pPr>
          </w:p>
        </w:tc>
      </w:tr>
      <w:tr>
        <w:trPr>
          <w:trHeight w:val="445"/>
        </w:trPr>
        <w:tc>
          <w:tcPr>
            <w:tcW w:w="6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No.</w:t>
            </w:r>
          </w:p>
        </w:tc>
      </w:tr>
      <w:tr>
        <w:trPr>
          <w:trHeight w:val="190"/>
        </w:trPr>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20" w:type="dxa"/>
            <w:vAlign w:val="bottom"/>
            <w:gridSpan w:val="14"/>
            <w:shd w:val="clear" w:color="auto" w:fill="CCEEFF"/>
          </w:tcPr>
          <w:p>
            <w:pPr>
              <w:jc w:val="center"/>
              <w:ind w:right="2320"/>
              <w:spacing w:after="0" w:line="15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840" w:type="dxa"/>
            <w:vAlign w:val="bottom"/>
            <w:shd w:val="clear" w:color="auto" w:fill="CCEEFF"/>
          </w:tcPr>
          <w:p>
            <w:pPr>
              <w:spacing w:after="0"/>
              <w:rPr>
                <w:sz w:val="16"/>
                <w:szCs w:val="16"/>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8240" w:type="dxa"/>
            <w:vAlign w:val="bottom"/>
            <w:tcBorders>
              <w:bottom w:val="single" w:sz="8" w:color="CCEEFF"/>
            </w:tcBorders>
            <w:gridSpan w:val="1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75"/>
        </w:trPr>
        <w:tc>
          <w:tcPr>
            <w:tcW w:w="660" w:type="dxa"/>
            <w:vAlign w:val="bottom"/>
          </w:tcPr>
          <w:p>
            <w:pPr>
              <w:spacing w:after="0"/>
              <w:rPr>
                <w:sz w:val="15"/>
                <w:szCs w:val="15"/>
                <w:color w:val="auto"/>
              </w:rPr>
            </w:pPr>
          </w:p>
        </w:tc>
        <w:tc>
          <w:tcPr>
            <w:tcW w:w="97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(unaudited) and December 31, 2021</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86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Earnings for the three and six months ended June 30, 2022 and 2021 (unaudited)</w:t>
            </w:r>
          </w:p>
        </w:tc>
        <w:tc>
          <w:tcPr>
            <w:tcW w:w="106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660" w:type="dxa"/>
            <w:vAlign w:val="bottom"/>
          </w:tcPr>
          <w:p>
            <w:pPr>
              <w:spacing w:after="0"/>
              <w:rPr>
                <w:sz w:val="15"/>
                <w:szCs w:val="15"/>
                <w:color w:val="auto"/>
              </w:rPr>
            </w:pPr>
          </w:p>
        </w:tc>
        <w:tc>
          <w:tcPr>
            <w:tcW w:w="932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and six months ended June 30, 2022 and 2021</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9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as of June 30, 2022 and June 30, 2021 (unaudited)</w:t>
            </w:r>
          </w:p>
        </w:tc>
        <w:tc>
          <w:tcPr>
            <w:tcW w:w="1680" w:type="dxa"/>
            <w:vAlign w:val="bottom"/>
            <w:tcBorders>
              <w:bottom w:val="single" w:sz="8" w:color="CCEEFF"/>
            </w:tcBorders>
            <w:gridSpan w:val="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660" w:type="dxa"/>
            <w:vAlign w:val="bottom"/>
          </w:tcPr>
          <w:p>
            <w:pPr>
              <w:spacing w:after="0"/>
              <w:rPr>
                <w:sz w:val="15"/>
                <w:szCs w:val="15"/>
                <w:color w:val="auto"/>
              </w:rPr>
            </w:pPr>
          </w:p>
        </w:tc>
        <w:tc>
          <w:tcPr>
            <w:tcW w:w="97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and 2021 (unaudited)</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10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76"/>
        </w:trPr>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20" w:type="dxa"/>
            <w:vAlign w:val="bottom"/>
            <w:gridSpan w:val="12"/>
          </w:tcPr>
          <w:p>
            <w:pPr>
              <w:jc w:val="center"/>
              <w:ind w:right="38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84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10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10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440" w:type="dxa"/>
            <w:vAlign w:val="bottom"/>
            <w:tcBorders>
              <w:top w:val="single" w:sz="8" w:color="CCEEFF"/>
            </w:tcBorders>
            <w:gridSpan w:val="18"/>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980" w:type="dxa"/>
            <w:vAlign w:val="bottom"/>
            <w:tcBorders>
              <w:bottom w:val="single" w:sz="8" w:color="CCEEFF"/>
            </w:tcBorders>
            <w:gridSpan w:val="21"/>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439"/>
        </w:trPr>
        <w:tc>
          <w:tcPr>
            <w:tcW w:w="6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15"/>
          </w:tcPr>
          <w:p>
            <w:pPr>
              <w:jc w:val="center"/>
              <w:ind w:left="39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June 30 2022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 (amortized cost of</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$276,404,869 and $236,303,310 for 2022 and 2021)</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270,676,282</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259,287,603</w:t>
            </w: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$9,730,028 and $8,275,772 for 2022 and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11,198,403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allowances for loan losses of $1,476,895 and</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$1,699,902 for 2022 and 2021)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274,691,626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277,306,046</w:t>
            </w: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 $20,686,607 and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$17,692,038 for 2022 and 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196,555,705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197,365,797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2,741,660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3,731,300</w:t>
            </w: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allowances for doubtful accounts of $1,800,076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$1,686,218 for 2022 and 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66,410,188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67,955,155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8,240,805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6,313,012</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830,514,669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823,555,327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131,296,538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209,860,409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302,776,827</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allowances for doubtful accounts of $1,742,118 and $1,800,725 for 2022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19,966,704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18,316,116</w:t>
            </w:r>
          </w:p>
        </w:tc>
        <w:tc>
          <w:tcPr>
            <w:tcW w:w="0" w:type="dxa"/>
            <w:vAlign w:val="bottom"/>
          </w:tcPr>
          <w:p>
            <w:pPr>
              <w:spacing w:after="0"/>
              <w:rPr>
                <w:sz w:val="1"/>
                <w:szCs w:val="1"/>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$5,592,898 and $5,205,510 for 2022 and 2021 at estimated fair</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17,531,716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16,938,122</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$3,095,338 and $4,087,245 for 2022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2021 at estimated fair value)</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7,533,312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7,835,721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14,767,274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14,850,608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9,036,805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8,977,877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107,247,714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105,049,983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56,289,255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53,060,455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20,943,549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21,517,598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10,418,912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8,421,432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5,253,783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31,507,175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29,684,987</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1,472,167,815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1,547,593,306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 2022 (Unaudited)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875,727,865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863,274,693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2,944,116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3,060,738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200,344,907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251,286,927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15,519,297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14,508,022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5,016,085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4,915,285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5,915,042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10,166,573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59,206,675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69,578,138</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27,008,773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31,036,096</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1,191,682,760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1,247,826,472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 none issued or</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 issued 18,678,688</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 2022 and 17,642,722 shares in 2021</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37,357,376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35,285,444</w:t>
            </w: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issued or outstanding</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 authorized; issued</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2,928,711 shares in 2022 and 2,866,565 shares in 2021</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5,857,422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5,733,130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64,657,027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57,985,947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(4,430,367)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18,070,448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183,273,171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184,537,489</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- 746,778 Class A shares and 34,016 Class C shares in 2022; and</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108,079 Class A shares and 109,193 Class C shares in 2021</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(6,229,574)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(1,845,624)</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280,485,055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299,766,834</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1,472,167,815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1,547,593,306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7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0" w:type="dxa"/>
            <w:vAlign w:val="bottom"/>
          </w:tcPr>
          <w:p>
            <w:pPr>
              <w:spacing w:after="0"/>
              <w:rPr>
                <w:sz w:val="20"/>
                <w:szCs w:val="20"/>
                <w:color w:val="auto"/>
              </w:rPr>
            </w:pPr>
          </w:p>
        </w:tc>
        <w:tc>
          <w:tcPr>
            <w:tcW w:w="268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42,030,898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65,157,813</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90,375,343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138,156,425</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25,911,995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24,959,028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52,253,947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48,309,238</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15,971,288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14,177,318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31,165,594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28,471,205</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7,250,503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6,318,398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14,456,224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12,260,524</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(914,395)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1,477,204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(742,420)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3,437,317</w:t>
            </w:r>
          </w:p>
        </w:tc>
        <w:tc>
          <w:tcPr>
            <w:tcW w:w="8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5,316,365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4,660,554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10,483,873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8,774,212</w:t>
            </w:r>
          </w:p>
        </w:tc>
        <w:tc>
          <w:tcPr>
            <w:tcW w:w="80" w:type="dxa"/>
            <w:vAlign w:val="bottom"/>
            <w:shd w:val="clear" w:color="auto" w:fill="CCEEFF"/>
          </w:tcPr>
          <w:p>
            <w:pPr>
              <w:spacing w:after="0"/>
              <w:rPr>
                <w:sz w:val="19"/>
                <w:szCs w:val="19"/>
                <w:color w:val="auto"/>
              </w:rPr>
            </w:pPr>
          </w:p>
        </w:tc>
      </w:tr>
      <w:tr>
        <w:trPr>
          <w:trHeight w:val="209"/>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95,566,654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116,750,315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197,992,561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239,408,921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14,839,044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14,844,067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31,723,750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33,156,073</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1,153,767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670,957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2,476,935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1,748,601</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6,600,443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7,400,716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13,371,544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11,655,374</w:t>
            </w:r>
          </w:p>
        </w:tc>
        <w:tc>
          <w:tcPr>
            <w:tcW w:w="80" w:type="dxa"/>
            <w:vAlign w:val="bottom"/>
            <w:shd w:val="clear" w:color="auto" w:fill="CCEEFF"/>
          </w:tcPr>
          <w:p>
            <w:pPr>
              <w:spacing w:after="0"/>
              <w:rPr>
                <w:sz w:val="18"/>
                <w:szCs w:val="18"/>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4,053,109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3,654,061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8,449,522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7,230,926</w:t>
            </w:r>
          </w:p>
        </w:tc>
        <w:tc>
          <w:tcPr>
            <w:tcW w:w="8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18,397,337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29,893,565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38,299,539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62,623,245</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25,504,950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24,328,690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52,379,714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48,700,195</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1,595,738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1,597,067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3,307,533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3,398,065</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1,702,262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1,874,348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3,361,532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3,740,246</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628,305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473,478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1,243,849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975,123</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2,044,637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2,739,500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4,884,100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5,676,725</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11,174,128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12,029,714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23,265,764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23,979,578</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1,900,249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1,694,012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3,627,564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3,519,611</w:t>
            </w:r>
          </w:p>
        </w:tc>
        <w:tc>
          <w:tcPr>
            <w:tcW w:w="80" w:type="dxa"/>
            <w:vAlign w:val="bottom"/>
            <w:shd w:val="clear" w:color="auto" w:fill="CCEEFF"/>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and services sold-mortuaries and cemeteries</w:t>
            </w: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1,242,839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872,788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2,427,853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1,972,752</w:t>
            </w:r>
          </w:p>
        </w:tc>
        <w:tc>
          <w:tcPr>
            <w:tcW w:w="8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90,836,808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102,072,963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188,819,199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208,376,514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4,729,846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14,677,352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9,173,362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31,032,407</w:t>
            </w:r>
          </w:p>
        </w:tc>
        <w:tc>
          <w:tcPr>
            <w:tcW w:w="80" w:type="dxa"/>
            <w:vAlign w:val="bottom"/>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(1,155,397)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(3,419,873)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(2,370,195)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(7,646,213)</w:t>
            </w:r>
          </w:p>
        </w:tc>
      </w:tr>
      <w:tr>
        <w:trPr>
          <w:trHeight w:val="210"/>
        </w:trPr>
        <w:tc>
          <w:tcPr>
            <w:tcW w:w="5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3,574,449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11,257,479</w:t>
            </w:r>
          </w:p>
        </w:tc>
        <w:tc>
          <w:tcPr>
            <w:tcW w:w="220" w:type="dxa"/>
            <w:vAlign w:val="bottom"/>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6,803,167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23,386,194</w:t>
            </w:r>
          </w:p>
        </w:tc>
        <w:tc>
          <w:tcPr>
            <w:tcW w:w="80" w:type="dxa"/>
            <w:vAlign w:val="bottom"/>
          </w:tcPr>
          <w:p>
            <w:pPr>
              <w:spacing w:after="0"/>
              <w:rPr>
                <w:sz w:val="24"/>
                <w:szCs w:val="24"/>
                <w:color w:val="auto"/>
              </w:rPr>
            </w:pP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4"/>
                <w:szCs w:val="24"/>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5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per Class A Equivalent common share- assuming</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5"/>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dilution (1)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 outstanding</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21,184,688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21,098,789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21,282,747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21,085,669</w:t>
            </w:r>
          </w:p>
        </w:tc>
        <w:tc>
          <w:tcPr>
            <w:tcW w:w="80" w:type="dxa"/>
            <w:vAlign w:val="bottom"/>
          </w:tcPr>
          <w:p>
            <w:pPr>
              <w:spacing w:after="0"/>
              <w:rPr>
                <w:sz w:val="24"/>
                <w:szCs w:val="24"/>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 outstanding-</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assuming dilution (1)</w:t>
            </w:r>
          </w:p>
        </w:tc>
        <w:tc>
          <w:tcPr>
            <w:tcW w:w="2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22,017,830</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21,922,847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22,133,879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21,953,019</w:t>
            </w:r>
          </w:p>
        </w:tc>
        <w:tc>
          <w:tcPr>
            <w:tcW w:w="80" w:type="dxa"/>
            <w:vAlign w:val="bottom"/>
          </w:tcPr>
          <w:p>
            <w:pPr>
              <w:spacing w:after="0"/>
              <w:rPr>
                <w:sz w:val="22"/>
                <w:szCs w:val="22"/>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80" w:hanging="209"/>
        <w:spacing w:after="0" w:line="266" w:lineRule="auto"/>
        <w:rPr>
          <w:sz w:val="20"/>
          <w:szCs w:val="20"/>
          <w:color w:val="auto"/>
        </w:rPr>
      </w:pPr>
      <w:r>
        <w:rPr>
          <w:rFonts w:ascii="Times New Roman" w:cs="Times New Roman" w:eastAsia="Times New Roman" w:hAnsi="Times New Roman"/>
          <w:sz w:val="18"/>
          <w:szCs w:val="18"/>
          <w:color w:val="auto"/>
        </w:rPr>
        <w:t>(1)Net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20" w:type="dxa"/>
            <w:vAlign w:val="bottom"/>
          </w:tcPr>
          <w:p>
            <w:pPr>
              <w:spacing w:after="0"/>
              <w:rPr>
                <w:sz w:val="20"/>
                <w:szCs w:val="20"/>
                <w:color w:val="auto"/>
              </w:rPr>
            </w:pPr>
          </w:p>
        </w:tc>
        <w:tc>
          <w:tcPr>
            <w:tcW w:w="2660" w:type="dxa"/>
            <w:vAlign w:val="bottom"/>
            <w:gridSpan w:val="8"/>
          </w:tcPr>
          <w:p>
            <w:pPr>
              <w:jc w:val="right"/>
              <w:ind w:right="48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22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3,574,449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11,257,479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6,803,167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23,386,194</w:t>
            </w:r>
          </w:p>
        </w:tc>
        <w:tc>
          <w:tcPr>
            <w:tcW w:w="80" w:type="dxa"/>
            <w:vAlign w:val="bottom"/>
            <w:shd w:val="clear" w:color="auto" w:fill="CCEEFF"/>
          </w:tcPr>
          <w:p>
            <w:pPr>
              <w:spacing w:after="0"/>
              <w:rPr>
                <w:sz w:val="19"/>
                <w:szCs w:val="19"/>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fixed maturity securities available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(12,995,132)</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4,734,692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(28,322,034)</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(2,071,211)</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restricted assets</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(7,731)</w:t>
            </w:r>
          </w:p>
        </w:tc>
      </w:tr>
      <w:tr>
        <w:trPr>
          <w:trHeight w:val="198"/>
        </w:trPr>
        <w:tc>
          <w:tcPr>
            <w:tcW w:w="5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 care trust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1,939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(53,225)</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(6,258)</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gain (loss), before income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(13,054,169</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4,739,329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(28,490,377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(2,082,365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2,743,684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(995,442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5,989,562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(loss), net of income tax</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(10,310,485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3,743,887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(22,500,815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(1,644,635</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(6,736,036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15,001,366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(15,697,648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21,741,559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 June 30, 2022</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07"/>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Paid-</w:t>
            </w:r>
          </w:p>
        </w:tc>
        <w:tc>
          <w:tcPr>
            <w:tcW w:w="8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9"/>
                <w:szCs w:val="19"/>
                <w:color w:val="auto"/>
              </w:rPr>
            </w:pPr>
          </w:p>
        </w:tc>
        <w:tc>
          <w:tcPr>
            <w:tcW w:w="10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Capital</w:t>
            </w:r>
          </w:p>
        </w:tc>
        <w:tc>
          <w:tcPr>
            <w:tcW w:w="80" w:type="dxa"/>
            <w:vAlign w:val="bottom"/>
          </w:tcPr>
          <w:p>
            <w:pPr>
              <w:spacing w:after="0"/>
              <w:rPr>
                <w:sz w:val="20"/>
                <w:szCs w:val="20"/>
                <w:color w:val="auto"/>
              </w:rPr>
            </w:pPr>
          </w:p>
        </w:tc>
        <w:tc>
          <w:tcPr>
            <w:tcW w:w="130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10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$35,285,444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$ 5,733,130</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$57,985,947</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18,070,448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$ 184,537,489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(1,845,624)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$ 299,766,834</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3,228,718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3,228,718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(12,190,330)</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(12,190,330)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271,747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271,747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100,446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91,959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1,880,125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1,904,180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106,176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(878,417)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(772,241)</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35,386,304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$ 5,732,716</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58,379,438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5,880,118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187,766,207</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(843,916</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292,300,867</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3,574,449</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3,574,449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(10,310,485)</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(10,310,485)</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220,175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220,175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37,746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35,306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1,119,392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1,169,793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(6,505,050)</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(6,505,050)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154,218</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(154,218)</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1,779,108</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278,924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6,009,453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(8,067,485)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37,357,376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$ 5,857,422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64,657,027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(4,430,367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183,273,171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(6,229,574</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280,485,055</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 June 30, 2021</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Paid-</w:t>
            </w:r>
          </w:p>
        </w:tc>
        <w:tc>
          <w:tcPr>
            <w:tcW w:w="8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9"/>
                <w:szCs w:val="19"/>
                <w:color w:val="auto"/>
              </w:rPr>
            </w:pPr>
          </w:p>
        </w:tc>
        <w:tc>
          <w:tcPr>
            <w:tcW w:w="10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Capital</w:t>
            </w:r>
          </w:p>
        </w:tc>
        <w:tc>
          <w:tcPr>
            <w:tcW w:w="80" w:type="dxa"/>
            <w:vAlign w:val="bottom"/>
          </w:tcPr>
          <w:p>
            <w:pPr>
              <w:spacing w:after="0"/>
              <w:rPr>
                <w:sz w:val="20"/>
                <w:szCs w:val="20"/>
                <w:color w:val="auto"/>
              </w:rPr>
            </w:pPr>
          </w:p>
        </w:tc>
        <w:tc>
          <w:tcPr>
            <w:tcW w:w="130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10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2021</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$33,191,566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$ 5,359,206</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$50,287,253</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23,243,133</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$ 153,739,167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(1,833,272)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$ 263,987,053</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12,128,715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12,128,715</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(5,388,522)</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(5,388,522)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39,153</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55,852</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89,253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290,381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1,632,041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1,922,422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(910,233)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(910,233)</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97,054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(97,054)</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33,344,472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$ 5,262,152</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50,650,188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17,854,611</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165,867,882</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(1,111,464</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271,867,841</w:t>
            </w:r>
          </w:p>
        </w:tc>
        <w:tc>
          <w:tcPr>
            <w:tcW w:w="100" w:type="dxa"/>
            <w:vAlign w:val="bottom"/>
            <w:tcBorders>
              <w:bottom w:val="single" w:sz="8" w:color="CCEEFF"/>
            </w:tcBorders>
          </w:tcPr>
          <w:p>
            <w:pPr>
              <w:spacing w:after="0"/>
              <w:rPr>
                <w:sz w:val="22"/>
                <w:szCs w:val="22"/>
                <w:color w:val="auto"/>
              </w:rPr>
            </w:pPr>
          </w:p>
        </w:tc>
      </w:tr>
      <w:tr>
        <w:trPr>
          <w:trHeight w:val="196"/>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11,257,479</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11,257,479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3,743,887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3,743,887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106,044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7,655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113,699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1,499,862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1,461,814</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(2,596,006)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(2,596,006)</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1,672,526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263,108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6,774,719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(8,710,354)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35,123,042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$ 5,525,260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57,394,514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21,598,498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168,415,007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(2,207,608</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285,848,713</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73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97,638,887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124,476,144</w:t>
            </w:r>
          </w:p>
        </w:tc>
      </w:tr>
      <w:tr>
        <w:trPr>
          <w:trHeight w:val="209"/>
        </w:trPr>
        <w:tc>
          <w:tcPr>
            <w:tcW w:w="7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(49,382,284)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(2,758,463)</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9,286,436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34,388,575</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(3,166,256)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(635,843)</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1,918,057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2,885,620</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restricted assets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(635,844)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514,085</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perpetual care trusts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330,999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140,092</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(382,449,025)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(399,597,382)</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386,898,902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398,670,420</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(706,058)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(3,342,889)</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64,579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(11,853,775)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(49,123,963)</w:t>
            </w: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13,549,696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10,022,114</w:t>
            </w:r>
          </w:p>
        </w:tc>
      </w:tr>
      <w:tr>
        <w:trPr>
          <w:trHeight w:val="209"/>
        </w:trPr>
        <w:tc>
          <w:tcPr>
            <w:tcW w:w="7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(36,144,573</w:t>
            </w: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(8,837,634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5,770,353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5,865,484</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(8,160,796)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(7,699,546)</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127,265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202,952</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(7,277,291)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(3,506,239)</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(45,217,295)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(53,878,750)</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59,618,052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72,702,425</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(65,362,776)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(84,737,685)</w:t>
            </w:r>
          </w:p>
        </w:tc>
      </w:tr>
      <w:tr>
        <w:trPr>
          <w:trHeight w:val="210"/>
        </w:trPr>
        <w:tc>
          <w:tcPr>
            <w:tcW w:w="7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(60,502,488</w:t>
            </w: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(71,051,359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991,826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44,587,151</w:t>
            </w:r>
          </w:p>
        </w:tc>
      </w:tr>
      <w:tr>
        <w:trPr>
          <w:trHeight w:val="210"/>
        </w:trPr>
        <w:tc>
          <w:tcPr>
            <w:tcW w:w="7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141,414,282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115,465,086</w:t>
            </w:r>
          </w:p>
        </w:tc>
      </w:tr>
      <w:tr>
        <w:trPr>
          <w:trHeight w:val="209"/>
        </w:trPr>
        <w:tc>
          <w:tcPr>
            <w:tcW w:w="7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142,406,108</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160,052,237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3,568,862</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3,759,561</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407,958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2,573,137</w:t>
            </w:r>
          </w:p>
        </w:tc>
      </w:tr>
      <w:tr>
        <w:trPr>
          <w:trHeight w:val="216"/>
        </w:trPr>
        <w:tc>
          <w:tcPr>
            <w:tcW w:w="7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3,073,973</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3,384,236</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Accrued real estate construction costs and retainage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1,782,556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5,776,672</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732,005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1,974,832</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foreclosed into real estate held for investment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730,116</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201,951</w:t>
            </w:r>
          </w:p>
        </w:tc>
      </w:tr>
      <w:tr>
        <w:trPr>
          <w:trHeight w:val="439"/>
        </w:trPr>
        <w:tc>
          <w:tcPr>
            <w:tcW w:w="73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is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131,296,538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149,209,290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2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9,654,673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10,194,202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1,454,897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648,745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142,406,108</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160,052,237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0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June 30, 2022 (Unaudited)</w:t>
      </w:r>
    </w:p>
    <w:p>
      <w:pPr>
        <w:spacing w:after="0" w:line="207"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2021, included in the Company’s Annual Report on Form 10-K (File Number 000-09341). In the opinion of management, all adjustments (consisting of normal recurring accruals) considered necessary for a fair presentation have been included. Operating results for the three and six months ended June 30, 2022 are not necessarily indicative of the results that may be expected for the year ending December 31, 2022.</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During 2020, the outbreak of COVID-19 had spread worldwide and was declared a global pandemic by the World Health Organization on March 11, 2020. COVID-19, and its variants, pose a threat to the health and economic well-being of the Company’s employees, customers, and vendors. The Company continues to closely monitor developments relating to the ongoing COVID-19 pandemic and assess its impact on the Company’s business. The continued uncertainty surrounding the COVID-19 pandemic has had and continues to have a significant impact on the global economy and financial markets. Governments and businesses have taken numerous measures to try to contain the virus and its variants, which include the implementation of travel bans, self-imposed quarantine periods, social distancing, and various mask and vaccine mandates. These measures have disrupted and will continue to disrupt businesses globally. Governments and central banks have reacted with significant monetary and fiscal interventions designed to stabilize economic conditions. Most monetary and fiscal interventions have been significantly curtailed.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most businesses, COVID-19 has impacted the Company, including the temporary adoption of work from home arrangements and a restructuring of selling techniques for its products and services. The Company also experienced increased expenses for cleaning services of its offices. Throughout 2021 and 2022, the Company continued to adapt to the impact of COVID-19 and its related economic effects. The Company cannot, with any certainty predict the severity or duration with which COVID-19 will impact the Company’s business, financial condition, results of operations, and cash flows. To the extent the COVID-19 pandemic adversely affects the Company’s business, financial condition, results of operations and cash flows, it may also have the effect of heightening many other risks to the Company. These uncertainties have the potential to negatively affect the risk of credit default for the issuers of the Company’s fixed maturity debt securities and individual borrowers with mortgage loans held by the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implemented risk management, business continuity plans and has taken preventive measures and other precautions, including some remote work arrangements. Such measures and precautions have enabled the Company to continue to conduct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2016-13: “Financial Instruments – Credit Losses (Topic 326)”</w:t>
      </w:r>
      <w:r>
        <w:rPr>
          <w:rFonts w:ascii="Times New Roman" w:cs="Times New Roman" w:eastAsia="Times New Roman" w:hAnsi="Times New Roman"/>
          <w:sz w:val="18"/>
          <w:szCs w:val="18"/>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has made progress in the implementation of the new standard, including the involvement of actuaries, accountants, and systems specialists. However, the Company has not yet estimated the impact the new guidance will have on the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line="19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June 30, 2022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0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69"/>
        </w:trPr>
        <w:tc>
          <w:tcPr>
            <w:tcW w:w="52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June 30, 2022:</w:t>
            </w: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51,273,582</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61,437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(1,160,899)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50,174,120</w:t>
            </w:r>
          </w:p>
        </w:tc>
      </w:tr>
      <w:tr>
        <w:trPr>
          <w:trHeight w:val="216"/>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6,051,648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69,721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(163,527)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5,957,842</w:t>
            </w:r>
          </w:p>
        </w:tc>
      </w:tr>
      <w:tr>
        <w:trPr>
          <w:trHeight w:val="216"/>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187,219,967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3,656,829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(6,622,423)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184,254,373</w:t>
            </w:r>
          </w:p>
        </w:tc>
      </w:tr>
      <w:tr>
        <w:trPr>
          <w:trHeight w:val="216"/>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31,598,530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191,301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(1,772,065)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30,017,766</w:t>
            </w:r>
          </w:p>
        </w:tc>
      </w:tr>
      <w:tr>
        <w:trPr>
          <w:trHeight w:val="216"/>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261,142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11,039</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272,181</w:t>
            </w:r>
          </w:p>
        </w:tc>
      </w:tr>
      <w:tr>
        <w:trPr>
          <w:trHeight w:val="223"/>
        </w:trPr>
        <w:tc>
          <w:tcPr>
            <w:tcW w:w="10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276,404,869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3,990,327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(9,718,914)</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270,676,282</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9,730,028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2,309,512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(841,137)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11,198,403</w:t>
            </w:r>
          </w:p>
        </w:tc>
      </w:tr>
      <w:tr>
        <w:trPr>
          <w:trHeight w:val="209"/>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9,730,028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2,309,512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(841,137)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11,198,403</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40,355,630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203,130,224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34,050,215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(1,015,336)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(1,476,895)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(352,212)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274,691,626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investment - net of accumulated depreciation: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38,486,971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158,068,734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196,555,705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2,741,660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13,130,188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43,314,500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2,588,400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9,177,176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(1,800,076)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06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66,410,188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6"/>
        </w:trPr>
        <w:tc>
          <w:tcPr>
            <w:tcW w:w="106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6"/>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8,240,805</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6"/>
        </w:trPr>
        <w:tc>
          <w:tcPr>
            <w:tcW w:w="106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830,514,669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1960" w:hanging="5532"/>
        <w:spacing w:after="0" w:line="479" w:lineRule="auto"/>
        <w:tabs>
          <w:tab w:leader="none" w:pos="3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$937,600 of Membership stock and $1,650,800 of Activity stock due to short-term borrowings and letters of credit.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ectPr>
          <w:pgSz w:w="11900" w:h="17037" w:orient="portrait"/>
          <w:cols w:equalWidth="0" w:num="1">
            <w:col w:w="11240"/>
          </w:cols>
          <w:pgMar w:left="320" w:top="661" w:right="339" w:bottom="0" w:gutter="0" w:footer="0" w:header="0"/>
        </w:sectPr>
      </w:pPr>
    </w:p>
    <w:bookmarkStart w:id="12" w:name="page13"/>
    <w:bookmarkEnd w:id="1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2021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4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2021:</w:t>
            </w:r>
          </w:p>
        </w:tc>
        <w:tc>
          <w:tcPr>
            <w:tcW w:w="37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22,307,736</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578,567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22,886,303</w:t>
            </w: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4,649,917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212,803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4,860,731</w:t>
            </w: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174,711,061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21,791,370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(353,668)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196,148,763</w:t>
            </w: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34,365,382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905,159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(161,332)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35,109,209</w:t>
            </w: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13,383</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282,597</w:t>
            </w:r>
          </w:p>
        </w:tc>
      </w:tr>
      <w:tr>
        <w:trPr>
          <w:trHeight w:val="223"/>
        </w:trPr>
        <w:tc>
          <w:tcPr>
            <w:tcW w:w="14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236,303,310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23,501,282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(516,989)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259,287,603</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8,275,772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3,626,444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(305,802)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r>
      <w:tr>
        <w:trPr>
          <w:trHeight w:val="209"/>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8,275,772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3,626,444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(305,802)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53,533,712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175,117,783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51,683,022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(918,586)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(1,699,902)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(409,983)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277,306,046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investment - net of accumulated depreciation: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41,972,462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155,393,335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197,365,797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2,540,698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48,632,808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4,983,251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(1,686,218)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67,955,155</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6,313,012</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823,555,327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$905,700 of Membership stock and $1,641,400 of Activity stock due to short-term advances and letters of credit.</w:t>
      </w:r>
    </w:p>
    <w:p>
      <w:pPr>
        <w:sectPr>
          <w:pgSz w:w="11900" w:h="16838" w:orient="portrait"/>
          <w:cols w:equalWidth="0" w:num="1">
            <w:col w:w="11240"/>
          </w:cols>
          <w:pgMar w:left="320" w:top="661" w:right="339" w:bottom="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unrealized losses on fixed maturity securities available for sale that were carried at estimated fair value at June 30, 2022 and at December 31, 2021. The unrealized losses were primarily related to interest rate fluctuations and uncertainties relating to COVID-19. The tables set forth unrealized losses by duration with the fair value of the related fixed 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Losses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Losses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Less than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More than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Combined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Twelve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Twelve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Combined</w:t>
            </w:r>
          </w:p>
        </w:tc>
      </w:tr>
      <w:tr>
        <w:trPr>
          <w:trHeight w:val="234"/>
        </w:trPr>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Months</w:t>
            </w:r>
          </w:p>
        </w:tc>
        <w:tc>
          <w:tcPr>
            <w:tcW w:w="1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Months</w:t>
            </w:r>
          </w:p>
        </w:tc>
        <w:tc>
          <w:tcPr>
            <w:tcW w:w="160" w:type="dxa"/>
            <w:vAlign w:val="bottom"/>
          </w:tcPr>
          <w:p>
            <w:pPr>
              <w:spacing w:after="0"/>
              <w:rPr>
                <w:sz w:val="20"/>
                <w:szCs w:val="20"/>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2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At June 30, 2022</w:t>
            </w:r>
          </w:p>
        </w:tc>
        <w:tc>
          <w:tcPr>
            <w:tcW w:w="26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38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1,160,899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48,902,750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1,160,899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48,902,750</w:t>
            </w:r>
          </w:p>
        </w:tc>
        <w:tc>
          <w:tcPr>
            <w:tcW w:w="80" w:type="dxa"/>
            <w:vAlign w:val="bottom"/>
          </w:tcPr>
          <w:p>
            <w:pPr>
              <w:spacing w:after="0"/>
              <w:rPr>
                <w:sz w:val="20"/>
                <w:szCs w:val="20"/>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163,527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3,492,894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163,527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3,492,894</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5,750,763</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109,748,965</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3,502,210</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6,622,423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113,251,175</w:t>
            </w:r>
          </w:p>
        </w:tc>
        <w:tc>
          <w:tcPr>
            <w:tcW w:w="80" w:type="dxa"/>
            <w:vAlign w:val="bottom"/>
          </w:tcPr>
          <w:p>
            <w:pPr>
              <w:spacing w:after="0"/>
              <w:rPr>
                <w:sz w:val="18"/>
                <w:szCs w:val="18"/>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1,533,826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23,709,933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238,239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1,576,104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1,772,065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25,286,037</w:t>
            </w:r>
          </w:p>
        </w:tc>
        <w:tc>
          <w:tcPr>
            <w:tcW w:w="80" w:type="dxa"/>
            <w:vAlign w:val="bottom"/>
            <w:shd w:val="clear" w:color="auto" w:fill="CCEEFF"/>
          </w:tcPr>
          <w:p>
            <w:pPr>
              <w:spacing w:after="0"/>
              <w:rPr>
                <w:sz w:val="18"/>
                <w:szCs w:val="18"/>
                <w:color w:val="auto"/>
              </w:rPr>
            </w:pPr>
          </w:p>
        </w:tc>
      </w:tr>
      <w:tr>
        <w:trPr>
          <w:trHeight w:val="249"/>
        </w:trPr>
        <w:tc>
          <w:tcPr>
            <w:tcW w:w="3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3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8,609,015</w:t>
            </w:r>
          </w:p>
        </w:tc>
        <w:tc>
          <w:tcPr>
            <w:tcW w:w="3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185,854,542</w:t>
            </w:r>
          </w:p>
        </w:tc>
        <w:tc>
          <w:tcPr>
            <w:tcW w:w="3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1,109,899</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5,078,314</w:t>
            </w:r>
          </w:p>
        </w:tc>
        <w:tc>
          <w:tcPr>
            <w:tcW w:w="3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9,718,914</w:t>
            </w: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190,932,856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3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548,715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548,715</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73,507</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4,638,750</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280,161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3,771,813</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353,668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8,410,563</w:t>
            </w:r>
          </w:p>
        </w:tc>
        <w:tc>
          <w:tcPr>
            <w:tcW w:w="80" w:type="dxa"/>
            <w:vAlign w:val="bottom"/>
          </w:tcPr>
          <w:p>
            <w:pPr>
              <w:spacing w:after="0"/>
              <w:rPr>
                <w:sz w:val="18"/>
                <w:szCs w:val="18"/>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72,952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7,934,760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1,582,804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161,332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9,517,564</w:t>
            </w:r>
          </w:p>
        </w:tc>
        <w:tc>
          <w:tcPr>
            <w:tcW w:w="80" w:type="dxa"/>
            <w:vAlign w:val="bottom"/>
            <w:shd w:val="clear" w:color="auto" w:fill="CCEEFF"/>
          </w:tcPr>
          <w:p>
            <w:pPr>
              <w:spacing w:after="0"/>
              <w:rPr>
                <w:sz w:val="18"/>
                <w:szCs w:val="18"/>
                <w:color w:val="auto"/>
              </w:rPr>
            </w:pPr>
          </w:p>
        </w:tc>
      </w:tr>
      <w:tr>
        <w:trPr>
          <w:trHeight w:val="210"/>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148,448</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13,122,225</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5,354,617</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516,989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18,476,842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508 securities with fair value of 95.2% of aggregate amortized cost at June 30, 2022. There were 55 securities with fair value of 97.3% of aggregate amortized cost at December 31, 2021. No additional credit losses have been recognized for the three and six months ended June 30, 2022 and 2021, since the increase in unrealized losses is primarily a result of the recent rise in interest rates.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evaluates its fixed maturity securities classified as available for sale. This evaluation includes a review of current ratings by the National Association of Insurance Commissions (“NAIC”). Securities with a rating of 1 or 2 are considered investment grade and are not reviewed for impairment, unless current market or recent company news could lead to a credit downgrade.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Company’s cumulative other than temporary credit impairments (“OTTI”) recognized in earnings on fixed maturity securities available for sale.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credit-related OTTI at January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370,975</w:t>
            </w: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credit impairments recognized 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not previously impaired</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previously impaired</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credit impairments previously recognized 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that matured or were sold during the period (realized)</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due to an increase in expected cash flows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credit-related OTTI at June 30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225,475</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370,975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fixed maturity securities available for sale at June 30, 2022, by contractual maturity.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Amortized</w:t>
            </w: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Cost</w:t>
            </w:r>
          </w:p>
        </w:tc>
        <w:tc>
          <w:tcPr>
            <w:tcW w:w="220" w:type="dxa"/>
            <w:vAlign w:val="bottom"/>
          </w:tcPr>
          <w:p>
            <w:pPr>
              <w:spacing w:after="0"/>
              <w:rPr>
                <w:sz w:val="20"/>
                <w:szCs w:val="20"/>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12,212,759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12,193,769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96,106,175</w:t>
            </w:r>
          </w:p>
        </w:tc>
        <w:tc>
          <w:tcPr>
            <w:tcW w:w="22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94,530,894</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59,527,119</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58,074,435</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76,699,144</w:t>
            </w:r>
          </w:p>
        </w:tc>
        <w:tc>
          <w:tcPr>
            <w:tcW w:w="22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75,587,237</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31,598,530</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30,017,766</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261,142</w:t>
            </w:r>
          </w:p>
        </w:tc>
        <w:tc>
          <w:tcPr>
            <w:tcW w:w="22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272,181</w:t>
            </w:r>
          </w:p>
        </w:tc>
      </w:tr>
      <w:tr>
        <w:trPr>
          <w:trHeight w:val="210"/>
        </w:trPr>
        <w:tc>
          <w:tcPr>
            <w:tcW w:w="4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276,404,869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270,676,282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The Company had pledged a total of $56,103,252, at estimated fair value, of fixed maturity securities with the FHLB at June 30, 2022. These securities are used as collateral on any cash borrowings from the FHLB. As of June 30, 2022, the Company owed nil to the FHLB and its estimated maximum borrowing capacity was $51,524,955.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net realized gains and losses from sales, calls, and maturities, unrealized gains and losses on equity securities, and other than temporary impairments from investments and other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3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129,512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188,266</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175,635</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273,659</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(9,828)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(10,758)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(14,886)</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securities sold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81,596</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71,317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252,580</w:t>
            </w:r>
          </w:p>
        </w:tc>
        <w:tc>
          <w:tcPr>
            <w:tcW w:w="60" w:type="dxa"/>
            <w:vAlign w:val="bottom"/>
          </w:tcPr>
          <w:p>
            <w:pPr>
              <w:spacing w:after="0"/>
              <w:rPr>
                <w:sz w:val="18"/>
                <w:szCs w:val="18"/>
                <w:color w:val="auto"/>
              </w:rPr>
            </w:pPr>
          </w:p>
        </w:tc>
      </w:tr>
      <w:tr>
        <w:trPr>
          <w:trHeight w:val="198"/>
        </w:trPr>
        <w:tc>
          <w:tcPr>
            <w:tcW w:w="3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and (losses) on securities held</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the end of the period</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(2,106,375)</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490,394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(2,713,422)</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1,442,424</w:t>
            </w:r>
          </w:p>
        </w:tc>
        <w:tc>
          <w:tcPr>
            <w:tcW w:w="60" w:type="dxa"/>
            <w:vAlign w:val="bottom"/>
            <w:shd w:val="clear" w:color="auto" w:fill="CCEEFF"/>
          </w:tcPr>
          <w:p>
            <w:pPr>
              <w:spacing w:after="0"/>
              <w:rPr>
                <w:sz w:val="20"/>
                <w:szCs w:val="20"/>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994,522</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737,443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1,833,030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1,846,801</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(3,822)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(82,791)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(98,222)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(363,261)</w:t>
            </w:r>
          </w:p>
        </w:tc>
      </w:tr>
      <w:tr>
        <w:trPr>
          <w:trHeight w:val="209"/>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(914,395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1,477,204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(742,420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3,437,317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Pr>
          <w:p>
            <w:pPr>
              <w:spacing w:after="0"/>
              <w:rPr>
                <w:sz w:val="18"/>
                <w:szCs w:val="18"/>
                <w:color w:val="auto"/>
              </w:rPr>
            </w:pPr>
          </w:p>
        </w:tc>
        <w:tc>
          <w:tcPr>
            <w:tcW w:w="27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14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3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1,163,366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688,651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1,982,931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149,338</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2,354</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209,132</w:t>
            </w:r>
          </w:p>
        </w:tc>
        <w:tc>
          <w:tcPr>
            <w:tcW w:w="11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(7,825)</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439"/>
        </w:trPr>
        <w:tc>
          <w:tcPr>
            <w:tcW w:w="3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7" w:name="page18"/>
    <w:bookmarkEnd w:id="1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8"/>
                <w:szCs w:val="18"/>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2,811,650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5,522,122</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119,798</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106,041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242,834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234,270</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9,244,464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6,902,466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17,204,642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12,986,883</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4,012,192</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3,002,650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7,052,226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6,045,479</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207,301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232,135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513,583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464,488</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4,093,723</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4,171,318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9,490,710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9,517,047</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98,361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39,299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169,006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53,006</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108,431</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183,732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73,624</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20,695,920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17,185,950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40,304,599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34,896,919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(4,724,632)</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(3,008,632)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(9,139,005)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(6,425,714)</w:t>
            </w:r>
          </w:p>
        </w:tc>
      </w:tr>
      <w:tr>
        <w:trPr>
          <w:trHeight w:val="209"/>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15,971,288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14,177,318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31,165,594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28,471,205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investment income includes income earned by the restricted assets of the cemeteries and mortuaries of $730,534 and $190,668 for the three months ended June 30, 2022 and 2021, respectively, and of $1,207,243 and $351,879 for the six months ended June 30,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expenses consist primarily of depreciation, property taxes, operating expenses of real estate and an estimated portion of administrative expenses relating to investment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on deposit with regulatory authorities as required by law amounted to $10,114,458 at June 30, 2022 and $10,168,853 at December 31, 2021 (the December 31, 2021 amount has been corrected from that previously reported due to a typographical error). These restricted securities are included in various assets under investments on the accompanying condensed consolidated balance sheets.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investments, aggregated by issuer, in excess of 10% of shareholders’ equity (before net unrealized gains and losses on equity securities and fixed maturity securities) at June 30, 2022, other than investments issued or guaranteed by the United States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11 commercial properties in 5 states. These properties include office buildings, flex office space, and includes the redevelopment and expansion of its corporate campus (“Center53”) in Salt Lake City, Utah. The Company uses bank debt in strategic cases to leverage established yields or to acquire a higher quality or different class of asset.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aggregated net ending balance of commercial real estate that serves as collateral for bank loans was $134,069,866 and $134,251,205 as of June 30, 2022 and December 31, 2021, respectively. The associated bank loan carrying values totaled $100,503,091 and $85,663,148 as of June 30, 2022 and December 31, 2021,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Net Ending Balance</w:t>
            </w:r>
          </w:p>
        </w:tc>
        <w:tc>
          <w:tcPr>
            <w:tcW w:w="30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1"/>
        </w:trPr>
        <w:tc>
          <w:tcPr>
            <w:tcW w:w="27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16"/>
                <w:szCs w:val="16"/>
                <w:color w:val="auto"/>
              </w:rPr>
            </w:pPr>
          </w:p>
        </w:tc>
        <w:tc>
          <w:tcPr>
            <w:tcW w:w="1580" w:type="dxa"/>
            <w:vAlign w:val="bottom"/>
            <w:tcBorders>
              <w:top w:val="single" w:sz="8" w:color="auto"/>
            </w:tcBorders>
            <w:gridSpan w:val="2"/>
          </w:tcPr>
          <w:p>
            <w:pPr>
              <w:ind w:left="36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3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r>
      <w:tr>
        <w:trPr>
          <w:trHeight w:val="234"/>
        </w:trPr>
        <w:tc>
          <w:tcPr>
            <w:tcW w:w="27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0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152,758,740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150,105,948</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8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2,403,729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2,426,612</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31,778</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31,778</w:t>
            </w:r>
          </w:p>
        </w:tc>
      </w:tr>
      <w:tr>
        <w:trPr>
          <w:trHeight w:val="22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2,906,265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2,860,775</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19,694</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19,694</w:t>
            </w:r>
          </w:p>
        </w:tc>
      </w:tr>
      <w:tr>
        <w:trPr>
          <w:trHeight w:val="223"/>
        </w:trPr>
        <w:tc>
          <w:tcPr>
            <w:tcW w:w="2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158,068,734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155,393,335</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677,392</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677,392</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Center53 phase 1 and phase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Net Ending Balance</w:t>
            </w:r>
          </w:p>
        </w:tc>
        <w:tc>
          <w:tcPr>
            <w:tcW w:w="30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1"/>
        </w:trPr>
        <w:tc>
          <w:tcPr>
            <w:tcW w:w="27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16"/>
                <w:szCs w:val="16"/>
                <w:color w:val="auto"/>
              </w:rPr>
            </w:pPr>
          </w:p>
        </w:tc>
        <w:tc>
          <w:tcPr>
            <w:tcW w:w="1580" w:type="dxa"/>
            <w:vAlign w:val="bottom"/>
            <w:tcBorders>
              <w:top w:val="single" w:sz="8" w:color="auto"/>
            </w:tcBorders>
            <w:gridSpan w:val="2"/>
          </w:tcPr>
          <w:p>
            <w:pPr>
              <w:ind w:left="38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3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r>
      <w:tr>
        <w:trPr>
          <w:trHeight w:val="234"/>
        </w:trPr>
        <w:tc>
          <w:tcPr>
            <w:tcW w:w="27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222,679</w:t>
            </w:r>
          </w:p>
        </w:tc>
        <w:tc>
          <w:tcPr>
            <w:tcW w:w="8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389,145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389,145</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2,872</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2,872</w:t>
            </w:r>
          </w:p>
        </w:tc>
      </w:tr>
      <w:tr>
        <w:trPr>
          <w:trHeight w:val="23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151,553</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2,540,698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2,540,698</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225,551</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225,551</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Approximately 93 acres of undeveloped land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owns a small portfolio of residential homes primarily as a result of loan foreclosures. The Company has the option to sell them or to continue to hold them for cash flow and acceptable returns. The Company also invests in residential subdivision land developments.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ending balance of foreclosed residential real estate included in residential real estate held for sale was $200,962 and $1,190,602 as of June 30, 2022 and December 31, 2021,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and 2021 the Company did not record any impairment losses on residential real estate held for sale or held for investment. During the six months ended June 30, 2022 and 2021 the Company recorded impairment losses on residential real estate held for sale of $94,400 and nil, respectively. Impairment losses are included in gains (losses) on investment and other assets on the condensed consolidated statements of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Net Ending Balance</w:t>
            </w:r>
          </w:p>
        </w:tc>
      </w:tr>
      <w:tr>
        <w:trPr>
          <w:trHeight w:val="191"/>
        </w:trPr>
        <w:tc>
          <w:tcPr>
            <w:tcW w:w="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60" w:type="dxa"/>
            <w:vAlign w:val="bottom"/>
          </w:tcPr>
          <w:p>
            <w:pPr>
              <w:spacing w:after="0"/>
              <w:rPr>
                <w:sz w:val="16"/>
                <w:szCs w:val="16"/>
                <w:color w:val="auto"/>
              </w:rPr>
            </w:pPr>
          </w:p>
        </w:tc>
      </w:tr>
      <w:tr>
        <w:trPr>
          <w:trHeight w:val="234"/>
        </w:trPr>
        <w:tc>
          <w:tcPr>
            <w:tcW w:w="28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20"/>
                <w:szCs w:val="20"/>
                <w:color w:val="auto"/>
              </w:rPr>
            </w:pPr>
          </w:p>
        </w:tc>
      </w:tr>
      <w:tr>
        <w:trPr>
          <w:trHeight w:val="209"/>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38,486,971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41,686,281</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Washington (2)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286,181</w:t>
            </w:r>
          </w:p>
        </w:tc>
      </w:tr>
      <w:tr>
        <w:trPr>
          <w:trHeight w:val="209"/>
        </w:trPr>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38,486,971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41,972,462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20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w:t>
            </w:r>
          </w:p>
        </w:tc>
        <w:tc>
          <w:tcPr>
            <w:tcW w:w="456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18"/>
                <w:szCs w:val="18"/>
                <w:color w:val="auto"/>
              </w:rPr>
              <w:t>Includes subdivision land developments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Improved residential lots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the Company’s subdivision land developments in Utah.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June 30</w:t>
            </w: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5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20"/>
                <w:szCs w:val="20"/>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38,285,419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41,479,434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Net Ending Balance</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200,962</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979,640</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shd w:val="clear" w:color="auto" w:fill="CCEEFF"/>
          </w:tcPr>
          <w:p>
            <w:pPr>
              <w:spacing w:after="0"/>
              <w:rPr>
                <w:sz w:val="18"/>
                <w:szCs w:val="18"/>
                <w:color w:val="auto"/>
              </w:rPr>
            </w:pPr>
          </w:p>
        </w:tc>
      </w:tr>
      <w:tr>
        <w:trPr>
          <w:trHeight w:val="209"/>
        </w:trPr>
        <w:tc>
          <w:tcPr>
            <w:tcW w:w="45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200,962</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1,190,602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Owned and Occupied by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June 30, 2022,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Approximate Square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Occupied by the</w:t>
            </w:r>
          </w:p>
        </w:tc>
      </w:tr>
      <w:tr>
        <w:trPr>
          <w:trHeight w:val="234"/>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Location</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w:t>
            </w: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Footage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1"/>
        </w:trPr>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w:t>
            </w: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Ascension Way, Salt Lake City, UT -</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Cemetery/Mortuary Operations, and Mortgage</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Center53 Building 2</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and Sales</w:t>
            </w: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221,000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1044</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 Oaks Dr., Flowood, MS</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19,694</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1818</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 Street, Shreveport, LA (1)</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12,274</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909</w:t>
            </w: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Foisy Street, Alexandria, LA (1)</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8,059</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812</w:t>
            </w: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Sheppard Street, Minden, LA (1)</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1550</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 3rd Street, Jena, LA (1)</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1,737</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property and equipment on the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June 30, 2022, the Company had 79%, 5%, 4%, 4%, 2% and 2% of its mortgage loans from borrowers located in the states of Utah, Florida, Texas, California, Nevada, and Arizona, respectively. At December 31, 2021, the Company had 70%, 7%, 5%, 4%, 4% and 2% of its mortgage loans from borrowers located in the states of Utah, Florida, California, Texas, Nevada and Arizona, respectively.</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will fund a loan not to exceed 80% of the fair market value of the loan’s collateral. Amounts over 80% will require additional collateral or mortgage insurance by an approved third-party insurer.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As a practical expedient,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Secured by family dwelling units. These loans are secured by first and second mortgages on the unit. The borrower’s ability to repay is sensitive to the life events and general economic condition of the region. Where loan to value exceeds 80%, the loan is generally guaranteed by private mortgage insurance, FHA or VA.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w:t>
      </w:r>
      <w:r>
        <w:rPr>
          <w:rFonts w:ascii="Times New Roman" w:cs="Times New Roman" w:eastAsia="Times New Roman" w:hAnsi="Times New Roman"/>
          <w:sz w:val="18"/>
          <w:szCs w:val="18"/>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establishes a valuation allowance for credit losses in its mortgage loans held for investment portfolio. The following table presents the valuation allowance for loan losses as a contra-asset account.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1,469,571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1,699,902</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(223,007)</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(223,007)</w:t>
            </w:r>
          </w:p>
        </w:tc>
      </w:tr>
      <w:tr>
        <w:trPr>
          <w:trHeight w:val="249"/>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June 30,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1,246,564</w:t>
            </w:r>
          </w:p>
        </w:tc>
        <w:tc>
          <w:tcPr>
            <w:tcW w:w="3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1,476,895</w:t>
            </w:r>
          </w:p>
        </w:tc>
        <w:tc>
          <w:tcPr>
            <w:tcW w:w="220" w:type="dxa"/>
            <w:vAlign w:val="bottom"/>
            <w:tcBorders>
              <w:bottom w:val="single" w:sz="8" w:color="CCEEFF"/>
            </w:tcBorders>
          </w:tcPr>
          <w:p>
            <w:pPr>
              <w:spacing w:after="0"/>
              <w:rPr>
                <w:sz w:val="21"/>
                <w:szCs w:val="21"/>
                <w:color w:val="auto"/>
              </w:rPr>
            </w:pPr>
          </w:p>
        </w:tc>
      </w:tr>
      <w:tr>
        <w:trPr>
          <w:trHeight w:val="197"/>
        </w:trPr>
        <w:tc>
          <w:tcPr>
            <w:tcW w:w="4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5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63,310</w:t>
            </w:r>
          </w:p>
        </w:tc>
      </w:tr>
      <w:tr>
        <w:trPr>
          <w:trHeight w:val="197"/>
        </w:trPr>
        <w:tc>
          <w:tcPr>
            <w:tcW w:w="4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5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1,183,254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1,413,585</w:t>
            </w:r>
          </w:p>
        </w:tc>
      </w:tr>
      <w:tr>
        <w:trPr>
          <w:trHeight w:val="197"/>
        </w:trPr>
        <w:tc>
          <w:tcPr>
            <w:tcW w:w="4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June 30,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34,050,215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40,355,630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203,130,224</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277,536,069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501,949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1,294,512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415,904</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2,212,365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33,548,266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39,061,118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202,714,320</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275,323,704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1,774,796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2,005,127</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(305,225)</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(305,225)</w:t>
            </w:r>
          </w:p>
        </w:tc>
      </w:tr>
      <w:tr>
        <w:trPr>
          <w:trHeight w:val="249"/>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December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1,469,571</w:t>
            </w:r>
          </w:p>
        </w:tc>
        <w:tc>
          <w:tcPr>
            <w:tcW w:w="3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1,699,902</w:t>
            </w:r>
          </w:p>
        </w:tc>
        <w:tc>
          <w:tcPr>
            <w:tcW w:w="220" w:type="dxa"/>
            <w:vAlign w:val="bottom"/>
            <w:tcBorders>
              <w:bottom w:val="single" w:sz="8" w:color="CCEEFF"/>
            </w:tcBorders>
          </w:tcPr>
          <w:p>
            <w:pPr>
              <w:spacing w:after="0"/>
              <w:rPr>
                <w:sz w:val="21"/>
                <w:szCs w:val="21"/>
                <w:color w:val="auto"/>
              </w:rPr>
            </w:pPr>
          </w:p>
        </w:tc>
      </w:tr>
      <w:tr>
        <w:trPr>
          <w:trHeight w:val="197"/>
        </w:trPr>
        <w:tc>
          <w:tcPr>
            <w:tcW w:w="4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5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105,384</w:t>
            </w:r>
          </w:p>
        </w:tc>
      </w:tr>
      <w:tr>
        <w:trPr>
          <w:trHeight w:val="197"/>
        </w:trPr>
        <w:tc>
          <w:tcPr>
            <w:tcW w:w="4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5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1,364,187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1,594,518</w:t>
            </w:r>
          </w:p>
        </w:tc>
      </w:tr>
      <w:tr>
        <w:trPr>
          <w:trHeight w:val="197"/>
        </w:trPr>
        <w:tc>
          <w:tcPr>
            <w:tcW w:w="4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51,683,022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53,533,712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175,117,783</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280,334,517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1,723,372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2,548,656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4,272,028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49,959,650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50,985,056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175,117,783</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276,062,489(1)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5360" w:hanging="5532"/>
        <w:spacing w:after="0" w:line="409" w:lineRule="auto"/>
        <w:tabs>
          <w:tab w:leader="none" w:pos="33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corrected from that previously reported due to a typographical error.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2,824,716</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2,433,116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683,087</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5,940,919</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341,870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341,870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Greater Than 90 Days (1)</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917,135</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415,904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1,333,039</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501,949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377,377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879,326</w:t>
            </w:r>
          </w:p>
        </w:tc>
      </w:tr>
      <w:tr>
        <w:trPr>
          <w:trHeight w:val="20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3,326,665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4,069,498</w:t>
            </w: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1,098,991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8,495,154</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30,723,550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36,286,132</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202,031,233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269,040,915</w:t>
            </w:r>
          </w:p>
        </w:tc>
        <w:tc>
          <w:tcPr>
            <w:tcW w:w="100" w:type="dxa"/>
            <w:vAlign w:val="bottom"/>
            <w:shd w:val="clear" w:color="auto" w:fill="CCEEFF"/>
          </w:tcPr>
          <w:p>
            <w:pPr>
              <w:spacing w:after="0"/>
              <w:rPr>
                <w:sz w:val="18"/>
                <w:szCs w:val="18"/>
                <w:color w:val="auto"/>
              </w:rPr>
            </w:pPr>
          </w:p>
        </w:tc>
      </w:tr>
      <w:tr>
        <w:trPr>
          <w:trHeight w:val="210"/>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34,050,215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40,355,630</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203,130,224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277,536,069</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(1,476,895)</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(71,921)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(385,559)</w:t>
            </w: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(557,856)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(1,015,336)</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(238,128)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(114,084)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(352,212)</w:t>
            </w:r>
          </w:p>
        </w:tc>
      </w:tr>
      <w:tr>
        <w:trPr>
          <w:trHeight w:val="24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Mortgage Loans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33,553,037</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38,609,423</w:t>
            </w:r>
          </w:p>
        </w:tc>
        <w:tc>
          <w:tcPr>
            <w:tcW w:w="3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202,529,166</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274,691,626</w:t>
            </w:r>
          </w:p>
        </w:tc>
        <w:tc>
          <w:tcPr>
            <w:tcW w:w="100" w:type="dxa"/>
            <w:vAlign w:val="bottom"/>
            <w:tcBorders>
              <w:bottom w:val="single" w:sz="8" w:color="CCEEFF"/>
            </w:tcBorders>
          </w:tcPr>
          <w:p>
            <w:pPr>
              <w:spacing w:after="0"/>
              <w:rPr>
                <w:sz w:val="21"/>
                <w:szCs w:val="21"/>
                <w:color w:val="auto"/>
              </w:rPr>
            </w:pPr>
          </w:p>
        </w:tc>
      </w:tr>
      <w:tr>
        <w:trPr>
          <w:trHeight w:val="197"/>
        </w:trPr>
        <w:tc>
          <w:tcPr>
            <w:tcW w:w="4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3,117,826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1,363,127</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4,480,953</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580,815</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681,019</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Than 90 Days (1)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1,723,372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2,052,062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3,775,434</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496,594</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496,594</w:t>
            </w: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6,247,297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1,363,127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49,859,446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47,286,415</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173,754,656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270,900,517</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51,683,022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53,533,712</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280,334,517</w:t>
            </w:r>
          </w:p>
        </w:tc>
        <w:tc>
          <w:tcPr>
            <w:tcW w:w="100" w:type="dxa"/>
            <w:vAlign w:val="bottom"/>
            <w:shd w:val="clear" w:color="auto" w:fill="CCEEFF"/>
          </w:tcPr>
          <w:p>
            <w:pPr>
              <w:spacing w:after="0"/>
              <w:rPr>
                <w:sz w:val="18"/>
                <w:szCs w:val="18"/>
                <w:color w:val="auto"/>
              </w:rPr>
            </w:pPr>
          </w:p>
        </w:tc>
      </w:tr>
      <w:tr>
        <w:trPr>
          <w:trHeight w:val="21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(1,469,571)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(1,699,902)</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(498,600)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(383,173)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(918,586)</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(240,614)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(169,369)</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(409,983)</w:t>
            </w:r>
          </w:p>
        </w:tc>
      </w:tr>
      <w:tr>
        <w:trPr>
          <w:trHeight w:val="210"/>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Mortgage Loans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51,218,466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51,396,172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174,691,408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277,306,046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4460" w:hanging="5532"/>
        <w:spacing w:after="0" w:line="532" w:lineRule="auto"/>
        <w:tabs>
          <w:tab w:leader="none" w:pos="3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past due greater than 90 days or in foreclosure.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Impaired Mortgage Loans Held for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Unpaid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Interest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Related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34"/>
        </w:trPr>
        <w:tc>
          <w:tcPr>
            <w:tcW w:w="1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Balance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Allowance</w:t>
            </w:r>
          </w:p>
        </w:tc>
        <w:tc>
          <w:tcPr>
            <w:tcW w:w="1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Recognized</w:t>
            </w:r>
          </w:p>
        </w:tc>
      </w:tr>
      <w:tr>
        <w:trPr>
          <w:trHeight w:val="209"/>
        </w:trPr>
        <w:tc>
          <w:tcPr>
            <w:tcW w:w="3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501,949</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501,949</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1,119,350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650,488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650,488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848,525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415,904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415,904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207,952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644,024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63,310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730,672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501,949</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501,949</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1,119,350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1,294,512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1,294,512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63,310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1,579,197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415,904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415,904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207,952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34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1,723,372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1,723,372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1,053,865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1,591,368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1,591,368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2,731,421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957,288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726,449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1,723,372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1,723,372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1,053,865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2,548,656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3,457,870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1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5" w:name="page26"/>
    <w:bookmarkEnd w:id="2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 Profile Based on Performance Status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performing and non-performing mortgage loans held for investment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20"/>
                <w:szCs w:val="20"/>
                <w:color w:val="auto"/>
              </w:rPr>
            </w:pPr>
          </w:p>
        </w:tc>
        <w:tc>
          <w:tcPr>
            <w:tcW w:w="22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0"/>
                <w:szCs w:val="20"/>
                <w:color w:val="auto"/>
              </w:rPr>
            </w:pPr>
          </w:p>
        </w:tc>
        <w:tc>
          <w:tcPr>
            <w:tcW w:w="24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20"/>
                <w:szCs w:val="20"/>
                <w:color w:val="auto"/>
              </w:rPr>
            </w:pPr>
          </w:p>
        </w:tc>
        <w:tc>
          <w:tcPr>
            <w:tcW w:w="2360" w:type="dxa"/>
            <w:vAlign w:val="bottom"/>
            <w:gridSpan w:val="5"/>
          </w:tcPr>
          <w:p>
            <w:pPr>
              <w:ind w:left="94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December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December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w:t>
            </w:r>
          </w:p>
        </w:tc>
        <w:tc>
          <w:tcPr>
            <w:tcW w:w="10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June 30,</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30,</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June 30,</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480" w:type="dxa"/>
            <w:vAlign w:val="bottom"/>
          </w:tcPr>
          <w:p>
            <w:pPr>
              <w:spacing w:after="0"/>
              <w:rPr>
                <w:sz w:val="20"/>
                <w:szCs w:val="20"/>
                <w:color w:val="auto"/>
              </w:rPr>
            </w:pP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0"/>
                <w:szCs w:val="20"/>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0"/>
                <w:szCs w:val="20"/>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$33,548,266</w:t>
            </w:r>
          </w:p>
        </w:tc>
        <w:tc>
          <w:tcPr>
            <w:tcW w:w="1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$49,959,650</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$ 39,061,118</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$50,985,056</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$ 202,714,320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$ 175,117,783</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$ 275,323,704</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$ 276,062,489</w:t>
            </w:r>
          </w:p>
        </w:tc>
        <w:tc>
          <w:tcPr>
            <w:tcW w:w="8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501,949</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1,723,372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1,294,512</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2,548,656</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415,904</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2,212,365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4,272,028</w:t>
            </w:r>
          </w:p>
        </w:tc>
        <w:tc>
          <w:tcPr>
            <w:tcW w:w="8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34,050,215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51,683,022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40,355,630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53,533,712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203,130,224</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$ 175,117,783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277,536,069</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280,334,517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Non-Accrual Mortgage Loans Held for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totaled approximately $135,000 and $236,000 as of June 30, 2022 and December 31, 2021,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See Note 8 to the condensed consolidated financial statements for additional disclosures regarding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 of June 30</w:t>
            </w: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4"/>
        </w:trPr>
        <w:tc>
          <w:tcPr>
            <w:tcW w:w="2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20"/>
                <w:szCs w:val="20"/>
                <w:color w:val="auto"/>
              </w:rPr>
            </w:pPr>
          </w:p>
        </w:tc>
      </w:tr>
      <w:tr>
        <w:trPr>
          <w:trHeight w:val="209"/>
        </w:trPr>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209,860,409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302,776,827</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207,409,731</w:t>
            </w:r>
          </w:p>
        </w:tc>
        <w:tc>
          <w:tcPr>
            <w:tcW w:w="14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294,481,503</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2,450,678</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8,295,324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certain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8"/>
                <w:szCs w:val="18"/>
                <w:color w:val="auto"/>
              </w:rPr>
            </w:pPr>
          </w:p>
        </w:tc>
        <w:tc>
          <w:tcPr>
            <w:tcW w:w="27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w:t>
            </w:r>
          </w:p>
        </w:tc>
        <w:tc>
          <w:tcPr>
            <w:tcW w:w="10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7,950,227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9,154,621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15,037,410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18,694,577</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2,923,446</w:t>
            </w: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2,188,380</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4,955,315</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4,500,181</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37,161,287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56,020,876</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76,763,900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124,459,809</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(2,247,244)</w:t>
            </w: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(482,863)</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428,127</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(168,397)</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(3,463,922)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(1,114,632)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(6,210,487)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(8,060,513)</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(292,896)</w:t>
            </w: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(608,569)</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(598,922)</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(1,269,232)</w:t>
            </w: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42,030,898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65,157,813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90,375,343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138,156,425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Loss Reserve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4) Loans Held for Sale (Continued)</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As of June 30</w:t>
            </w:r>
          </w:p>
        </w:tc>
        <w:tc>
          <w:tcPr>
            <w:tcW w:w="140" w:type="dxa"/>
            <w:vAlign w:val="bottom"/>
          </w:tcPr>
          <w:p>
            <w:pPr>
              <w:spacing w:after="0"/>
              <w:rPr>
                <w:sz w:val="24"/>
                <w:szCs w:val="24"/>
                <w:color w:val="auto"/>
              </w:rPr>
            </w:pP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4"/>
        </w:trPr>
        <w:tc>
          <w:tcPr>
            <w:tcW w:w="3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2,447,139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20,583,618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tc>
        <w:tc>
          <w:tcPr>
            <w:tcW w:w="24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598,922</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2,211,230</w:t>
            </w: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net of recaptured amounts</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(1,105,275)</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(20,347,709)</w:t>
            </w: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1,940,786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2,447,139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six months ended June 30, 2022, $598,922 in reserves were added at a rate of 2.9 basis points per loan, the equivalent of $290 per $1,000,000 in loans originated. This is a decrease over the three months ended June 30, 2021, when reserves of $1,269,232 were added at a rate of 4.5 basis points per loan originated, the equivalent of $450 per $1,000,000 in loans originated. On February 1, 2021, SecurityNational Mortgage executed a settlement agreement with Lehman Holdings in relation to two adversary proceedings wherein all mortgage loan related claims were resolved, thereby ending all liabilities asserted by Lehman Holdings and conclusively ending all proceedings between SecurityNational Mortgage and Lehman Holdings. The full amount of SecurityNational Mortgage’s settlement payment was accounted for in the Company’s loan loss reserve as of December 31, 2020 and was paid during the first quarter 2021.The unique nature of COVID-19 creates significant difficulty for forecasting potential future losses. The Company will continue to monitor data and economic conditions in order to maintain adequate loss reserves on current production. Thus, the Company believes that the final loan loss reserve as of June 30, 2022, represents its best estimate for adequate loss reserves on loans sold.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three fixed option plans (the “2013 Plan”, the “2014 Director Plan” and the “2022 Plan”). Compensation expense for options issued of $220,175 and nil has been recognized for these plans for the three months ended June 30, 2022 and 2021, respectively, and $491,922 and $39,153 has been recognized for these plans for the six months ended June 30, 2022 and 2021, respectively. As of June 30, 2022, the total unrecognized compensation expense related to the options issued was $390,714.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compensation plans as of June 30, 2022, and the changes during the six months ended June 30, 2022, are presented below:</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effect of stock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June 30,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options for future grant</w:t>
      </w:r>
    </w:p>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June 30, 2022</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June 30, 2022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outstanding at June 30, 2022 (1)</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exercisable at June 30, 2022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4"/>
        </w:trPr>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A Shares</w:t>
            </w:r>
          </w:p>
        </w:tc>
        <w:tc>
          <w:tcPr>
            <w:tcW w:w="2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Price</w:t>
            </w:r>
          </w:p>
        </w:tc>
        <w:tc>
          <w:tcPr>
            <w:tcW w:w="0" w:type="dxa"/>
            <w:vAlign w:val="bottom"/>
          </w:tcPr>
          <w:p>
            <w:pPr>
              <w:spacing w:after="0"/>
              <w:rPr>
                <w:sz w:val="1"/>
                <w:szCs w:val="1"/>
                <w:color w:val="auto"/>
              </w:rPr>
            </w:pPr>
          </w:p>
        </w:tc>
      </w:tr>
      <w:tr>
        <w:trPr>
          <w:trHeight w:val="407"/>
        </w:trPr>
        <w:tc>
          <w:tcPr>
            <w:tcW w:w="1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1,024,351</w:t>
            </w:r>
          </w:p>
        </w:tc>
        <w:tc>
          <w:tcPr>
            <w:tcW w:w="18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(71,330)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(1,591)</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1,003,210</w:t>
            </w:r>
          </w:p>
        </w:tc>
        <w:tc>
          <w:tcPr>
            <w:tcW w:w="18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955,460</w:t>
            </w:r>
          </w:p>
        </w:tc>
        <w:tc>
          <w:tcPr>
            <w:tcW w:w="18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239,795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6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4.32 years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6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4.06 years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3,891,873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3,878,980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-3462655</wp:posOffset>
            </wp:positionV>
            <wp:extent cx="64122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-3188335</wp:posOffset>
            </wp:positionV>
            <wp:extent cx="64122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-2914015</wp:posOffset>
            </wp:positionV>
            <wp:extent cx="641223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-2605405</wp:posOffset>
            </wp:positionV>
            <wp:extent cx="641223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-2313940</wp:posOffset>
            </wp:positionV>
            <wp:extent cx="641223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-1996440</wp:posOffset>
            </wp:positionV>
            <wp:extent cx="641223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-1696720</wp:posOffset>
            </wp:positionV>
            <wp:extent cx="641223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-1268095</wp:posOffset>
            </wp:positionV>
            <wp:extent cx="64122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-856615</wp:posOffset>
            </wp:positionV>
            <wp:extent cx="641223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-445135</wp:posOffset>
            </wp:positionV>
            <wp:extent cx="641223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4"/>
        </w:trPr>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C Shares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Price</w:t>
            </w:r>
          </w:p>
        </w:tc>
        <w:tc>
          <w:tcPr>
            <w:tcW w:w="0" w:type="dxa"/>
            <w:vAlign w:val="bottom"/>
          </w:tcPr>
          <w:p>
            <w:pPr>
              <w:spacing w:after="0"/>
              <w:rPr>
                <w:sz w:val="1"/>
                <w:szCs w:val="1"/>
                <w:color w:val="auto"/>
              </w:rPr>
            </w:pPr>
          </w:p>
        </w:tc>
      </w:tr>
      <w:tr>
        <w:trPr>
          <w:trHeight w:val="407"/>
        </w:trPr>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821,146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862,203</w:t>
            </w:r>
          </w:p>
        </w:tc>
        <w:tc>
          <w:tcPr>
            <w:tcW w:w="4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747,203</w:t>
            </w:r>
          </w:p>
        </w:tc>
        <w:tc>
          <w:tcPr>
            <w:tcW w:w="460" w:type="dxa"/>
            <w:vAlign w:val="bottom"/>
            <w:gridSpan w:val="2"/>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years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years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2,758,643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2,748,093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ectPr>
          <w:pgSz w:w="11900" w:h="16838" w:orient="portrait"/>
          <w:cols w:equalWidth="0" w:num="3">
            <w:col w:w="3740" w:space="520"/>
            <w:col w:w="2760" w:space="300"/>
            <w:col w:w="3920"/>
          </w:cols>
          <w:pgMar w:left="320" w:top="661" w:right="339" w:bottom="1440" w:gutter="0" w:footer="0" w:header="0"/>
          <w:type w:val="continuous"/>
        </w:sectPr>
      </w:pPr>
    </w:p>
    <w:p>
      <w:pPr>
        <w:spacing w:after="0" w:line="16" w:lineRule="exact"/>
        <w:rPr>
          <w:sz w:val="20"/>
          <w:szCs w:val="20"/>
          <w:color w:val="auto"/>
        </w:rPr>
      </w:pPr>
    </w:p>
    <w:p>
      <w:pPr>
        <w:ind w:left="5540" w:right="4680" w:hanging="5532"/>
        <w:spacing w:after="0" w:line="532" w:lineRule="auto"/>
        <w:tabs>
          <w:tab w:leader="none" w:pos="3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$8.46 as of June 30, 2022 to derive intrinsic value.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29" w:name="page30"/>
    <w:bookmarkEnd w:id="2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compensation plans as of June 30, 2021, and the changes during the six months ended June 30, 2021, are presented below:</w:t>
      </w:r>
    </w:p>
    <w:p>
      <w:pPr>
        <w:sectPr>
          <w:pgSz w:w="11900" w:h="16838" w:orient="portrait"/>
          <w:cols w:equalWidth="0" w:num="1">
            <w:col w:w="11240"/>
          </w:cols>
          <w:pgMar w:left="320" w:top="877" w:right="33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Class A</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w:t>
            </w:r>
          </w:p>
        </w:tc>
        <w:tc>
          <w:tcPr>
            <w:tcW w:w="0" w:type="dxa"/>
            <w:vAlign w:val="bottom"/>
          </w:tcPr>
          <w:p>
            <w:pPr>
              <w:spacing w:after="0"/>
              <w:rPr>
                <w:sz w:val="1"/>
                <w:szCs w:val="1"/>
                <w:color w:val="auto"/>
              </w:rPr>
            </w:pPr>
          </w:p>
        </w:tc>
      </w:tr>
      <w:tr>
        <w:trPr>
          <w:trHeight w:val="40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effect of stock dividends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47,594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(97,313)</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June 30, 2021:</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1,023,144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June 30, 2021:</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2021</w:t>
            </w: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 years</w:t>
            </w:r>
          </w:p>
        </w:tc>
        <w:tc>
          <w:tcPr>
            <w:tcW w:w="0" w:type="dxa"/>
            <w:vAlign w:val="bottom"/>
          </w:tcPr>
          <w:p>
            <w:pPr>
              <w:spacing w:after="0"/>
              <w:rPr>
                <w:sz w:val="1"/>
                <w:szCs w:val="1"/>
                <w:color w:val="auto"/>
              </w:rPr>
            </w:pPr>
          </w:p>
        </w:tc>
      </w:tr>
      <w:tr>
        <w:trPr>
          <w:trHeight w:val="4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2021</w:t>
            </w: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 years</w:t>
            </w:r>
          </w:p>
        </w:tc>
        <w:tc>
          <w:tcPr>
            <w:tcW w:w="0" w:type="dxa"/>
            <w:vAlign w:val="bottom"/>
          </w:tcPr>
          <w:p>
            <w:pPr>
              <w:spacing w:after="0"/>
              <w:rPr>
                <w:sz w:val="1"/>
                <w:szCs w:val="1"/>
                <w:color w:val="auto"/>
              </w:rPr>
            </w:pPr>
          </w:p>
        </w:tc>
      </w:tr>
      <w:tr>
        <w:trPr>
          <w:trHeight w:val="4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Aggregated intrinsic value of options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4,135,399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2021 (1)</w:t>
            </w:r>
          </w:p>
        </w:tc>
        <w:tc>
          <w:tcPr>
            <w:tcW w:w="16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Aggregated intrinsic value of options</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260" w:type="dxa"/>
            <w:vAlign w:val="bottom"/>
            <w:vMerge w:val="continue"/>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4,135,399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2021 (1)</w:t>
            </w:r>
          </w:p>
        </w:tc>
        <w:tc>
          <w:tcPr>
            <w:tcW w:w="16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-3462655</wp:posOffset>
            </wp:positionV>
            <wp:extent cx="64122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641223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641223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641223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641223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641223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641223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641223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64122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641223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58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w w:val="97"/>
              </w:rPr>
              <w:t>Weighted</w:t>
            </w: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58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w w:val="98"/>
              </w:rPr>
              <w:t>Average</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Class C</w:t>
            </w: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0" w:type="dxa"/>
            <w:vAlign w:val="bottom"/>
          </w:tcPr>
          <w:p>
            <w:pPr>
              <w:spacing w:after="0"/>
              <w:rPr>
                <w:sz w:val="1"/>
                <w:szCs w:val="1"/>
                <w:color w:val="auto"/>
              </w:rPr>
            </w:pPr>
          </w:p>
        </w:tc>
      </w:tr>
      <w:tr>
        <w:trPr>
          <w:trHeight w:val="407"/>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662,666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0" w:type="dxa"/>
            <w:vAlign w:val="bottom"/>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695,802</w:t>
            </w:r>
          </w:p>
        </w:tc>
        <w:tc>
          <w:tcPr>
            <w:tcW w:w="0" w:type="dxa"/>
            <w:vAlign w:val="bottom"/>
          </w:tcPr>
          <w:p>
            <w:pPr>
              <w:spacing w:after="0"/>
              <w:rPr>
                <w:sz w:val="1"/>
                <w:szCs w:val="1"/>
                <w:color w:val="auto"/>
              </w:rPr>
            </w:pPr>
          </w:p>
        </w:tc>
      </w:tr>
      <w:tr>
        <w:trPr>
          <w:trHeight w:val="20"/>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 w:type="dxa"/>
            <w:vAlign w:val="bottom"/>
            <w:vMerge w:val="continue"/>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695,802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279,825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years</w:t>
            </w:r>
          </w:p>
        </w:tc>
        <w:tc>
          <w:tcPr>
            <w:tcW w:w="0" w:type="dxa"/>
            <w:vAlign w:val="bottom"/>
          </w:tcPr>
          <w:p>
            <w:pPr>
              <w:spacing w:after="0"/>
              <w:rPr>
                <w:sz w:val="1"/>
                <w:szCs w:val="1"/>
                <w:color w:val="auto"/>
              </w:rPr>
            </w:pPr>
          </w:p>
        </w:tc>
      </w:tr>
      <w:tr>
        <w:trPr>
          <w:trHeight w:val="648"/>
        </w:trPr>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years</w:t>
            </w:r>
          </w:p>
        </w:tc>
        <w:tc>
          <w:tcPr>
            <w:tcW w:w="0" w:type="dxa"/>
            <w:vAlign w:val="bottom"/>
          </w:tcPr>
          <w:p>
            <w:pPr>
              <w:spacing w:after="0"/>
              <w:rPr>
                <w:sz w:val="1"/>
                <w:szCs w:val="1"/>
                <w:color w:val="auto"/>
              </w:rPr>
            </w:pPr>
          </w:p>
        </w:tc>
      </w:tr>
      <w:tr>
        <w:trPr>
          <w:trHeight w:val="634"/>
        </w:trPr>
        <w:tc>
          <w:tcPr>
            <w:tcW w:w="10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2,585,420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2,585,420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210"/>
        <w:spacing w:after="0"/>
        <w:rPr>
          <w:sz w:val="20"/>
          <w:szCs w:val="20"/>
          <w:color w:val="auto"/>
        </w:rPr>
      </w:pPr>
      <w:r>
        <w:rPr>
          <w:rFonts w:ascii="Times New Roman" w:cs="Times New Roman" w:eastAsia="Times New Roman" w:hAnsi="Times New Roman"/>
          <w:sz w:val="18"/>
          <w:szCs w:val="18"/>
          <w:color w:val="auto"/>
        </w:rPr>
        <w:t>Weighted</w:t>
      </w:r>
    </w:p>
    <w:p>
      <w:pPr>
        <w:spacing w:after="0" w:line="27" w:lineRule="exact"/>
        <w:rPr>
          <w:sz w:val="20"/>
          <w:szCs w:val="20"/>
          <w:color w:val="auto"/>
        </w:rPr>
      </w:pPr>
    </w:p>
    <w:p>
      <w:pPr>
        <w:jc w:val="center"/>
        <w:ind w:right="1210"/>
        <w:spacing w:after="0"/>
        <w:rPr>
          <w:sz w:val="20"/>
          <w:szCs w:val="20"/>
          <w:color w:val="auto"/>
        </w:rPr>
      </w:pPr>
      <w:r>
        <w:rPr>
          <w:rFonts w:ascii="Times New Roman" w:cs="Times New Roman" w:eastAsia="Times New Roman" w:hAnsi="Times New Roman"/>
          <w:sz w:val="18"/>
          <w:szCs w:val="18"/>
          <w:color w:val="auto"/>
        </w:rPr>
        <w:t>Average</w:t>
      </w:r>
    </w:p>
    <w:p>
      <w:pPr>
        <w:spacing w:after="0" w:line="9" w:lineRule="exact"/>
        <w:rPr>
          <w:sz w:val="20"/>
          <w:szCs w:val="20"/>
          <w:color w:val="auto"/>
        </w:rPr>
      </w:pPr>
    </w:p>
    <w:p>
      <w:pPr>
        <w:jc w:val="center"/>
        <w:ind w:right="1210"/>
        <w:spacing w:after="0"/>
        <w:rPr>
          <w:sz w:val="20"/>
          <w:szCs w:val="20"/>
          <w:color w:val="auto"/>
        </w:rPr>
      </w:pPr>
      <w:r>
        <w:rPr>
          <w:rFonts w:ascii="Times New Roman" w:cs="Times New Roman" w:eastAsia="Times New Roman" w:hAnsi="Times New Roman"/>
          <w:sz w:val="18"/>
          <w:szCs w:val="18"/>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63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00" w:lineRule="exact"/>
        <w:rPr>
          <w:sz w:val="20"/>
          <w:szCs w:val="20"/>
          <w:color w:val="auto"/>
        </w:rPr>
      </w:pPr>
    </w:p>
    <w:p>
      <w:pPr>
        <w:ind w:left="890" w:hanging="890"/>
        <w:spacing w:after="0"/>
        <w:tabs>
          <w:tab w:leader="none" w:pos="8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90" w:hanging="890"/>
        <w:spacing w:after="0"/>
        <w:tabs>
          <w:tab w:leader="none" w:pos="8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890" w:hanging="890"/>
        <w:spacing w:after="0"/>
        <w:tabs>
          <w:tab w:leader="none" w:pos="8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w:t>
      </w:r>
    </w:p>
    <w:p>
      <w:pPr>
        <w:spacing w:after="0" w:line="3656" w:lineRule="exact"/>
        <w:rPr>
          <w:sz w:val="20"/>
          <w:szCs w:val="20"/>
          <w:color w:val="auto"/>
        </w:rPr>
      </w:pPr>
    </w:p>
    <w:p>
      <w:pPr>
        <w:sectPr>
          <w:pgSz w:w="11900" w:h="16838" w:orient="portrait"/>
          <w:cols w:equalWidth="0" w:num="3">
            <w:col w:w="5540" w:space="260"/>
            <w:col w:w="2720" w:space="290"/>
            <w:col w:w="2430"/>
          </w:cols>
          <w:pgMar w:left="320" w:top="877" w:right="339" w:bottom="1440" w:gutter="0" w:footer="0" w:header="0"/>
          <w:type w:val="continuous"/>
        </w:sectPr>
      </w:pPr>
    </w:p>
    <w:p>
      <w:pPr>
        <w:spacing w:after="0" w:line="25" w:lineRule="exact"/>
        <w:rPr>
          <w:sz w:val="20"/>
          <w:szCs w:val="20"/>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$8.33 as of June 30, 2021, which was the closing price of the Company’s Class A shares on Nasdaq for that day, to derive intrinsic value.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six months June 30, 2022 and 2021 was $521,527 and $434,318,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0" w:name="page31"/>
    <w:bookmarkEnd w:id="3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8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3,574,449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11,257,479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6,803,167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23,386,194</w:t>
            </w:r>
          </w:p>
        </w:tc>
        <w:tc>
          <w:tcPr>
            <w:tcW w:w="100" w:type="dxa"/>
            <w:vAlign w:val="bottom"/>
          </w:tcPr>
          <w:p>
            <w:pPr>
              <w:spacing w:after="0"/>
              <w:rPr>
                <w:sz w:val="22"/>
                <w:szCs w:val="22"/>
                <w:color w:val="auto"/>
              </w:rPr>
            </w:pPr>
          </w:p>
        </w:tc>
      </w:tr>
      <w:tr>
        <w:trPr>
          <w:trHeight w:val="197"/>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21,184,688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21,098,789</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21,282,747</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21,085,669</w:t>
            </w:r>
          </w:p>
        </w:tc>
        <w:tc>
          <w:tcPr>
            <w:tcW w:w="100" w:type="dxa"/>
            <w:vAlign w:val="bottom"/>
          </w:tcPr>
          <w:p>
            <w:pPr>
              <w:spacing w:after="0"/>
              <w:rPr>
                <w:sz w:val="18"/>
                <w:szCs w:val="18"/>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833,142</w:t>
            </w: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824,058</w:t>
            </w:r>
          </w:p>
        </w:tc>
        <w:tc>
          <w:tcPr>
            <w:tcW w:w="3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851,132</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867,350</w:t>
            </w:r>
          </w:p>
        </w:tc>
        <w:tc>
          <w:tcPr>
            <w:tcW w:w="100" w:type="dxa"/>
            <w:vAlign w:val="bottom"/>
          </w:tcPr>
          <w:p>
            <w:pPr>
              <w:spacing w:after="0"/>
              <w:rPr>
                <w:sz w:val="19"/>
                <w:szCs w:val="19"/>
                <w:color w:val="auto"/>
              </w:rPr>
            </w:pPr>
          </w:p>
        </w:tc>
      </w:tr>
      <w:tr>
        <w:trPr>
          <w:trHeight w:val="223"/>
        </w:trPr>
        <w:tc>
          <w:tcPr>
            <w:tcW w:w="38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5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22,017,830</w:t>
            </w:r>
          </w:p>
        </w:tc>
        <w:tc>
          <w:tcPr>
            <w:tcW w:w="3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21,922,847</w:t>
            </w:r>
          </w:p>
        </w:tc>
        <w:tc>
          <w:tcPr>
            <w:tcW w:w="320" w:type="dxa"/>
            <w:vAlign w:val="bottom"/>
          </w:tcPr>
          <w:p>
            <w:pPr>
              <w:spacing w:after="0"/>
              <w:rPr>
                <w:sz w:val="22"/>
                <w:szCs w:val="2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22,133,879</w:t>
            </w: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21,953,019</w:t>
            </w:r>
          </w:p>
        </w:tc>
        <w:tc>
          <w:tcPr>
            <w:tcW w:w="100" w:type="dxa"/>
            <w:vAlign w:val="bottom"/>
          </w:tcPr>
          <w:p>
            <w:pPr>
              <w:spacing w:after="0"/>
              <w:rPr>
                <w:sz w:val="22"/>
                <w:szCs w:val="22"/>
                <w:color w:val="auto"/>
              </w:rPr>
            </w:pPr>
          </w:p>
        </w:tc>
      </w:tr>
      <w:tr>
        <w:trPr>
          <w:trHeight w:val="197"/>
        </w:trPr>
        <w:tc>
          <w:tcPr>
            <w:tcW w:w="38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2"/>
                <w:szCs w:val="22"/>
                <w:color w:val="auto"/>
              </w:rPr>
            </w:pPr>
          </w:p>
        </w:tc>
      </w:tr>
      <w:tr>
        <w:trPr>
          <w:trHeight w:val="197"/>
        </w:trPr>
        <w:tc>
          <w:tcPr>
            <w:tcW w:w="38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June 30, 2022 and 2021, there were 52,500 and nil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Class C</w:t>
            </w:r>
          </w:p>
        </w:tc>
        <w:tc>
          <w:tcPr>
            <w:tcW w:w="2260" w:type="dxa"/>
            <w:vAlign w:val="bottom"/>
          </w:tcPr>
          <w:p>
            <w:pPr>
              <w:spacing w:after="0"/>
              <w:rPr>
                <w:sz w:val="24"/>
                <w:szCs w:val="24"/>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2020</w:t>
            </w:r>
          </w:p>
        </w:tc>
        <w:tc>
          <w:tcPr>
            <w:tcW w:w="3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16,595,783</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2,679,603</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80,948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2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836,263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131,554</w:t>
            </w:r>
          </w:p>
        </w:tc>
        <w:tc>
          <w:tcPr>
            <w:tcW w:w="2260" w:type="dxa"/>
            <w:vAlign w:val="bottom"/>
          </w:tcPr>
          <w:p>
            <w:pPr>
              <w:spacing w:after="0"/>
              <w:rPr>
                <w:sz w:val="18"/>
                <w:szCs w:val="18"/>
                <w:color w:val="auto"/>
              </w:rPr>
            </w:pPr>
          </w:p>
        </w:tc>
      </w:tr>
      <w:tr>
        <w:trPr>
          <w:trHeight w:val="22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2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48,527</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(48,527)</w:t>
            </w:r>
          </w:p>
        </w:tc>
        <w:tc>
          <w:tcPr>
            <w:tcW w:w="2260" w:type="dxa"/>
            <w:vAlign w:val="bottom"/>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June 30, 2021</w:t>
            </w:r>
          </w:p>
        </w:tc>
        <w:tc>
          <w:tcPr>
            <w:tcW w:w="2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17,561,521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2,762,630</w:t>
            </w:r>
          </w:p>
        </w:tc>
        <w:tc>
          <w:tcPr>
            <w:tcW w:w="2260" w:type="dxa"/>
            <w:vAlign w:val="bottom"/>
          </w:tcPr>
          <w:p>
            <w:pPr>
              <w:spacing w:after="0"/>
              <w:rPr>
                <w:sz w:val="18"/>
                <w:szCs w:val="18"/>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2021</w:t>
            </w:r>
          </w:p>
        </w:tc>
        <w:tc>
          <w:tcPr>
            <w:tcW w:w="2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17,642,722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2,866,565</w:t>
            </w:r>
          </w:p>
        </w:tc>
        <w:tc>
          <w:tcPr>
            <w:tcW w:w="226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69,096</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2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889,554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139,462</w:t>
            </w:r>
          </w:p>
        </w:tc>
        <w:tc>
          <w:tcPr>
            <w:tcW w:w="2260" w:type="dxa"/>
            <w:vAlign w:val="bottom"/>
          </w:tcPr>
          <w:p>
            <w:pPr>
              <w:spacing w:after="0"/>
              <w:rPr>
                <w:sz w:val="18"/>
                <w:szCs w:val="18"/>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2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77,316</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(77,316)</w:t>
            </w:r>
          </w:p>
        </w:tc>
        <w:tc>
          <w:tcPr>
            <w:tcW w:w="2260" w:type="dxa"/>
            <w:vAlign w:val="bottom"/>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June 30, 2022</w:t>
            </w:r>
          </w:p>
        </w:tc>
        <w:tc>
          <w:tcPr>
            <w:tcW w:w="2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18,678,688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2,928,711</w:t>
            </w:r>
          </w:p>
        </w:tc>
        <w:tc>
          <w:tcPr>
            <w:tcW w:w="2260" w:type="dxa"/>
            <w:vAlign w:val="bottom"/>
          </w:tcPr>
          <w:p>
            <w:pPr>
              <w:spacing w:after="0"/>
              <w:rPr>
                <w:sz w:val="18"/>
                <w:szCs w:val="18"/>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5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Significant Accounting Principles of the Form 10-K for the year ended December 31, 2021. Intersegment revenues are recorded at cost plus an agreed upon intercompany profit, and are eliminated upon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Cemetery/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Life Insurance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Mortuary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r>
      <w:tr>
        <w:trPr>
          <w:trHeight w:val="209"/>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41,166,269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7,291,018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47,109,367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95,566,654</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2,075,987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(2,238,964)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3,931,784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1,485,938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(687,876)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4,729,846</w:t>
            </w:r>
          </w:p>
        </w:tc>
      </w:t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Six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82,668,078</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14,754,212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100,570,271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197,992,561</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3,771,766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267,740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(4,192,041)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4,748,269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3,506,255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918,838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9,173,362</w:t>
            </w:r>
          </w:p>
        </w:tc>
      </w:t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1,229,780,002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78,739,030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250,312,796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(91,917,796)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1,466,914,032</w:t>
            </w:r>
          </w:p>
        </w:tc>
      </w:tr>
      <w:tr>
        <w:trPr>
          <w:trHeight w:val="22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2,488,213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23"/>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1,232,545,572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81,227,243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250,312,796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(91,917,796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1,472,167,815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0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2021</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40,657,393</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6,807,922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69,285,000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116,750,315</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1,750,929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(1,985,247)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4,694,177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2,269,325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7,713,850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14,677,352</w:t>
            </w:r>
          </w:p>
        </w:tc>
      </w:t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Six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2021</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79,601,227</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13,807,187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146,000,507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239,408,921</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3,652,981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155,809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(4,125,822)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7,389,205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4,970,270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18,672,932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31,032,407</w:t>
            </w:r>
          </w:p>
        </w:tc>
      </w:t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1,193,893,855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59,621,349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317,945,282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(72,923,887)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1,498,536,599</w:t>
            </w: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754,018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3,519,588</w:t>
            </w:r>
          </w:p>
        </w:tc>
      </w:tr>
      <w:tr>
        <w:trPr>
          <w:trHeight w:val="223"/>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1,196,659,425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60,375,367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317,945,282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(72,923,887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1,502,056,187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1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3" w:name="page34"/>
    <w:bookmarkEnd w:id="3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mutual funds and equity securities and fixed maturity securities that have quoted market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Call and Put Option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call and put options are based on quoted market prices.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right="7340" w:firstLine="8"/>
        <w:spacing w:after="0" w:line="499" w:lineRule="auto"/>
        <w:tabs>
          <w:tab w:leader="none" w:pos="1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 The items shown under Level 3 are valued as follows: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into loan commitments with potential borrowers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The Company believes that in an orderly market, fair value will approximate the replacement cost of a home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at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Quoted 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color w:val="auto"/>
                <w:w w:val="98"/>
              </w:rPr>
              <w:t>Active Markets</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9"/>
              </w:rPr>
              <w:t>for Identical</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61"/>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270,676,282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268,713,493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1,962,789</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11,198,403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11,198,403</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209,860,409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209,860,409</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1,851,887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1,851,887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3,741,011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3,741,011</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653,462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653,462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2,441,876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2,441,876</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9,864,213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9,864,213</w:t>
            </w:r>
          </w:p>
        </w:tc>
        <w:tc>
          <w:tcPr>
            <w:tcW w:w="80" w:type="dxa"/>
            <w:vAlign w:val="bottom"/>
            <w:shd w:val="clear" w:color="auto" w:fill="CCEEFF"/>
          </w:tcPr>
          <w:p>
            <w:pPr>
              <w:spacing w:after="0"/>
              <w:rPr>
                <w:sz w:val="19"/>
                <w:szCs w:val="19"/>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510,287,543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17,381,290</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271,218,842</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221,687,411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(13,683)</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(13,683)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(4)</w:t>
            </w:r>
          </w:p>
        </w:tc>
        <w:tc>
          <w:tcPr>
            <w:tcW w:w="22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(19,545)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(19,545)</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(2,420,571)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(2,420,571)</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(2,453,799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(33,228</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(2,420,571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center"/>
              <w:ind w:right="361"/>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center"/>
              <w:ind w:right="361"/>
              <w:spacing w:after="0"/>
              <w:rPr>
                <w:sz w:val="20"/>
                <w:szCs w:val="20"/>
                <w:color w:val="auto"/>
              </w:rPr>
            </w:pPr>
            <w:r>
              <w:rPr>
                <w:rFonts w:ascii="Times New Roman" w:cs="Times New Roman" w:eastAsia="Times New Roman" w:hAnsi="Times New Roman"/>
                <w:sz w:val="18"/>
                <w:szCs w:val="18"/>
                <w:color w:val="auto"/>
              </w:rPr>
              <w:t>Active Markets</w:t>
            </w:r>
          </w:p>
        </w:tc>
        <w:tc>
          <w:tcPr>
            <w:tcW w:w="16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501"/>
              <w:spacing w:after="0"/>
              <w:rPr>
                <w:sz w:val="20"/>
                <w:szCs w:val="20"/>
                <w:color w:val="auto"/>
              </w:rPr>
            </w:pPr>
            <w:r>
              <w:rPr>
                <w:rFonts w:ascii="Times New Roman" w:cs="Times New Roman" w:eastAsia="Times New Roman" w:hAnsi="Times New Roman"/>
                <w:sz w:val="18"/>
                <w:szCs w:val="18"/>
                <w:color w:val="auto"/>
                <w:w w:val="99"/>
              </w:rPr>
              <w:t>for Identical</w:t>
            </w:r>
          </w:p>
        </w:tc>
        <w:tc>
          <w:tcPr>
            <w:tcW w:w="160" w:type="dxa"/>
            <w:vAlign w:val="bottom"/>
          </w:tcPr>
          <w:p>
            <w:pPr>
              <w:spacing w:after="0"/>
              <w:rPr>
                <w:sz w:val="18"/>
                <w:szCs w:val="18"/>
                <w:color w:val="auto"/>
              </w:rPr>
            </w:pPr>
          </w:p>
        </w:tc>
        <w:tc>
          <w:tcPr>
            <w:tcW w:w="1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61"/>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259,287,603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257,264,255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11,596,414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11,596,414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302,776,827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302,776,827</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1,601,688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1,601,688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3,603,822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3,603,822</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784,765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784,765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3,302,480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3,302,480</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8,563,410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8,563,410</w:t>
            </w:r>
          </w:p>
        </w:tc>
        <w:tc>
          <w:tcPr>
            <w:tcW w:w="80" w:type="dxa"/>
            <w:vAlign w:val="bottom"/>
            <w:shd w:val="clear" w:color="auto" w:fill="CCEEFF"/>
          </w:tcPr>
          <w:p>
            <w:pPr>
              <w:spacing w:after="0"/>
              <w:rPr>
                <w:sz w:val="19"/>
                <w:szCs w:val="19"/>
                <w:color w:val="auto"/>
              </w:rPr>
            </w:pPr>
          </w:p>
        </w:tc>
      </w:tr>
      <w:tr>
        <w:trPr>
          <w:trHeight w:val="26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591,517,009</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18,502,716</w:t>
            </w:r>
          </w:p>
        </w:tc>
        <w:tc>
          <w:tcPr>
            <w:tcW w:w="4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259,650,708</w:t>
            </w:r>
          </w:p>
        </w:tc>
        <w:tc>
          <w:tcPr>
            <w:tcW w:w="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313,363,585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4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(50,936)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(50,936)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(4)</w:t>
            </w:r>
          </w:p>
        </w:tc>
        <w:tc>
          <w:tcPr>
            <w:tcW w:w="22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(4,493)</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(1,547,895)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(1,547,895)</w:t>
            </w: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(1,603,324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(55,429</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(1,547,895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June 30, 2022, the significant unobservable inputs used in the fair value measurements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color w:val="auto"/>
              </w:rPr>
              <w:t>Range of Inputs</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Fair Value at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Valuation</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Unobservable</w:t>
            </w:r>
          </w:p>
        </w:tc>
        <w:tc>
          <w:tcPr>
            <w:tcW w:w="220" w:type="dxa"/>
            <w:vAlign w:val="bottom"/>
          </w:tcPr>
          <w:p>
            <w:pPr>
              <w:spacing w:after="0"/>
              <w:rPr>
                <w:sz w:val="16"/>
                <w:szCs w:val="16"/>
                <w:color w:val="auto"/>
              </w:rPr>
            </w:pPr>
          </w:p>
        </w:tc>
        <w:tc>
          <w:tcPr>
            <w:tcW w:w="100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Minimum</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Maximum</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6"/>
              </w:rPr>
              <w:t>Weighted</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6/30/2022</w:t>
            </w: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Technique</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Value</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Value</w:t>
            </w:r>
          </w:p>
        </w:tc>
        <w:tc>
          <w:tcPr>
            <w:tcW w:w="6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5"/>
              </w:rPr>
              <w:t>Average</w:t>
            </w:r>
          </w:p>
        </w:tc>
        <w:tc>
          <w:tcPr>
            <w:tcW w:w="0" w:type="dxa"/>
            <w:vAlign w:val="bottom"/>
          </w:tcPr>
          <w:p>
            <w:pPr>
              <w:spacing w:after="0"/>
              <w:rPr>
                <w:sz w:val="1"/>
                <w:szCs w:val="1"/>
                <w:color w:val="auto"/>
              </w:rPr>
            </w:pPr>
          </w:p>
        </w:tc>
      </w:tr>
      <w:tr>
        <w:trPr>
          <w:trHeight w:val="185"/>
        </w:trPr>
        <w:tc>
          <w:tcPr>
            <w:tcW w:w="2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7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contract pricing as a percentage</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$ 209,860,409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 approach</w:t>
            </w: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 unpaid principal balance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 - loan commitments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7,443,642</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 approach</w:t>
            </w: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Pull-through rate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Initial-Value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Servicing</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 bps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167 bps</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 bps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maturity securities available for</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1,962,789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Broker quotes</w:t>
            </w: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Pricing quotes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96.87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111.11</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104.86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2021, the significant unobservable inputs used in the fair value measurements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color w:val="auto"/>
              </w:rPr>
              <w:t>Range of Inputs</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Fair Value at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Valuation</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Unobservable</w:t>
            </w:r>
          </w:p>
        </w:tc>
        <w:tc>
          <w:tcPr>
            <w:tcW w:w="220" w:type="dxa"/>
            <w:vAlign w:val="bottom"/>
          </w:tcPr>
          <w:p>
            <w:pPr>
              <w:spacing w:after="0"/>
              <w:rPr>
                <w:sz w:val="16"/>
                <w:szCs w:val="16"/>
                <w:color w:val="auto"/>
              </w:rPr>
            </w:pPr>
          </w:p>
        </w:tc>
        <w:tc>
          <w:tcPr>
            <w:tcW w:w="100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Minimum</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Maximum</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6"/>
              </w:rPr>
              <w:t>Weighted</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12/31/2021</w:t>
            </w: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Technique</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Value</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Value</w:t>
            </w:r>
          </w:p>
        </w:tc>
        <w:tc>
          <w:tcPr>
            <w:tcW w:w="6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5"/>
              </w:rPr>
              <w:t>Average</w:t>
            </w:r>
          </w:p>
        </w:tc>
        <w:tc>
          <w:tcPr>
            <w:tcW w:w="0" w:type="dxa"/>
            <w:vAlign w:val="bottom"/>
          </w:tcPr>
          <w:p>
            <w:pPr>
              <w:spacing w:after="0"/>
              <w:rPr>
                <w:sz w:val="1"/>
                <w:szCs w:val="1"/>
                <w:color w:val="auto"/>
              </w:rPr>
            </w:pPr>
          </w:p>
        </w:tc>
      </w:tr>
      <w:tr>
        <w:trPr>
          <w:trHeight w:val="185"/>
        </w:trPr>
        <w:tc>
          <w:tcPr>
            <w:tcW w:w="2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7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contract pricing as a percentage</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$ 302,776,827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 approach</w:t>
            </w: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 unpaid principal balance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 - loan commitments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7,015,515</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 approach</w:t>
            </w: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Pull-through rate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Initial-Value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Servicing</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 bps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 bps</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 bps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maturity securities available for</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2,023,348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Broker quotes</w:t>
            </w: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Pricing quotes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96.87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111.11</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106.73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six months ending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Net Loan</w:t>
            </w:r>
          </w:p>
        </w:tc>
        <w:tc>
          <w:tcPr>
            <w:tcW w:w="20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Loans Held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Securities</w:t>
            </w:r>
          </w:p>
        </w:tc>
      </w:tr>
      <w:tr>
        <w:trPr>
          <w:trHeight w:val="234"/>
        </w:trPr>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Commitments</w:t>
            </w:r>
          </w:p>
        </w:tc>
        <w:tc>
          <w:tcPr>
            <w:tcW w:w="200" w:type="dxa"/>
            <w:vAlign w:val="bottom"/>
          </w:tcPr>
          <w:p>
            <w:pPr>
              <w:spacing w:after="0"/>
              <w:rPr>
                <w:sz w:val="20"/>
                <w:szCs w:val="20"/>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for Sale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Available for Sale</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7,015,515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302,776,827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2,049,959,460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(2,187,475,867)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(24,350)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428,127(1)</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44,599,989(1)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1,957(2)</w:t>
            </w: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(38,166)</w:t>
            </w:r>
          </w:p>
        </w:tc>
      </w:tr>
      <w:tr>
        <w:trPr>
          <w:trHeight w:val="229"/>
        </w:trPr>
        <w:tc>
          <w:tcPr>
            <w:tcW w:w="47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7,443,642</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209,860,409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1,962,789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six months ending June 30,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Net Loan</w:t>
            </w:r>
          </w:p>
        </w:tc>
        <w:tc>
          <w:tcPr>
            <w:tcW w:w="22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Loans Held</w:t>
            </w:r>
          </w:p>
        </w:tc>
        <w:tc>
          <w:tcPr>
            <w:tcW w:w="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Securities</w:t>
            </w:r>
          </w:p>
        </w:tc>
      </w:tr>
      <w:tr>
        <w:trPr>
          <w:trHeight w:val="234"/>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tcPr>
          <w:p>
            <w:pPr>
              <w:spacing w:after="0"/>
              <w:rPr>
                <w:sz w:val="20"/>
                <w:szCs w:val="20"/>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for Sale</w:t>
            </w:r>
          </w:p>
        </w:tc>
        <w:tc>
          <w:tcPr>
            <w:tcW w:w="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Available for Sale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10,128,610</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422,772,418</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2,201,175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6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2,810,230,507</w:t>
            </w:r>
          </w:p>
        </w:tc>
        <w:tc>
          <w:tcPr>
            <w:tcW w:w="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(3,025,027,077)</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(22,400)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16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(201,951)</w:t>
            </w:r>
          </w:p>
        </w:tc>
        <w:tc>
          <w:tcPr>
            <w:tcW w:w="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6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(168,397)(1)</w:t>
            </w: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88,954,189(1)</w:t>
            </w:r>
          </w:p>
        </w:tc>
        <w:tc>
          <w:tcPr>
            <w:tcW w:w="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45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23"/>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9,960,213</w:t>
            </w: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296,728,086</w:t>
            </w: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2,180,828</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783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months ending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Net Loan</w:t>
            </w:r>
          </w:p>
        </w:tc>
        <w:tc>
          <w:tcPr>
            <w:tcW w:w="20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Loans Held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Securities</w:t>
            </w:r>
          </w:p>
        </w:tc>
      </w:tr>
      <w:tr>
        <w:trPr>
          <w:trHeight w:val="234"/>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Commitments</w:t>
            </w:r>
          </w:p>
        </w:tc>
        <w:tc>
          <w:tcPr>
            <w:tcW w:w="200" w:type="dxa"/>
            <w:vAlign w:val="bottom"/>
          </w:tcPr>
          <w:p>
            <w:pPr>
              <w:spacing w:after="0"/>
              <w:rPr>
                <w:sz w:val="20"/>
                <w:szCs w:val="20"/>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for Sale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Available for Sale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9,690,886</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234,012,872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2,011,772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6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1,010,742,878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(1,055,390,037)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(12,400)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(2,247,244)(1)</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20,494,696(1)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(37,579)</w:t>
            </w:r>
          </w:p>
        </w:tc>
      </w:tr>
      <w:tr>
        <w:trPr>
          <w:trHeight w:val="229"/>
        </w:trPr>
        <w:tc>
          <w:tcPr>
            <w:tcW w:w="45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7,443,642</w:t>
            </w:r>
          </w:p>
        </w:tc>
        <w:tc>
          <w:tcPr>
            <w:tcW w:w="5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209,860,409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1,962,789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months ending June 30,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Net Loan</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w:t>
            </w:r>
          </w:p>
        </w:tc>
      </w:tr>
      <w:tr>
        <w:trPr>
          <w:trHeight w:val="234"/>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Commitments</w:t>
            </w: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Loans Held for Sale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for Sale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10,443,076</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304,030,372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2,191,093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6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1,360,389,498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(1,410,147,019)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(11,300)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(482,863)(1)</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42,455,235(1)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45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9,960,213</w:t>
            </w:r>
          </w:p>
        </w:tc>
        <w:tc>
          <w:tcPr>
            <w:tcW w:w="5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296,728,086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2,180,828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nonrecurring basis by their classification in the condensed consolidated balance sheet at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Active Markets</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for Identical</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78"/>
        </w:trPr>
        <w:tc>
          <w:tcPr>
            <w:tcW w:w="40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 nonrecurring</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basis</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580,714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580,714</w:t>
            </w:r>
          </w:p>
        </w:tc>
      </w:tr>
      <w:tr>
        <w:trPr>
          <w:trHeight w:val="178"/>
        </w:trPr>
        <w:tc>
          <w:tcPr>
            <w:tcW w:w="40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basis</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580,714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580,714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nonrecurring basis by their classification in the condensed consolidated balance sheet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Active Markets</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Significant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for Identical</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Unobservable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Inputs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 nonrecurring</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basis</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851,903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851,903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real estate held for sale</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basis</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2,851,903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2,851,903</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June 30, 2022 and December 31,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38,609,423</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37,669,281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37,669,281</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202,529,166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202,529,166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202,529,166</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33,553,037</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33,070,818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33,070,818</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274,691,626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273,269,265</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273,269,265</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13,130,188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13,130,188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13,130,188</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41,514,424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41,514,424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41,514,424</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2,284,145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2,284,145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2,284,145</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2,275,145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2,275,145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2,275,145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56,289,255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95,644,506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95,644,506</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(200,344,907)</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(200,344,907)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(200,344,907)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(42,060,137)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(35,231,639)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(35,231,639)</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(106,972,838)</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(115,674,814)</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(115,674,814)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3"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condensed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51,396,172</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55,159,167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55,159,167</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174,691,408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174,691,408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174,691,408</w:t>
            </w: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51,218,466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51,008,709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51,008,709</w:t>
            </w: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277,306,046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280,859,284</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280,859,284</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13,478,214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13,478,214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13,478,214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46,946,590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46,946,590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46,946,590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2,732,320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2,732,320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2,732,320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1,823,533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1,823,533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1,823,533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53,060,455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68,811,809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68,811,809</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(251,286,927)</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(251,286,927)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(251,286,927)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(42,939,055)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(35,855,934)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(35,855,934)</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(107,992,830)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(116,215,717)</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(116,215,717)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3"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condensed consolidated balance sheets</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are primarily short in maturity.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condensed consolidated balance sheet for these financial instruments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because they are fully collateralized by the cash surrender value of the underlying insurance policies.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are primarily short in maturity, accordingly, the carrying amounts reported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 for these financial instruments approximate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these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200" w:hanging="192"/>
        <w:spacing w:after="0"/>
        <w:tabs>
          <w:tab w:leader="none" w:pos="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Allowance for Doubtful Accounts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an allowance and recognizes an expense for potential losses from other investments and receivables in accordance with generally accepted accounting principles.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80" w:lineRule="exact"/>
        <w:rPr>
          <w:sz w:val="20"/>
          <w:szCs w:val="20"/>
          <w:color w:val="auto"/>
        </w:rPr>
      </w:pPr>
    </w:p>
    <w:p>
      <w:pPr>
        <w:ind w:left="300" w:hanging="292"/>
        <w:spacing w:after="0"/>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300" w:hanging="292"/>
        <w:spacing w:after="0"/>
        <w:tabs>
          <w:tab w:leader="none" w:pos="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 (Continued)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Sale Commitments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 and Put Options Derivatives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Balance Sheet</w:t>
            </w:r>
          </w:p>
        </w:tc>
        <w:tc>
          <w:tcPr>
            <w:tcW w:w="2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June 30, 2022</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Pr>
          <w:p>
            <w:pPr>
              <w:spacing w:after="0"/>
              <w:rPr>
                <w:sz w:val="16"/>
                <w:szCs w:val="16"/>
                <w:color w:val="auto"/>
              </w:rPr>
            </w:pPr>
          </w:p>
        </w:tc>
        <w:tc>
          <w:tcPr>
            <w:tcW w:w="1120" w:type="dxa"/>
            <w:vAlign w:val="bottom"/>
            <w:gridSpan w:val="2"/>
          </w:tcPr>
          <w:p>
            <w:pPr>
              <w:jc w:val="right"/>
              <w:ind w:right="32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280" w:type="dxa"/>
            <w:vAlign w:val="bottom"/>
          </w:tcPr>
          <w:p>
            <w:pPr>
              <w:spacing w:after="0"/>
              <w:rPr>
                <w:sz w:val="16"/>
                <w:szCs w:val="16"/>
                <w:color w:val="auto"/>
              </w:rPr>
            </w:pPr>
          </w:p>
        </w:tc>
        <w:tc>
          <w:tcPr>
            <w:tcW w:w="114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7"/>
              </w:rPr>
              <w:t>Asset Fair</w:t>
            </w:r>
          </w:p>
        </w:tc>
        <w:tc>
          <w:tcPr>
            <w:tcW w:w="20" w:type="dxa"/>
            <w:vAlign w:val="bottom"/>
          </w:tcPr>
          <w:p>
            <w:pPr>
              <w:spacing w:after="0"/>
              <w:rPr>
                <w:sz w:val="16"/>
                <w:szCs w:val="16"/>
                <w:color w:val="auto"/>
              </w:rPr>
            </w:pPr>
          </w:p>
        </w:tc>
        <w:tc>
          <w:tcPr>
            <w:tcW w:w="8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Location</w:t>
            </w:r>
          </w:p>
        </w:tc>
        <w:tc>
          <w:tcPr>
            <w:tcW w:w="2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Value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178"/>
        </w:trPr>
        <w:tc>
          <w:tcPr>
            <w:tcW w:w="2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1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2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Other</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$ 692,681,295</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$ 9,864,213</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$ 2,420,571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$ 862,568,967</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$ 8,563,410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$ 1,547,895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options</w:t>
            </w: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696,900</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13,683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982,500</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50,936</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Put options</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482,500</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19,545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362,900</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693,860,695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$ 9,864,213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$ 2,453,799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863,914,367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$ 8,563,410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$ 1,603,324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5" w:name="page46"/>
    <w:bookmarkEnd w:id="4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300" w:hanging="292"/>
        <w:spacing w:after="0"/>
        <w:tabs>
          <w:tab w:leader="none" w:pos="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Derivative</w:t>
            </w:r>
          </w:p>
        </w:tc>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Classification</w:t>
            </w:r>
          </w:p>
        </w:tc>
      </w:tr>
      <w:tr>
        <w:trPr>
          <w:trHeight w:val="228"/>
        </w:trPr>
        <w:tc>
          <w:tcPr>
            <w:tcW w:w="2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20" w:type="dxa"/>
            <w:vAlign w:val="bottom"/>
          </w:tcPr>
          <w:p>
            <w:pPr>
              <w:spacing w:after="0"/>
              <w:rPr>
                <w:sz w:val="19"/>
                <w:szCs w:val="19"/>
                <w:color w:val="auto"/>
              </w:rPr>
            </w:pPr>
          </w:p>
        </w:tc>
        <w:tc>
          <w:tcPr>
            <w:tcW w:w="2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Mortgage fee income</w:t>
            </w:r>
          </w:p>
        </w:tc>
      </w:tr>
      <w:tr>
        <w:trPr>
          <w:trHeight w:val="463"/>
        </w:trPr>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on investments and other</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 and put options</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r>
    </w:tbl>
    <w:p>
      <w:pPr>
        <w:spacing w:after="0" w:line="265" w:lineRule="exact"/>
        <w:rPr>
          <w:sz w:val="20"/>
          <w:szCs w:val="20"/>
          <w:color w:val="auto"/>
        </w:rPr>
      </w:pPr>
    </w:p>
    <w:p>
      <w:pPr>
        <w:ind w:left="280" w:hanging="272"/>
        <w:spacing w:after="0"/>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70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color w:val="auto"/>
              </w:rPr>
              <w:t>Net Amount Gain (Loss)</w:t>
            </w:r>
          </w:p>
        </w:tc>
        <w:tc>
          <w:tcPr>
            <w:tcW w:w="220" w:type="dxa"/>
            <w:vAlign w:val="bottom"/>
          </w:tcPr>
          <w:p>
            <w:pPr>
              <w:spacing w:after="0"/>
              <w:rPr>
                <w:sz w:val="18"/>
                <w:szCs w:val="18"/>
                <w:color w:val="auto"/>
              </w:rPr>
            </w:pPr>
          </w:p>
        </w:tc>
        <w:tc>
          <w:tcPr>
            <w:tcW w:w="23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rPr>
              <w:t>Net Amount Gain (Loss)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700" w:type="dxa"/>
            <w:vAlign w:val="bottom"/>
            <w:gridSpan w:val="5"/>
          </w:tcPr>
          <w:p>
            <w:pPr>
              <w:jc w:val="right"/>
              <w:ind w:right="77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34"/>
        </w:trPr>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(2,247,244</w:t>
            </w:r>
          </w:p>
        </w:tc>
        <w:tc>
          <w:tcPr>
            <w:tcW w:w="34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(482,863</w:t>
            </w:r>
          </w:p>
        </w:tc>
        <w:tc>
          <w:tcPr>
            <w:tcW w:w="340" w:type="dxa"/>
            <w:vAlign w:val="bottom"/>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428,127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(168,397</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65,033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88,522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126,229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115,285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-642620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-316230</wp:posOffset>
            </wp:positionV>
            <wp:extent cx="713232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5320" w:space="360"/>
            <w:col w:w="5560"/>
          </w:cols>
          <w:pgMar w:left="320" w:top="661"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$100,000,000 line of credit with Wells Fargo Bank N.A. The agreement charges interest at the 1-Month SOFR rate plus 2.1% and matures on June 2, 2023.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Texas Capital Bank N.A. This agreement with the bank allows SecurityNational Mortgage to borrow up to $100,000,000 for the sole purpose of funding mortgage loans. The agreement charges interest at the 1-Month LIBOR rate plus 2% and matures on November 9, 2022.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Comerica Bank. This agreement with the bank allows SecurityNational Mortgage to borrow up to $75,000,000 for the sole purpose of funding mortgage loans. The agreement charges interest at the 1-Month SOFR rate plus 2.50% and matures on May 26, 2023.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46" w:name="page47"/>
    <w:bookmarkEnd w:id="4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U.S Bank. This agreement with the bank allows SecurityNational Mortgage to borrow up to $100,000,000 for the sole purpose of funding mortgage loans. The agreement charges interest at 2.10% plus the greater of (i) 0%, and (ii) the one-month forward-looking term rate based on SOFR and matures on June 2,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for warehouse lines include cross default provisions in that a covenant violation under one agreement constitutes a covenant violation under the other agreement. As of June 30, 2022, the Company was in compliance with all debt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commitments to fund construction and land development loans and has also provided financing for land acquisition and development. As of June 30, 2022, the Company’s commitments were approximately $328,580,000 for these loans, of which $207,689,514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5.25% to 8.00% per annum. Maturities range between six and eighteen months.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defendant in various other legal actions arising from the normal conduct of business. Management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300" w:hanging="292"/>
        <w:spacing w:after="0"/>
        <w:tabs>
          <w:tab w:leader="none" w:pos="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records these MSRs at fair value as discussed in Note 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As of June 30</w:t>
            </w:r>
          </w:p>
        </w:tc>
        <w:tc>
          <w:tcPr>
            <w:tcW w:w="180" w:type="dxa"/>
            <w:vAlign w:val="bottom"/>
          </w:tcPr>
          <w:p>
            <w:pPr>
              <w:spacing w:after="0"/>
              <w:rPr>
                <w:sz w:val="24"/>
                <w:szCs w:val="24"/>
                <w:color w:val="auto"/>
              </w:rPr>
            </w:pP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4"/>
        </w:trPr>
        <w:tc>
          <w:tcPr>
            <w:tcW w:w="5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53,060,455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35,210,516</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9,066,637</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32,701,819</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(1)</w:t>
            </w:r>
          </w:p>
        </w:tc>
        <w:tc>
          <w:tcPr>
            <w:tcW w:w="28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(5,837,837)</w:t>
            </w:r>
          </w:p>
        </w:tc>
        <w:tc>
          <w:tcPr>
            <w:tcW w:w="18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(14,851,880)</w:t>
            </w: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09"/>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56,289,255</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53,060,455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56,289,255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53,060,455</w:t>
            </w:r>
          </w:p>
        </w:tc>
        <w:tc>
          <w:tcPr>
            <w:tcW w:w="60" w:type="dxa"/>
            <w:vAlign w:val="bottom"/>
          </w:tcPr>
          <w:p>
            <w:pPr>
              <w:spacing w:after="0"/>
              <w:rPr>
                <w:sz w:val="24"/>
                <w:szCs w:val="24"/>
                <w:color w:val="auto"/>
              </w:rPr>
            </w:pPr>
          </w:p>
        </w:tc>
      </w:tr>
      <w:tr>
        <w:trPr>
          <w:trHeight w:val="197"/>
        </w:trPr>
        <w:tc>
          <w:tcPr>
            <w:tcW w:w="5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95,644,506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68,811,809</w:t>
            </w:r>
          </w:p>
        </w:tc>
        <w:tc>
          <w:tcPr>
            <w:tcW w:w="6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080" w:hanging="5532"/>
        <w:spacing w:after="0" w:line="409" w:lineRule="auto"/>
        <w:tabs>
          <w:tab w:leader="none" w:pos="33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300" w:hanging="292"/>
        <w:spacing w:after="0"/>
        <w:tabs>
          <w:tab w:leader="none" w:pos="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Company’s estimate of future amortization of its existing MSRs carried at amortized cost. This projection was developed using the assumptions made by management in its June 30, 2022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Estimated MSR</w:t>
            </w:r>
          </w:p>
        </w:tc>
      </w:t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09"/>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6,184,893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5,460,823</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4,983,934</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4,490,584</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4,050,463</w:t>
            </w:r>
          </w:p>
        </w:tc>
      </w:t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31,118,558</w:t>
            </w:r>
          </w:p>
        </w:tc>
      </w:tr>
      <w:tr>
        <w:trPr>
          <w:trHeight w:val="223"/>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56,289,255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condensed consolidated statement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8"/>
                <w:szCs w:val="18"/>
                <w:color w:val="auto"/>
              </w:rPr>
            </w:pPr>
          </w:p>
        </w:tc>
        <w:tc>
          <w:tcPr>
            <w:tcW w:w="21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4,694,969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3,755,294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9,201,229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7,142,765</w:t>
            </w:r>
          </w:p>
        </w:tc>
        <w:tc>
          <w:tcPr>
            <w:tcW w:w="60" w:type="dxa"/>
            <w:vAlign w:val="bottom"/>
            <w:shd w:val="clear" w:color="auto" w:fill="CCEEFF"/>
          </w:tcPr>
          <w:p>
            <w:pPr>
              <w:spacing w:after="0"/>
              <w:rPr>
                <w:sz w:val="18"/>
                <w:szCs w:val="18"/>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81,597</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74,437</w:t>
            </w: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181,635</w:t>
            </w: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155,487</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4,776,566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3,829,731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9,382,864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7,298,252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 of June 30</w:t>
            </w:r>
          </w:p>
        </w:tc>
        <w:tc>
          <w:tcPr>
            <w:tcW w:w="1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 of December</w:t>
            </w:r>
          </w:p>
        </w:tc>
      </w:tr>
      <w:tr>
        <w:trPr>
          <w:trHeight w:val="234"/>
        </w:trPr>
        <w:tc>
          <w:tcPr>
            <w:tcW w:w="392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4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31 2021</w:t>
            </w:r>
          </w:p>
        </w:tc>
        <w:tc>
          <w:tcPr>
            <w:tcW w:w="40" w:type="dxa"/>
            <w:vAlign w:val="bottom"/>
          </w:tcPr>
          <w:p>
            <w:pPr>
              <w:spacing w:after="0"/>
              <w:rPr>
                <w:sz w:val="20"/>
                <w:szCs w:val="20"/>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7,502,116,963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7,060,536,350</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Prepayment</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Average</w:t>
            </w:r>
          </w:p>
        </w:tc>
        <w:tc>
          <w:tcPr>
            <w:tcW w:w="1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Discount</w:t>
            </w:r>
          </w:p>
        </w:tc>
        <w:tc>
          <w:tcPr>
            <w:tcW w:w="450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Speeds</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Life (Years)</w:t>
            </w:r>
          </w:p>
        </w:tc>
        <w:tc>
          <w:tcPr>
            <w:tcW w:w="18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Rate</w:t>
            </w:r>
          </w:p>
        </w:tc>
        <w:tc>
          <w:tcPr>
            <w:tcW w:w="4500" w:type="dxa"/>
            <w:vAlign w:val="bottom"/>
          </w:tcPr>
          <w:p>
            <w:pPr>
              <w:spacing w:after="0"/>
              <w:rPr>
                <w:sz w:val="20"/>
                <w:szCs w:val="20"/>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50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500" w:type="dxa"/>
            <w:vAlign w:val="bottom"/>
          </w:tcPr>
          <w:p>
            <w:pPr>
              <w:spacing w:after="0"/>
              <w:rPr>
                <w:sz w:val="20"/>
                <w:szCs w:val="20"/>
                <w:color w:val="auto"/>
              </w:rPr>
            </w:pPr>
          </w:p>
        </w:tc>
      </w:tr>
      <w:tr>
        <w:trPr>
          <w:trHeight w:val="421"/>
        </w:trPr>
        <w:tc>
          <w:tcPr>
            <w:tcW w:w="3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48</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9" w:name="page50"/>
    <w:bookmarkEnd w:id="4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300" w:hanging="292"/>
        <w:spacing w:after="0"/>
        <w:tabs>
          <w:tab w:leader="none" w:pos="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overall effective tax rate for the three months ended June 30, 2022 and 2021 was 24.4% and 23.3%, respectively, which resulted in a provision for income taxes of $1,155,397 and $3,419,873, respectively. The Company’s overall effective tax rate for the six months ended June 30, 2022 and 2021 was 25.8% and 24.6%, respectively, which resulted in a provision for income taxes of $2,370,195 and $7,646,213, respectively. The Company’s effective tax rates differ from the U.S. federal statutory rate of 21% partially due to its provision for state income taxes. The increase in the effective tax rate when compared to the prior year is partially due to a larger increase to the valuation allowance in the current period when compared to the prior period year.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ind w:left="300" w:hanging="292"/>
        <w:spacing w:after="0"/>
        <w:tabs>
          <w:tab w:leader="none" w:pos="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Deferred pre-need land revenue is not placed in trust.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300" w:hanging="292"/>
        <w:spacing w:after="0"/>
        <w:tabs>
          <w:tab w:leader="none" w:pos="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Contract Balances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(1)</w:t>
            </w:r>
          </w:p>
        </w:tc>
        <w:tc>
          <w:tcPr>
            <w:tcW w:w="14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Contract Asset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(1/1/2022)</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5,298,636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Closing (6/30/2022)</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5,667,019</w:t>
            </w:r>
          </w:p>
        </w:tc>
        <w:tc>
          <w:tcPr>
            <w:tcW w:w="140" w:type="dxa"/>
            <w:vAlign w:val="bottom"/>
          </w:tcPr>
          <w:p>
            <w:pPr>
              <w:spacing w:after="0"/>
              <w:rPr>
                <w:sz w:val="19"/>
                <w:szCs w:val="19"/>
                <w:color w:val="auto"/>
              </w:rPr>
            </w:pPr>
          </w:p>
        </w:tc>
        <w:tc>
          <w:tcPr>
            <w:tcW w:w="17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15,519,297</w:t>
            </w:r>
          </w:p>
        </w:tc>
      </w:tr>
      <w:tr>
        <w:trPr>
          <w:trHeight w:val="223"/>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5"/>
              </w:rPr>
              <w:t>368,383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2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Contract Balances</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(1)</w:t>
            </w:r>
          </w:p>
        </w:tc>
        <w:tc>
          <w:tcPr>
            <w:tcW w:w="14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Contract Asset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(1/1/2021)</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4"/>
              </w:rPr>
              <w:t>4,119,988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13,080,179</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Closing (12/31/2021)</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5,298,636</w:t>
            </w:r>
          </w:p>
        </w:tc>
        <w:tc>
          <w:tcPr>
            <w:tcW w:w="140" w:type="dxa"/>
            <w:vAlign w:val="bottom"/>
          </w:tcPr>
          <w:p>
            <w:pPr>
              <w:spacing w:after="0"/>
              <w:rPr>
                <w:sz w:val="19"/>
                <w:szCs w:val="19"/>
                <w:color w:val="auto"/>
              </w:rPr>
            </w:pPr>
          </w:p>
        </w:tc>
        <w:tc>
          <w:tcPr>
            <w:tcW w:w="17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14,508,022</w:t>
            </w:r>
          </w:p>
        </w:tc>
      </w:tr>
      <w:tr>
        <w:trPr>
          <w:trHeight w:val="223"/>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1,178,648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Receivables, net on the condensed consolidated balance sheets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 months ended June 30, 2022 and 2021 was $1,526,324 and $1,309,936, respectively, and for the six months ended June 30, 2022 and 2021 was $2,590,428 and $2,444,937,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color w:val="auto"/>
              </w:rPr>
              <w:t>June 30</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Major goods/service lines</w:t>
            </w:r>
          </w:p>
        </w:tc>
        <w:tc>
          <w:tcPr>
            <w:tcW w:w="1420" w:type="dxa"/>
            <w:vAlign w:val="bottom"/>
            <w:tcBorders>
              <w:bottom w:val="single" w:sz="8" w:color="CCEEFF"/>
            </w:tcBorders>
            <w:gridSpan w:val="2"/>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At-need</w:t>
            </w:r>
          </w:p>
        </w:tc>
        <w:tc>
          <w:tcPr>
            <w:tcW w:w="10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5,598,109</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4,001,408</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11,464,987</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8,043,428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1,652,394</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2,316,990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2,991,237</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4,217,096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7,250,503</w:t>
            </w: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6,318,398</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14,456,224</w:t>
            </w:r>
          </w:p>
        </w:tc>
        <w:tc>
          <w:tcPr>
            <w:tcW w:w="3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12,260,524</w:t>
            </w:r>
          </w:p>
        </w:tc>
        <w:tc>
          <w:tcPr>
            <w:tcW w:w="100" w:type="dxa"/>
            <w:vAlign w:val="bottom"/>
            <w:tcBorders>
              <w:bottom w:val="single" w:sz="8" w:color="CCEEFF"/>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0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4,594,656</w:t>
            </w:r>
          </w:p>
        </w:tc>
        <w:tc>
          <w:tcPr>
            <w:tcW w:w="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4,552,154</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8,775,201</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8,750,827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2,655,847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1,766,244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5,681,023</w:t>
            </w:r>
          </w:p>
        </w:tc>
        <w:tc>
          <w:tcPr>
            <w:tcW w:w="4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3,509,697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7,250,503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6,318,398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14,456,224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51" w:name="page52"/>
    <w:bookmarkEnd w:id="5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2022 (Unaudited)</w:t>
      </w:r>
    </w:p>
    <w:p>
      <w:pPr>
        <w:spacing w:after="0" w:line="176" w:lineRule="exact"/>
        <w:rPr>
          <w:sz w:val="20"/>
          <w:szCs w:val="20"/>
          <w:color w:val="auto"/>
        </w:rPr>
      </w:pPr>
    </w:p>
    <w:p>
      <w:pPr>
        <w:ind w:left="300" w:hanging="292"/>
        <w:spacing w:after="0"/>
        <w:tabs>
          <w:tab w:leader="none" w:pos="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revenues from cemetery and mortuary contracts to Note 7 – Business Segment Information for the Cemetery/Mortuary Segment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color w:val="auto"/>
              </w:rPr>
              <w:t>June 30</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6,318,398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14,456,224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12,260,524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(720,135)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227,546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(974,660)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1,025,886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739,272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240,587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1,235,731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470,891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21,378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36,917</w:t>
            </w:r>
          </w:p>
        </w:tc>
        <w:tc>
          <w:tcPr>
            <w:tcW w:w="4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49,886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7,291,018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14,754,212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 The Company has adjusted its strategies to respond to the changing economic circumstances resulting from the COVID-19 pandemic.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the Company’s life insurance sales force began using virtual and tele sales processes to market products. During the third quarter 2021, the life insurance sales force returned to in person sales, however, it continues to use virtual and tele sales where needed. Currently, approximately 75% of insurance operations office staff work in the office with the flexibility for hybrid-remote or completely remote working arrangements as needed.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three and six months ended June 30, 2022 and 2021.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8"/>
          </w:tcPr>
          <w:p>
            <w:pPr>
              <w:jc w:val="center"/>
              <w:ind w:right="53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00" w:type="dxa"/>
            <w:vAlign w:val="bottom"/>
          </w:tcPr>
          <w:p>
            <w:pPr>
              <w:spacing w:after="0"/>
              <w:rPr>
                <w:sz w:val="18"/>
                <w:szCs w:val="18"/>
                <w:color w:val="auto"/>
              </w:rPr>
            </w:pPr>
          </w:p>
        </w:tc>
        <w:tc>
          <w:tcPr>
            <w:tcW w:w="3660" w:type="dxa"/>
            <w:vAlign w:val="bottom"/>
            <w:gridSpan w:val="9"/>
          </w:tcPr>
          <w:p>
            <w:pPr>
              <w:jc w:val="center"/>
              <w:ind w:right="42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color w:val="auto"/>
              </w:rPr>
              <w:t>(in thousands of dollars)</w:t>
            </w:r>
          </w:p>
        </w:tc>
        <w:tc>
          <w:tcPr>
            <w:tcW w:w="9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color w:val="auto"/>
              </w:rPr>
              <w:t>(in thousands of dollars)</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(Decrease)</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24,959</w:t>
            </w:r>
          </w:p>
        </w:tc>
        <w:tc>
          <w:tcPr>
            <w:tcW w:w="8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52,254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48,309</w:t>
            </w:r>
          </w:p>
        </w:tc>
        <w:tc>
          <w:tcPr>
            <w:tcW w:w="8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15,126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13,805</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27,743</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2,371</w:t>
            </w: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3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82,668</w:t>
            </w:r>
          </w:p>
        </w:tc>
        <w:tc>
          <w:tcPr>
            <w:tcW w:w="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79,600</w:t>
            </w:r>
          </w:p>
        </w:tc>
        <w:tc>
          <w:tcPr>
            <w:tcW w:w="3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2,076</w:t>
            </w: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1,750</w:t>
            </w: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440" w:type="dxa"/>
            <w:vAlign w:val="bottom"/>
            <w:tcBorders>
              <w:bottom w:val="single" w:sz="8" w:color="CCEEFF"/>
            </w:tcBorders>
            <w:shd w:val="clear" w:color="auto" w:fill="CCEEFF"/>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3,772</w:t>
            </w: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3,653</w:t>
            </w: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330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3,932</w:t>
            </w:r>
          </w:p>
        </w:tc>
        <w:tc>
          <w:tcPr>
            <w:tcW w:w="3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4,694</w:t>
            </w: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44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4,748</w:t>
            </w:r>
          </w:p>
        </w:tc>
        <w:tc>
          <w:tcPr>
            <w:tcW w:w="3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7,389</w:t>
            </w: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Intersegment revenues are primarily interest income from the warehouse line for loans held for sale provided to SecurityNational Mortgage Company (“SecurityNational Mortgage”). Profitability for the six months ended June 30, 2022 decreased due to (a) a $2,965,000 increase in selling, general and administrative expenses, (b) a $2,530,000 decrease in gains on investments and other assets primarily due to a decrease in the fair value of equity securities,</w:t>
      </w:r>
    </w:p>
    <w:p>
      <w:pPr>
        <w:spacing w:after="0" w:line="1" w:lineRule="exact"/>
        <w:rPr>
          <w:sz w:val="20"/>
          <w:szCs w:val="20"/>
          <w:color w:val="auto"/>
        </w:rPr>
      </w:pPr>
    </w:p>
    <w:p>
      <w:pPr>
        <w:jc w:val="both"/>
        <w:ind w:firstLine="8"/>
        <w:spacing w:after="0" w:line="253" w:lineRule="auto"/>
        <w:tabs>
          <w:tab w:leader="none" w:pos="2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$1,716,000 increase in future policy benefits, (d) a $1,184,000 increase in amortization of deferred policy acquisition costs primarily due to an increase in the average outstanding balance of deferred policy and pre-need acquisition costs, (e) a $823,000 increase in interest expense, and (f) a $311,000 decrease in other revenues, which were partially offset by (i) a $3,945,000 increase in insurance premiums and other considerations, (ii) a $1,963,000 increase in net investment income, (iii) a $704,000 decrease in death, surrenders and other policy benefits, (iv) a $158,000 decrease in intersegment interest expense and other expenses, and a (v) $119,000 increase in intersegment revenue.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mortuary services and products through its nine mortuaries in Utah and three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the cemetery and mortuary’s pre-need sales force began using virtual selling processes to market its products and services including some in home sales as local regulations permitted. During the third quarter of 2021, the sales force returned mostly to in home sales, however, it continues to use virtual selling where needed. Currently, the cemetery and mortuary operations office staff works in the office with the flexibility for hybrid-remote or completely remote working arrangements as needed.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cemetery and mortuary operations for the three and six months ended June 30, 2022 and 2021.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8"/>
          </w:tcPr>
          <w:p>
            <w:pPr>
              <w:jc w:val="center"/>
              <w:ind w:right="53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00" w:type="dxa"/>
            <w:vAlign w:val="bottom"/>
          </w:tcPr>
          <w:p>
            <w:pPr>
              <w:spacing w:after="0"/>
              <w:rPr>
                <w:sz w:val="18"/>
                <w:szCs w:val="18"/>
                <w:color w:val="auto"/>
              </w:rPr>
            </w:pPr>
          </w:p>
        </w:tc>
        <w:tc>
          <w:tcPr>
            <w:tcW w:w="3660" w:type="dxa"/>
            <w:vAlign w:val="bottom"/>
            <w:gridSpan w:val="9"/>
          </w:tcPr>
          <w:p>
            <w:pPr>
              <w:jc w:val="center"/>
              <w:ind w:right="42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color w:val="auto"/>
              </w:rPr>
              <w:t>(in thousands of dollars)</w:t>
            </w:r>
          </w:p>
        </w:tc>
        <w:tc>
          <w:tcPr>
            <w:tcW w:w="9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color w:val="auto"/>
              </w:rPr>
              <w:t>(in thousands of dollars)</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(Decrease)</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4,406</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8,328</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Gains (losses) on investments and other</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330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1,486</w:t>
            </w:r>
          </w:p>
        </w:tc>
        <w:tc>
          <w:tcPr>
            <w:tcW w:w="3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2,269</w:t>
            </w: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4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3,506</w:t>
            </w:r>
          </w:p>
        </w:tc>
        <w:tc>
          <w:tcPr>
            <w:tcW w:w="3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4,970</w:t>
            </w: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in the six months ended June 30, 2022 decreased due to (a) a $2,001,000 decrease in gains on investments and other assets primarily attributable to a $579,000 decrease in gains on real estate sales and a $1,443,000 decrease in the fair value of equity securities classified as restricted assets and cemetery perpetual care trust investments, (b) a $1,955,000 increase in selling, general and administrative expenses, (c) a $1,226,000 decrease in cemetery pre-need sales, (d) a $455,000 increase in costs of goods sold, (e) a $114,000 increase in intersegment interest expense and other expenses, (f) a $35,000 increase in amortization of deferred policy acquisition costs, and (g) a $13,000 decrease in other revenues, which were partially offset by (i) a $2,940,000 increase in mortuary at-need sales, (ii) a $765,000 increase in net investment income, (iii) a $482,000 increase in cemetery at-need sales, (iv) a $112,000 increase in intersegment revenues, and (v) a $36,000 decrease in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Kilpatrick Life and unaffiliated financial institutions.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42% of its loan origination volume. These mortgage loans are serviced by either SecurityNational Mortgage or an approved third-party sub-servicer. In December 2021, the Company ceased operations in EverLEND Mortgage and merged its operations into SecurityNational Mortgage.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rates have followed the US Treasury yields up in response to the higher than expected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 although not as significant as those in the refinance classification.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SecurityNational Mortgage originated 6,419 loans ($2,049,959,000 total volume) and 10,149 loans ($2,748,316,000 total volume), respectively. For the six months ended June 30, 2021, EverLEND Mortgage originated 191 loans ($61,914,000 total volume).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mortgage operations have integrated employee work from home accommodations into its standard operating procedures. A large percentage of fulfillment employees are in office however the flexibility remains to accommodate in office or work from home functionality.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 and six months ended June 30, 2022 and 2021.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8"/>
          </w:tcPr>
          <w:p>
            <w:pPr>
              <w:jc w:val="center"/>
              <w:ind w:right="53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00" w:type="dxa"/>
            <w:vAlign w:val="bottom"/>
          </w:tcPr>
          <w:p>
            <w:pPr>
              <w:spacing w:after="0"/>
              <w:rPr>
                <w:sz w:val="18"/>
                <w:szCs w:val="18"/>
                <w:color w:val="auto"/>
              </w:rPr>
            </w:pPr>
          </w:p>
        </w:tc>
        <w:tc>
          <w:tcPr>
            <w:tcW w:w="3660" w:type="dxa"/>
            <w:vAlign w:val="bottom"/>
            <w:gridSpan w:val="9"/>
          </w:tcPr>
          <w:p>
            <w:pPr>
              <w:jc w:val="center"/>
              <w:ind w:right="42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color w:val="auto"/>
              </w:rPr>
              <w:t>(in thousands of dollars)</w:t>
            </w:r>
          </w:p>
        </w:tc>
        <w:tc>
          <w:tcPr>
            <w:tcW w:w="9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color w:val="auto"/>
              </w:rPr>
              <w:t>(in thousands of dollars)</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(Decrease)</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37,161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56,021</w:t>
            </w:r>
          </w:p>
        </w:tc>
        <w:tc>
          <w:tcPr>
            <w:tcW w:w="8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76,764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124,460</w:t>
            </w: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10,581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10,735</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19,393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21,925</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loans held for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20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(3,464)</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(6,210)</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(8,061)</w:t>
            </w:r>
          </w:p>
        </w:tc>
        <w:tc>
          <w:tcPr>
            <w:tcW w:w="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loan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(2,247)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4,901</w:t>
            </w:r>
          </w:p>
        </w:tc>
        <w:tc>
          <w:tcPr>
            <w:tcW w:w="2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3,955</w:t>
            </w:r>
          </w:p>
        </w:tc>
        <w:tc>
          <w:tcPr>
            <w:tcW w:w="80" w:type="dxa"/>
            <w:vAlign w:val="bottom"/>
          </w:tcPr>
          <w:p>
            <w:pPr>
              <w:spacing w:after="0"/>
              <w:rPr>
                <w:sz w:val="19"/>
                <w:szCs w:val="19"/>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9,581</w:t>
            </w:r>
          </w:p>
        </w:tc>
        <w:tc>
          <w:tcPr>
            <w:tcW w:w="2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7,547</w:t>
            </w:r>
          </w:p>
        </w:tc>
        <w:tc>
          <w:tcPr>
            <w:tcW w:w="8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(688</w:t>
            </w:r>
          </w:p>
        </w:tc>
        <w:tc>
          <w:tcPr>
            <w:tcW w:w="3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7,714</w:t>
            </w: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4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919</w:t>
            </w:r>
          </w:p>
        </w:tc>
        <w:tc>
          <w:tcPr>
            <w:tcW w:w="3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18,673</w:t>
            </w: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Included in other revenues is service fee income. Profitability for the six months ended June 30, 2022 decreased due to (a) a $47,696,000 decrease in secondary gains from investors, (b) a $2,532,000 decrease in income from loan originations, (c) a $1,114,000 increase in personnel expenses, (d) a $164,000 decrease in intersegment revenues, (e) a $110,000 increase in intersegment interest expense and other expenses, and a (f) $34,000 decrease in net investment income, which were partially offset by (i) a $24,216,000 decrease in commissions, (ii) a $2,338,000 decrease in other expenses, (iii) a $2,034,000 increase in other revenues, (iv) a $1,850,000 increase in the fair value of loans held for sale, (v) a $793,000 decrease in costs related to funding mortgage loans, (vi) a $782,000 decrease in advertising expenses, (vii) a $679,000 decrease in interest expense, (viii) $597,000 increase in the fair value of loan commitments, (ix) a $351,000 increase in gains on investments and other assets, (x) a $230,000 decrease in rent and rent related expenses, and (xi) a $27,000 decrease in depreciation on property and equipment.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 Loss Settlements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mortgage loan losses can be extremely difficult to estimate. However, management believes that the Company’s reserve methodology and its current practice of property preservation allow it to reasonably estimate its potential losses on mortgage loans sold. The estimated liability for indemnification losses was included in other liabilities and accrued expenses and, as of June 30, 2022 and December 31, 2021, the balances were $1,940,786 and $2,447,139,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decreased by $21,184,000, or 18.1%, to $95,567,000 for the three months ended June 30, 2022, from $116,750,000 for the comparable period in 2021. Contributing to this decrease in total revenues was a $23,127,000 decrease in mortgage fee income and a $2,392,000 decrease in gains on investments and other assets which were partially offset by a $1,794,000 increase in net investment income, a $953,000 increase in insurance premiums and other considerations, a $932,000 increase in net mortuary and cemetery sales, and a $656,000 increase in other revenues.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decreased by $23,127,000, or 35.5%, to $42,031,000, for the three months ended June 30, 2022, from $65,158,000 for the comparable period in 2021. This decrease was primarily due to a $18,860,000 decrease in secondary gains from mortgage loans sold to third-party investors into the secondary market a $2,349,000 decrease in the fair value of loans held for sale, a $1,764,000 decrease in the fair value of loan commitments, and a $154,000 decrease in loan fees and interest income net of a decrease in the provision for loan loss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$953,000, or 3.8%, to $25,912,000 for the three months ended June 30, 2022, from $24,959,000 for the comparable period in 2021. This increase was primarily due to an increase of $1,194,000 in renewal premiums due to the growth of the Company’s outstanding policies in recent years, particularly in whole life products, which resulted in more premium paying business in force.</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$1,794,000, or 12.7%, to $15,971,000 for the three months ended June 30, 2022, from $14,177,000 for the comparable period in 2021. This increase was primarily attributable to a $2,342,000 increase in mortgage loan interest, a $1,010,000 increase in real estate income, a $114,000 increase in fixed maturity securities income, a $74,000 increase in interest on cash and cash equivalents, a $59,000 increase in income on other investments, and a $14,000 increase in equity securities income, which were partially offset by a $1,716,000 increase in investment expenses, a $78,000 decrease in insurance assignment income, and a $25,000 decrease in policy loan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$932,000, or 14.8%, to $7,250,000 for the three months ended June 30, 2022, from $6,318,000 for the comparable period in 2021. This increase was primarily due to a $1,194,000 increase in mortuary at-need sales and a $403,000 increase in cemetery at-need sales, which were partially offset by a $665,000 decrease in cemetery pre-need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on investments and other assets decreased by $2,392,000, or 161.9%, to $914,000 in losses for the three months ended June 30, 2022, from $1,477,000 in gains for the comparable period in 2021. This decrease in gains on investments and other assets was primarily due to a $2,661,000 decrease in gains on equity securities mostly attributable to decreases in the fair value of these equity securities and a $67,000 decrease in gains on fixed maturity securities, which were partially offset by a $336,000 increase in gains on other assets.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increased by $656,000, or 14.1%, to $5,316,000 for the three months ended June 30, 2022, from $4,660,000 for the comparable period in 2021. This increase was primarily attributable to an increase in servicing fee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benefits and expenses were $90,837,000, or 95.1% of total revenues, for the three months ended June 30, 2022, as compared to $102,073,000, or 87.4% of total revenues, for the comparable period in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decreased by an aggregate of $323,000 or 1.4%, to $22,593,000 for the three months ended June 30, 2022, from $22,916,000 for the comparable period in 2021. This decrease was primarily the result of a $800,000 decrease in future policy benefits and a $5,000 decrease in death benefits ($518,000 for COVID-19 related deaths), which were partially offset by a $483,000 increase in surrender and other policy benefits.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6" w:name="page57"/>
    <w:bookmarkEnd w:id="5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$399,000, or 10.9%, to $4,053,000 for the three months ended June 30, 2022, from $3,654,000 for the comparable period in 2021. This increase was primarily due to an increase in the average outstanding balance of deferred policy and pre-need acquisition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$11,889,000, or 16.3%, to $61,047,000 for the three months ended June 30, 2022, from $72,936,000 for the comparable period in 2021. This decrease was primarily the result of a $11,496,000 decrease in commissions, a $856,000 decrease in other expenses, a $695,000 decrease in costs related to funding mortgage loans, and a $172,000 decrease in rent and rent related expenses, which were partially offset by a $1,176,000 increase in personnel expenses and a $154,000 increase in depreciation on property and equipment.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$206,000, or 12.2%, to $1,900,000 for the three months ended June 30, 2022, from $1,694,000 for the comparable period in 2021. This increase was primarily due to an increase of $335,000 in interest expense on bank loans, which was partially offset by a decrease of $129,000 in interest expense on mortgage warehouse lines for loans held for sale.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increased by $370,000, or 42.4%, to $1,243,000 for the three months ended June 30, 2022, from $873,000 for the comparable period in 2021. This increase was primarily due to a $293,000 increase in mortuary at-need sales and a $102,000 increase in cemetery at-need sales, which were partially offset by a $25,000 decrease in cemetery pre-need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decreased by $41,416,000, or 17.3%, to $197,993,000 for the six months ended June 30, 2022, from $239,409,000 for the comparable period in 2021. Contributing to this decrease in total revenues was a $47,781,000 decrease in mortgage fee income and a $4,180,000 decrease in gains on investments and other assets, which were partially offset by a $3,945,000 increase in insurance premiums and other considerations, a $2,694,000 increase in net investment income, a $2,196,000 increase in net mortuary and cemetery sales, and a $1,710,000 increase in other revenues.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decreased by $47,781,000, or 34.6%, to $90,375,000, for the six months ended June 30, 2022, from $138,156,000 for the comparable period in 2021. This decrease was primarily due to a $47,696,000 decrease in secondary gains from mortgage loans sold to third-party investors into the secondary market and a $2,532,000 decrease in loan fees and interest income net of a decrease in the provision for loan loss reserve, which were partially offset by a $1,850,000 increase in the fair value of loans held for sale and a $597,000 increase in the fair value of loan commitments.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Insurance premiums and other considerations increased by $3,945,000, or 8.2%, to $52,254,000 for the six months ended June 30, 2022, from $48,309,000 for the comparable period in 2021. This increase was due to an increase of increase of $2,494,000 in renewal premiums due to the growth of the Company’s outstanding policies in recent years, particularly in whole life products, which resulted in more premium paying business in force and an increase of $1,451,000 in first year premiums as a result of increased insurance sales.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$2,694,000, or 9.5%, to $31,165,000 for the six months ended June 30, 2022, from $28,471,000 for the comparable period in 2021. This increase was primarily attributable to a $4,218,000 increase in mortgage loan interest, a $1,006,000 increase in income on real estate, a $116,000 increase in income on other investments, a $110,000 increase in interest on cash and cash equivalents, a $49,000 increase in policy loan income, and a $8,000 increase in equity securities income, which were partially offset by a $2,713,000 increase in investment expenses, a $74,000 decrease in fixed maturity securities income, and a $26,000 decrease in insurance assignment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$2,196,000, or 17.9%, to $14,456,000 for the six months ended June 30, 2022, from $12,260,000 for the comparable period in 2021. This increase was primarily due to a $2,940,000 increase in mortuary at-need sales and a $482,000 increase in cemetery at-need sales, which were partially offset by a $1,226,000 decrease in cemetery pre-need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Gains on investments and other assets decreased by $4,180,000, or 121.6%, to $742,000 in losses for the six months ended June 30, 2022, from $3,437,000 in gains for the comparable period in 2021. This decrease in gains on investments and other assets was primarily due to a $4,337,000 decrease in gains on equity securities mostly attributable to decreases in the fair value of these equity securities and a $94,000 decrease in gains on fixed maturity securities, which were partially offset by a $251,000 increase in gains on other assets.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increased by $1,710,000, or 19.5%, to $10,484,000 for the six months ended June 30, 2022, from $8,774,000 for the comparable period in 2021. This increase was primarily attributable to an increase in servicing fee revenue.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benefits and expenses were $188,819,000, or 95.4% of total revenues, for the six months ended June 30, 2022, as compared to $208,377,000, or 87.0% of total revenues, for the comparable period in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increased by an aggregate of $1,012,000 or 2.2%, to $47,572,000 for the six months ended June 30, 2022, from $46,560,000 for the comparable period in 2021. This increase was primarily the result of a $1,716,000 increase in future policy benefits and a $728,000 increase in surrender and other policy benefits, which were partially offset by a $1,432,000 decrease in death benefits ($1,341,000 for COVID-19 related deaths).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$1,219,000, or 16.9%, to $8,450,000 for the six months ended June 30, 2022, from $7,231,000 for the comparable period in 2021. This increase was primarily due to an increase in the average outstanding balance of deferred policy and pre-need acquisition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by $22,351,000, or 15.0%, to $126,742,000 for the six months ended June 30, 2022, from $149,093,000 for the comparable period in 2021. This decrease was primarily the result of a $24,324,000 decrease in commissions, a $793,000 decrease in costs related to funding mortgage loans, a $714,000 decrease in other expenses, a $379,000 decrease in rent and rent related expenses, and a $91,000 decrease in advertising expenses, which were partially offset by a $3,679,000 increase in personnel expenses and a $269,000 increase in depreciation on property and equipment.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$108,000, or 3.1%, to $3,628,000 for the six months ended June 30, 2022, from $3,520,000 for the comparable period in 2021. This increase was primarily due to a $778,000 increase in interest expense on bank loans, which was partially offset by decrease of $670,000 in interest expense on mortgage warehouse lines for loans held for sale.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increased by $455,000, or 23.1%, to $2,428,000 for the six months ended June 30, 2022, from $1,973,000 for the comparable period in 2021. This increase was primarily due to a $596,000 increase in mortuary at-need sales and a $66,000 increase in cemetery at-need sales, which were partially offset by and a $207,000 decrease in cemetery pre-need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caused by the COVID-19 pandemic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Company’s operations provided cash of $97,639,000 and $124,476,000, respectively. The decrease in cash provided by operations from the six months ended June 30, 2021 to those ended June 30, 2022 was due primarily to decreased proceeds from the sale of mortgage loans held for 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liability for future policy benefits is expected to be paid out over the long-term due to the Company’s market niche of selling funeral plans. Funeral plans are small face value life insurance policies that payout upon a person’s death to cover funeral burial costs. Policyholders generally keep these policies in force and do not surrender them prior to death. Because of the long-term nature of these liabilities, the Company is able to hold to maturity its bonds, real estate, and mortgage loans thus reducing the risk of liquidating these long-term investments as a result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$270,404,000 (at estimated fair value) and $259,005,000 (at estimated fair value) as of June 30, 2022 and December 31, 2021, respectively. This represented 32.6% and 31.5% of the total investments as of June 30, 2022, and December 31, 2021, respectively. Generally, all bonds owned by the life insurance subsidiaries are rated by the National Association of Insurance Commissioners. Under this rating system, there are six categories used for rating bonds. At June 30, 2022, 3.0% (or $7,969,000) and at December 31, 2021, 3.9% (or $9,991,000) of the Company’s total bond investments were invested in bonds in rating categories three through six, which are considered non-investment grade.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risk-based capital guidelines established by statutory regulators requiring minimum capital levels based on the perceived risk of assets, liabilities, disintermediation, and business risk. At June 30, 2022 and December 31, 2021, the life insurance subsidiaries were in compliance with the regulatory criteria.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$480,830,000 as of June 30, 2022, as compared to $551,054,000 as of December 31, 2021. Stockholders’ equity as a percent of total capitalization was 58.3% and 54.4% as of June 30, 2022 and December 31, 2021,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2021 was 4.8% as compared to a rate of 5.9% for 2020. The 2022 lapse rate to date has been approximately the same as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$83,477,000 and $82,823,000 as of June 30, 2022 and December 31, 2021, respectively. The life insurance subsidiaries cannot pay a dividend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2020, the outbreak of COVID-19 had spread worldwide and was declared a global pandemic by the World Health Organization on March 11, 2020. COVID-19, and its variants, pose a threat to the health and economic well-being of the Company’s employees, customers, and vendors. The Company continues to closely monitor developments relating to the ongoing COVID-19 pandemic and assessing its impact on the Company’s business. The continued uncertainty surrounding the COVID-19 pandemic has had and continues to have a significant impact on the global economy and financial markets. Governments and businesses have taken numerous measures to try to contain the virus and its variants, which include the implementation of travel bans, self-imposed quarantine periods, social distancing, and various mask and vaccine mandates. These measures have disrupted and will continue to disrupt businesses globally. Governments and central banks have reacted with significant monetary and fiscal interventions designed to stabilize the economic conditions. Most monetary and fiscal interventions have been significantly curtailed.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18"/>
          <w:szCs w:val="18"/>
          <w:color w:val="auto"/>
        </w:rPr>
        <w:t>Like most businesses, COVID-19 has impacted the Company, including the temporary adoption of work from home arrangements and a restructuring of selling techniques for its products and services. The Company also experienced increased expenses for cleaning services of its offices. Throughout 2021 and 2022, the Company continued to adapt to the impact of COVID-19 and its related economic effects.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Company risks. These uncertainties have the potential to negatively affect the risk of credit default for the issuers of the Company’s fixed maturity debt securities and individual borrowers with mortgage loans held by the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implemented risk management, business continuity plans and has taken preventive measures and other precautions, including some remote work arrangements. Such measures and precautions have enabled the Company to continue to conduct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2022,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June 30, 2022,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other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Stock Repurchase Plan was amended in December 2020. The amendment authorized the repurchase of a total of 1,000,000 shares of the Company’s Class A Common Stock in the open market. The repurchased shares of Class A common stock will be held as treasury shares to be used as the Company’s employer matching contribution to the Employee 401(k) Retirement Savings Plan and for shares held in the Deferred Compensation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 months ended June 30, 2022 under the Stock Repurchase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 Maximum Number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(or Approximate</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Dollar Value) of Class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 Total Number of</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Shares that May Yet</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Class A Shares</w:t>
            </w:r>
          </w:p>
        </w:tc>
        <w:tc>
          <w:tcPr>
            <w:tcW w:w="20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(b) Average 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Publicly Announced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 Purchased Under</w:t>
            </w:r>
          </w:p>
        </w:tc>
      </w:tr>
      <w:tr>
        <w:trPr>
          <w:trHeight w:val="234"/>
        </w:trPr>
        <w:tc>
          <w:tcPr>
            <w:tcW w:w="33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Period</w:t>
            </w: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Purchased</w:t>
            </w:r>
          </w:p>
        </w:tc>
        <w:tc>
          <w:tcPr>
            <w:tcW w:w="140" w:type="dxa"/>
            <w:vAlign w:val="bottom"/>
          </w:tcPr>
          <w:p>
            <w:pPr>
              <w:spacing w:after="0"/>
              <w:rPr>
                <w:sz w:val="20"/>
                <w:szCs w:val="20"/>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per Class A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 or Program</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the Plan or Program</w:t>
            </w:r>
          </w:p>
        </w:tc>
      </w:tr>
      <w:tr>
        <w:trPr>
          <w:trHeight w:val="210"/>
        </w:trPr>
        <w:tc>
          <w:tcPr>
            <w:tcW w:w="316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4/1/2022-4/30/2022</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3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5/1/2022-5/31/2022</w:t>
            </w:r>
          </w:p>
        </w:tc>
        <w:tc>
          <w:tcPr>
            <w:tcW w:w="220" w:type="dxa"/>
            <w:vAlign w:val="bottom"/>
          </w:tcPr>
          <w:p>
            <w:pPr>
              <w:spacing w:after="0"/>
              <w:rPr>
                <w:sz w:val="18"/>
                <w:szCs w:val="18"/>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9,355</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9.97</w:t>
            </w:r>
          </w:p>
        </w:tc>
        <w:tc>
          <w:tcPr>
            <w:tcW w:w="160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443,178</w:t>
            </w:r>
          </w:p>
        </w:tc>
      </w:tr>
      <w:tr>
        <w:trPr>
          <w:trHeight w:val="216"/>
        </w:trPr>
        <w:tc>
          <w:tcPr>
            <w:tcW w:w="31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6/1/2022-6/30/2022</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443,178</w:t>
            </w:r>
          </w:p>
        </w:tc>
      </w:tr>
      <w:tr>
        <w:trPr>
          <w:trHeight w:val="230"/>
        </w:trPr>
        <w:tc>
          <w:tcPr>
            <w:tcW w:w="3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w:t>
            </w:r>
          </w:p>
        </w:tc>
        <w:tc>
          <w:tcPr>
            <w:tcW w:w="3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25"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97">
        <w:r>
          <w:rPr>
            <w:rFonts w:ascii="Times New Roman" w:cs="Times New Roman" w:eastAsia="Times New Roman" w:hAnsi="Times New Roman"/>
            <w:sz w:val="18"/>
            <w:szCs w:val="18"/>
            <w:u w:val="single" w:color="auto"/>
            <w:color w:val="0000EE"/>
          </w:rPr>
          <w:t>Amended and Restated Articles of Incorporation (4)</w:t>
        </w:r>
      </w:hyperlink>
    </w:p>
    <w:p>
      <w:pPr>
        <w:spacing w:after="0" w:line="27"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98">
        <w:r>
          <w:rPr>
            <w:rFonts w:ascii="Times New Roman" w:cs="Times New Roman" w:eastAsia="Times New Roman" w:hAnsi="Times New Roman"/>
            <w:sz w:val="18"/>
            <w:szCs w:val="18"/>
            <w:u w:val="single" w:color="auto"/>
            <w:color w:val="0000EE"/>
          </w:rPr>
          <w:t>Amended and Restated Bylaws (6)</w:t>
        </w:r>
      </w:hyperlink>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Specimen Class A Stock Certificate (1)</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Specimen Class C Stock Certificate (1)</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Specimen Preferred Stock Certificate and Certificate of Designation of Preferred Stock (1)</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Employee Stock Ownership Plan, as amended and restated (ESOP) and Trust Agreement (1)</w:t>
      </w:r>
    </w:p>
    <w:p>
      <w:pPr>
        <w:spacing w:after="0" w:line="9" w:lineRule="exact"/>
        <w:rPr>
          <w:sz w:val="20"/>
          <w:szCs w:val="20"/>
          <w:color w:val="auto"/>
        </w:rPr>
      </w:pPr>
    </w:p>
    <w:p>
      <w:pPr>
        <w:ind w:left="660"/>
        <w:spacing w:after="0"/>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99">
        <w:r>
          <w:rPr>
            <w:rFonts w:ascii="Times New Roman" w:cs="Times New Roman" w:eastAsia="Times New Roman" w:hAnsi="Times New Roman"/>
            <w:sz w:val="17"/>
            <w:szCs w:val="17"/>
            <w:u w:val="single" w:color="auto"/>
            <w:color w:val="0000EE"/>
          </w:rPr>
          <w:t>Amended and Restated 2013 Stock Option and Other Equity Incentive Awards Plan (3)</w:t>
        </w:r>
      </w:hyperlink>
    </w:p>
    <w:p>
      <w:pPr>
        <w:spacing w:after="0" w:line="9"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00">
        <w:r>
          <w:rPr>
            <w:rFonts w:ascii="Times New Roman" w:cs="Times New Roman" w:eastAsia="Times New Roman" w:hAnsi="Times New Roman"/>
            <w:sz w:val="18"/>
            <w:szCs w:val="18"/>
            <w:u w:val="single" w:color="auto"/>
            <w:color w:val="0000EE"/>
          </w:rPr>
          <w:t>Amended and Restated 2014 Director Stock Option Plan (7)</w:t>
        </w:r>
      </w:hyperlink>
    </w:p>
    <w:p>
      <w:pPr>
        <w:spacing w:after="0" w:line="9"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01">
        <w:r>
          <w:rPr>
            <w:rFonts w:ascii="Times New Roman" w:cs="Times New Roman" w:eastAsia="Times New Roman" w:hAnsi="Times New Roman"/>
            <w:sz w:val="18"/>
            <w:szCs w:val="18"/>
            <w:u w:val="single" w:color="auto"/>
            <w:color w:val="0000EE"/>
          </w:rPr>
          <w:t>Employment Agreement with Scott M. Quist (2)</w:t>
        </w:r>
      </w:hyperlink>
    </w:p>
    <w:p>
      <w:pPr>
        <w:spacing w:after="0" w:line="9"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02">
        <w:r>
          <w:rPr>
            <w:rFonts w:ascii="Times New Roman" w:cs="Times New Roman" w:eastAsia="Times New Roman" w:hAnsi="Times New Roman"/>
            <w:sz w:val="18"/>
            <w:szCs w:val="18"/>
            <w:u w:val="single" w:color="auto"/>
            <w:color w:val="0000EE"/>
          </w:rPr>
          <w:t>Stock Repurchase Plan (5)</w:t>
        </w:r>
      </w:hyperlink>
    </w:p>
    <w:p>
      <w:pPr>
        <w:spacing w:after="0" w:line="9"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Code of Business Conduct and Ethics (6)</w:t>
        </w:r>
      </w:hyperlink>
    </w:p>
    <w:p>
      <w:pPr>
        <w:spacing w:after="0" w:line="9" w:lineRule="exact"/>
        <w:rPr>
          <w:rFonts w:ascii="Times New Roman" w:cs="Times New Roman" w:eastAsia="Times New Roman" w:hAnsi="Times New Roman"/>
          <w:sz w:val="18"/>
          <w:szCs w:val="18"/>
          <w:u w:val="single" w:color="auto"/>
          <w:color w:val="0000EE"/>
        </w:rPr>
      </w:pPr>
    </w:p>
    <w:p>
      <w:pPr>
        <w:ind w:left="1300" w:hanging="644"/>
        <w:spacing w:after="0"/>
        <w:tabs>
          <w:tab w:leader="none" w:pos="1300" w:val="left"/>
        </w:tabs>
        <w:numPr>
          <w:ilvl w:val="0"/>
          <w:numId w:val="56"/>
        </w:numPr>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Subsidiaries of the Registrant (8)</w:t>
        </w:r>
      </w:hyperlink>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7"/>
          <w:szCs w:val="17"/>
          <w:u w:val="single" w:color="auto"/>
          <w:color w:val="0000EE"/>
        </w:rPr>
        <w:t>Certification pursuant to 18 U.S.C. Section 1350, as enacted by Section 302 of the Sarbanes-Oxley Act of 2002</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7"/>
          <w:szCs w:val="17"/>
          <w:u w:val="single" w:color="auto"/>
          <w:color w:val="0000EE"/>
        </w:rPr>
        <w:t>Certification pursuant to 18 U.S.C. Section 1350, as enacted by Section 302 of the Sarbanes-Oxley Act of 2002</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p>
    <w:p>
      <w:pPr>
        <w:spacing w:after="0" w:line="9" w:lineRule="exact"/>
        <w:rPr>
          <w:rFonts w:ascii="Times New Roman" w:cs="Times New Roman" w:eastAsia="Times New Roman" w:hAnsi="Times New Roman"/>
          <w:sz w:val="18"/>
          <w:szCs w:val="18"/>
          <w:u w:val="single" w:color="auto"/>
          <w:color w:val="0000EE"/>
        </w:rPr>
      </w:pPr>
    </w:p>
    <w:p>
      <w:pPr>
        <w:ind w:left="660" w:right="1280"/>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EE"/>
        </w:rPr>
        <w:t>Certification pursuant to 18 U.S.C. Section 1350, as adopted pursuant to Section 906 of the Sarbanes-Oxley Act of 2002</w:t>
      </w:r>
      <w:r>
        <w:rPr>
          <w:rFonts w:ascii="Times New Roman" w:cs="Times New Roman" w:eastAsia="Times New Roman" w:hAnsi="Times New Roman"/>
          <w:sz w:val="18"/>
          <w:szCs w:val="18"/>
          <w:color w:val="auto"/>
        </w:rPr>
        <w:t xml:space="preserve"> 101.xml Instance Document</w:t>
      </w: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101.xsd Taxonomy Extension Schema Document</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101.cal  Taxonomy Extension Calculation Linkbase Document</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101.def Taxonomy Extension Definition Linkbase Document</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101.lab Taxonomy Extension Label Linkbase Document</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101.pre Taxonomy Extension Presentation Linkbase Document</w:t>
      </w:r>
    </w:p>
    <w:p>
      <w:pPr>
        <w:spacing w:after="0" w:line="233" w:lineRule="exact"/>
        <w:rPr>
          <w:rFonts w:ascii="Times New Roman" w:cs="Times New Roman" w:eastAsia="Times New Roman" w:hAnsi="Times New Roman"/>
          <w:sz w:val="18"/>
          <w:szCs w:val="18"/>
          <w:u w:val="single" w:color="auto"/>
          <w:color w:val="0000EE"/>
        </w:rPr>
      </w:pPr>
    </w:p>
    <w:p>
      <w:pPr>
        <w:ind w:left="1420" w:hanging="643"/>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Registration Statement on Form S-1, as filed on June 29, 1987</w:t>
      </w:r>
    </w:p>
    <w:p>
      <w:pPr>
        <w:spacing w:after="0" w:line="27"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2015</w:t>
      </w:r>
    </w:p>
    <w:p>
      <w:pPr>
        <w:spacing w:after="0" w:line="9"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15, 2016</w:t>
      </w:r>
    </w:p>
    <w:p>
      <w:pPr>
        <w:spacing w:after="0" w:line="9"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9"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2018</w:t>
      </w:r>
    </w:p>
    <w:p>
      <w:pPr>
        <w:spacing w:after="0" w:line="9"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9"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14, 2020</w:t>
      </w:r>
    </w:p>
    <w:p>
      <w:pPr>
        <w:spacing w:after="0" w:line="9" w:lineRule="exact"/>
        <w:rPr>
          <w:rFonts w:ascii="Times New Roman" w:cs="Times New Roman" w:eastAsia="Times New Roman" w:hAnsi="Times New Roman"/>
          <w:sz w:val="18"/>
          <w:szCs w:val="18"/>
          <w:color w:val="auto"/>
        </w:rPr>
      </w:pPr>
    </w:p>
    <w:p>
      <w:pPr>
        <w:ind w:left="1420" w:hanging="643"/>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1783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i w:val="1"/>
                <w:iCs w:val="1"/>
                <w:color w:val="auto"/>
                <w:w w:val="99"/>
              </w:rPr>
              <w:t>REGISTRANT</w:t>
            </w:r>
          </w:p>
        </w:tc>
      </w:tr>
      <w:tr>
        <w:trPr>
          <w:trHeight w:val="392"/>
        </w:trPr>
        <w:tc>
          <w:tcPr>
            <w:tcW w:w="354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SECURITY NATIONAL FINANCIAL CORPORATION</w:t>
            </w:r>
          </w:p>
        </w:tc>
        <w:tc>
          <w:tcPr>
            <w:tcW w:w="3540" w:type="dxa"/>
            <w:vAlign w:val="bottom"/>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770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4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15, 2022</w:t>
            </w:r>
          </w:p>
        </w:tc>
        <w:tc>
          <w:tcPr>
            <w:tcW w:w="220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6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15, 2022</w:t>
            </w:r>
          </w:p>
        </w:tc>
        <w:tc>
          <w:tcPr>
            <w:tcW w:w="220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35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center"/>
              <w:ind w:left="1890"/>
              <w:spacing w:after="0"/>
              <w:rPr>
                <w:sz w:val="20"/>
                <w:szCs w:val="20"/>
                <w:color w:val="auto"/>
              </w:rPr>
            </w:pPr>
            <w:r>
              <w:rPr>
                <w:rFonts w:ascii="Times New Roman" w:cs="Times New Roman" w:eastAsia="Times New Roman" w:hAnsi="Times New Roman"/>
                <w:sz w:val="18"/>
                <w:szCs w:val="18"/>
                <w:color w:val="auto"/>
                <w:w w:val="99"/>
              </w:rPr>
              <w:t>62</w:t>
            </w:r>
          </w:p>
        </w:tc>
        <w:tc>
          <w:tcPr>
            <w:tcW w:w="19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3" w:name="page64"/>
    <w:bookmarkEnd w:id="63"/>
    <w:p>
      <w:pPr>
        <w:ind w:left="1010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694"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723"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40"/>
        <w:spacing w:after="0" w:line="282" w:lineRule="auto"/>
        <w:tabs>
          <w:tab w:leader="none" w:pos="721"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40"/>
        <w:spacing w:after="0" w:line="266" w:lineRule="auto"/>
        <w:tabs>
          <w:tab w:leader="none" w:pos="70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15, 2022</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4" w:name="page65"/>
    <w:bookmarkEnd w:id="64"/>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694"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723"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40"/>
        <w:spacing w:after="0" w:line="282" w:lineRule="auto"/>
        <w:tabs>
          <w:tab w:leader="none" w:pos="72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40"/>
        <w:spacing w:after="0" w:line="266" w:lineRule="auto"/>
        <w:tabs>
          <w:tab w:leader="none" w:pos="70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15, 2022</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June 30, 2022,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15, 2022</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66" w:name="page67"/>
    <w:bookmarkEnd w:id="66"/>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June 30, 2022,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15, 2022</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3"/>
    </w:lvl>
  </w:abstractNum>
  <w:abstractNum w:abstractNumId="7">
    <w:nsid w:val="614FD4A1"/>
    <w:multiLevelType w:val="hybridMultilevel"/>
    <w:lvl w:ilvl="0">
      <w:lvlJc w:val="left"/>
      <w:lvlText w:val="%1)"/>
      <w:numFmt w:val="decimal"/>
      <w:start w:val="3"/>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4"/>
    </w:lvl>
  </w:abstractNum>
  <w:abstractNum w:abstractNumId="11">
    <w:nsid w:val="5072367"/>
    <w:multiLevelType w:val="hybridMultilevel"/>
    <w:lvl w:ilvl="0">
      <w:lvlJc w:val="left"/>
      <w:lvlText w:val="%1)"/>
      <w:numFmt w:val="decimal"/>
      <w:start w:val="5"/>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5"/>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6"/>
    </w:lvl>
  </w:abstractNum>
  <w:abstractNum w:abstractNumId="18">
    <w:nsid w:val="51EAD36B"/>
    <w:multiLevelType w:val="hybridMultilevel"/>
    <w:lvl w:ilvl="0">
      <w:lvlJc w:val="left"/>
      <w:lvlText w:val="%1)"/>
      <w:numFmt w:val="decimal"/>
      <w:start w:val="7"/>
    </w:lvl>
  </w:abstractNum>
  <w:abstractNum w:abstractNumId="19">
    <w:nsid w:val="2D517796"/>
    <w:multiLevelType w:val="hybridMultilevel"/>
    <w:lvl w:ilvl="0">
      <w:lvlJc w:val="left"/>
      <w:lvlText w:val="%1)"/>
      <w:numFmt w:val="decimal"/>
      <w:start w:val="7"/>
    </w:lvl>
  </w:abstractNum>
  <w:abstractNum w:abstractNumId="20">
    <w:nsid w:val="580BD78F"/>
    <w:multiLevelType w:val="hybridMultilevel"/>
    <w:lvl w:ilvl="0">
      <w:lvlJc w:val="left"/>
      <w:lvlText w:val="%1)"/>
      <w:numFmt w:val="decimal"/>
      <w:start w:val="8"/>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1)"/>
      <w:numFmt w:val="decimal"/>
      <w:start w:val="8"/>
    </w:lvl>
  </w:abstractNum>
  <w:abstractNum w:abstractNumId="23">
    <w:nsid w:val="70A64E2A"/>
    <w:multiLevelType w:val="hybridMultilevel"/>
    <w:lvl w:ilvl="0">
      <w:lvlJc w:val="left"/>
      <w:lvlText w:val="%1)"/>
      <w:numFmt w:val="decimal"/>
      <w:start w:val="8"/>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8"/>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8"/>
    </w:lvl>
  </w:abstractNum>
  <w:abstractNum w:abstractNumId="28">
    <w:nsid w:val="2CD89A32"/>
    <w:multiLevelType w:val="hybridMultilevel"/>
    <w:lvl w:ilvl="0">
      <w:lvlJc w:val="left"/>
      <w:lvlText w:val="%1)"/>
      <w:numFmt w:val="decimal"/>
      <w:start w:val="8"/>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8"/>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8"/>
    </w:lvl>
  </w:abstractNum>
  <w:abstractNum w:abstractNumId="35">
    <w:nsid w:val="7644A45C"/>
    <w:multiLevelType w:val="hybridMultilevel"/>
    <w:lvl w:ilvl="0">
      <w:lvlJc w:val="left"/>
      <w:lvlText w:val="%1)"/>
      <w:numFmt w:val="decimal"/>
      <w:start w:val="8"/>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8"/>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8"/>
    </w:lvl>
  </w:abstractNum>
  <w:abstractNum w:abstractNumId="40">
    <w:nsid w:val="3DC240FB"/>
    <w:multiLevelType w:val="hybridMultilevel"/>
    <w:lvl w:ilvl="0">
      <w:lvlJc w:val="left"/>
      <w:lvlText w:val="%1)"/>
      <w:numFmt w:val="decimal"/>
      <w:start w:val="9"/>
    </w:lvl>
  </w:abstractNum>
  <w:abstractNum w:abstractNumId="41">
    <w:nsid w:val="1BA026FA"/>
    <w:multiLevelType w:val="hybridMultilevel"/>
    <w:lvl w:ilvl="0">
      <w:lvlJc w:val="left"/>
      <w:lvlText w:val="%1)"/>
      <w:numFmt w:val="decimal"/>
      <w:start w:val="10"/>
    </w:lvl>
  </w:abstractNum>
  <w:abstractNum w:abstractNumId="42">
    <w:nsid w:val="79A1DEAA"/>
    <w:multiLevelType w:val="hybridMultilevel"/>
    <w:lvl w:ilvl="0">
      <w:lvlJc w:val="left"/>
      <w:lvlText w:val="%1)"/>
      <w:numFmt w:val="decimal"/>
      <w:start w:val="10"/>
    </w:lvl>
  </w:abstractNum>
  <w:abstractNum w:abstractNumId="43">
    <w:nsid w:val="75C6C33A"/>
    <w:multiLevelType w:val="hybridMultilevel"/>
    <w:lvl w:ilvl="0">
      <w:lvlJc w:val="left"/>
      <w:lvlText w:val="%1)"/>
      <w:numFmt w:val="decimal"/>
      <w:start w:val="10"/>
    </w:lvl>
  </w:abstractNum>
  <w:abstractNum w:abstractNumId="44">
    <w:nsid w:val="12E685FB"/>
    <w:multiLevelType w:val="hybridMultilevel"/>
    <w:lvl w:ilvl="0">
      <w:lvlJc w:val="left"/>
      <w:lvlText w:val="%1)"/>
      <w:numFmt w:val="decimal"/>
      <w:start w:val="11"/>
    </w:lvl>
  </w:abstractNum>
  <w:abstractNum w:abstractNumId="45">
    <w:nsid w:val="70C6A529"/>
    <w:multiLevelType w:val="hybridMultilevel"/>
    <w:lvl w:ilvl="0">
      <w:lvlJc w:val="left"/>
      <w:lvlText w:val="%1)"/>
      <w:numFmt w:val="decimal"/>
      <w:start w:val="11"/>
    </w:lvl>
  </w:abstractNum>
  <w:abstractNum w:abstractNumId="46">
    <w:nsid w:val="520EEDD1"/>
    <w:multiLevelType w:val="hybridMultilevel"/>
    <w:lvl w:ilvl="0">
      <w:lvlJc w:val="left"/>
      <w:lvlText w:val="%1)"/>
      <w:numFmt w:val="decimal"/>
      <w:start w:val="12"/>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2"/>
    </w:lvl>
  </w:abstractNum>
  <w:abstractNum w:abstractNumId="49">
    <w:nsid w:val="23F9C13C"/>
    <w:multiLevelType w:val="hybridMultilevel"/>
    <w:lvl w:ilvl="0">
      <w:lvlJc w:val="left"/>
      <w:lvlText w:val="%1)"/>
      <w:numFmt w:val="decimal"/>
      <w:start w:val="13"/>
    </w:lvl>
  </w:abstractNum>
  <w:abstractNum w:abstractNumId="50">
    <w:nsid w:val="649BB77C"/>
    <w:multiLevelType w:val="hybridMultilevel"/>
    <w:lvl w:ilvl="0">
      <w:lvlJc w:val="left"/>
      <w:lvlText w:val="%1)"/>
      <w:numFmt w:val="decimal"/>
      <w:start w:val="14"/>
    </w:lvl>
  </w:abstractNum>
  <w:abstractNum w:abstractNumId="51">
    <w:nsid w:val="275AC794"/>
    <w:multiLevelType w:val="hybridMultilevel"/>
    <w:lvl w:ilvl="0">
      <w:lvlJc w:val="left"/>
      <w:lvlText w:val="%1)"/>
      <w:numFmt w:val="decimal"/>
      <w:start w:val="14"/>
    </w:lvl>
  </w:abstractNum>
  <w:abstractNum w:abstractNumId="52">
    <w:nsid w:val="39386575"/>
    <w:multiLevelType w:val="hybridMultilevel"/>
    <w:lvl w:ilvl="0">
      <w:lvlJc w:val="left"/>
      <w:lvlText w:val="%1)"/>
      <w:numFmt w:val="decimal"/>
      <w:start w:val="14"/>
    </w:lvl>
  </w:abstractNum>
  <w:abstractNum w:abstractNumId="53">
    <w:nsid w:val="1CF10FD8"/>
    <w:multiLevelType w:val="hybridMultilevel"/>
    <w:lvl w:ilvl="0">
      <w:lvlJc w:val="left"/>
      <w:lvlText w:val="(%1)"/>
      <w:numFmt w:val="lowerLetter"/>
      <w:start w:val="3"/>
    </w:lvl>
  </w:abstractNum>
  <w:abstractNum w:abstractNumId="54">
    <w:nsid w:val="180115BE"/>
    <w:multiLevelType w:val="hybridMultilevel"/>
    <w:lvl w:ilvl="0">
      <w:lvlJc w:val="left"/>
      <w:lvlText w:val="%1"/>
      <w:numFmt w:val="decimal"/>
      <w:start w:val="14"/>
    </w:lvl>
    <w:lvl w:ilvl="1">
      <w:lvlJc w:val="left"/>
      <w:lvlText w:val="%2"/>
      <w:numFmt w:val="decimal"/>
      <w:start w:val="1"/>
    </w:lvl>
  </w:abstractNum>
  <w:abstractNum w:abstractNumId="55">
    <w:nsid w:val="235BA861"/>
    <w:multiLevelType w:val="hybridMultilevel"/>
    <w:lvl w:ilvl="0">
      <w:lvlJc w:val="left"/>
      <w:lvlText w:val="%1"/>
      <w:numFmt w:val="decimal"/>
      <w:start w:val="21"/>
    </w:lvl>
    <w:lvl w:ilvl="1">
      <w:lvlJc w:val="left"/>
      <w:lvlText w:val="(%2)"/>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97" Type="http://schemas.openxmlformats.org/officeDocument/2006/relationships/hyperlink" Target="https://www.sec.gov/Archives/edgar/data/318673/000109690617000214/exh3_1.pdf" TargetMode="External"/><Relationship Id="rId98" Type="http://schemas.openxmlformats.org/officeDocument/2006/relationships/hyperlink" Target="https://www.sec.gov/Archives/edgar/data/318673/000109690619000199/exh3_2.pdf" TargetMode="External"/><Relationship Id="rId99" Type="http://schemas.openxmlformats.org/officeDocument/2006/relationships/hyperlink" Target="https://www.sec.gov/Archives/edgar/data/318673/000109690616001835/exh10_4.htm" TargetMode="External"/><Relationship Id="rId100" Type="http://schemas.openxmlformats.org/officeDocument/2006/relationships/hyperlink" Target="https://www.sec.gov/Archives/edgar/data/318673/000144586620001192/snfca_ex10z3.htm" TargetMode="External"/><Relationship Id="rId101" Type="http://schemas.openxmlformats.org/officeDocument/2006/relationships/hyperlink" Target="https://www.sec.gov/Archives/edgar/data/318673/000109690615001153/exh108.htm" TargetMode="External"/><Relationship Id="rId102" Type="http://schemas.openxmlformats.org/officeDocument/2006/relationships/hyperlink" Target="https://www.sec.gov/Archives/edgar/data/318673/000109690618000639/exh10_9.htm" TargetMode="External"/><Relationship Id="rId103" Type="http://schemas.openxmlformats.org/officeDocument/2006/relationships/hyperlink" Target="https://www.sec.gov/Archives/edgar/data/318673/000109690619000199/exh14.htm" TargetMode="External"/><Relationship Id="rId104" Type="http://schemas.openxmlformats.org/officeDocument/2006/relationships/hyperlink" Target="https://www.sec.gov/Archives/edgar/data/318673/000109690621000634/snfca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2022-08-15T10:47:47Z</dcterms:created>
  <dcterms:modified xsi:type="dcterms:W3CDTF">2022-08-15T10:47:47Z</dcterms:modified>
</cp:coreProperties>
</file>