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37"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2024</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03" w:lineRule="exact"/>
        <w:rPr>
          <w:sz w:val="24"/>
          <w:szCs w:val="24"/>
          <w:color w:val="auto"/>
        </w:rPr>
      </w:pPr>
    </w:p>
    <w:p>
      <w:pPr>
        <w:ind w:right="1860" w:firstLine="8"/>
        <w:spacing w:after="0" w:line="500" w:lineRule="auto"/>
        <w:tabs>
          <w:tab w:leader="none" w:pos="204"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_____ to ________</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000-09341</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SECURITY NATIONAL FINANCIAL CORPORATION</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pacing w:after="0" w:line="201" w:lineRule="exact"/>
        <w:rPr>
          <w:sz w:val="24"/>
          <w:szCs w:val="24"/>
          <w:color w:val="auto"/>
        </w:rPr>
      </w:pPr>
    </w:p>
    <w:tbl>
      <w:tblPr>
        <w:tblLayout w:type="fixed"/>
        <w:tblInd w:w="580" w:type="dxa"/>
        <w:tblCellMar>
          <w:top w:w="0" w:type="dxa"/>
          <w:left w:w="0" w:type="dxa"/>
          <w:bottom w:w="0" w:type="dxa"/>
          <w:right w:w="0" w:type="dxa"/>
        </w:tblCellMar>
      </w:tblPr>
      <w:tr>
        <w:trPr>
          <w:trHeight w:val="218"/>
        </w:trPr>
        <w:tc>
          <w:tcPr>
            <w:tcW w:w="5500" w:type="dxa"/>
            <w:vAlign w:val="bottom"/>
          </w:tcPr>
          <w:p>
            <w:pPr>
              <w:jc w:val="center"/>
              <w:ind w:right="1050"/>
              <w:spacing w:after="0"/>
              <w:rPr>
                <w:sz w:val="20"/>
                <w:szCs w:val="20"/>
                <w:color w:val="auto"/>
              </w:rPr>
            </w:pPr>
            <w:r>
              <w:rPr>
                <w:rFonts w:ascii="Times New Roman" w:cs="Times New Roman" w:eastAsia="Times New Roman" w:hAnsi="Times New Roman"/>
                <w:sz w:val="18"/>
                <w:szCs w:val="18"/>
                <w:b w:val="1"/>
                <w:bCs w:val="1"/>
                <w:color w:val="auto"/>
                <w:w w:val="99"/>
              </w:rPr>
              <w:t>UTAH</w:t>
            </w:r>
          </w:p>
        </w:tc>
        <w:tc>
          <w:tcPr>
            <w:tcW w:w="3700" w:type="dxa"/>
            <w:vAlign w:val="bottom"/>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87-0345941</w:t>
            </w:r>
          </w:p>
        </w:tc>
      </w:tr>
      <w:tr>
        <w:trPr>
          <w:trHeight w:val="236"/>
        </w:trPr>
        <w:tc>
          <w:tcPr>
            <w:tcW w:w="5500" w:type="dxa"/>
            <w:vAlign w:val="bottom"/>
          </w:tcPr>
          <w:p>
            <w:pPr>
              <w:jc w:val="center"/>
              <w:ind w:right="1030"/>
              <w:spacing w:after="0"/>
              <w:rPr>
                <w:sz w:val="20"/>
                <w:szCs w:val="20"/>
                <w:color w:val="auto"/>
              </w:rPr>
            </w:pPr>
            <w:r>
              <w:rPr>
                <w:rFonts w:ascii="Times New Roman" w:cs="Times New Roman" w:eastAsia="Times New Roman" w:hAnsi="Times New Roman"/>
                <w:sz w:val="18"/>
                <w:szCs w:val="18"/>
                <w:i w:val="1"/>
                <w:iCs w:val="1"/>
                <w:color w:val="auto"/>
                <w:w w:val="99"/>
              </w:rPr>
              <w:t>(State or other jurisdiction of incorporation or organization)</w:t>
            </w:r>
          </w:p>
        </w:tc>
        <w:tc>
          <w:tcPr>
            <w:tcW w:w="3700" w:type="dxa"/>
            <w:vAlign w:val="bottom"/>
          </w:tcPr>
          <w:p>
            <w:pPr>
              <w:jc w:val="center"/>
              <w:ind w:left="1030"/>
              <w:spacing w:after="0"/>
              <w:rPr>
                <w:sz w:val="20"/>
                <w:szCs w:val="20"/>
                <w:color w:val="auto"/>
              </w:rPr>
            </w:pPr>
            <w:r>
              <w:rPr>
                <w:rFonts w:ascii="Times New Roman" w:cs="Times New Roman" w:eastAsia="Times New Roman" w:hAnsi="Times New Roman"/>
                <w:sz w:val="18"/>
                <w:szCs w:val="18"/>
                <w:i w:val="1"/>
                <w:iCs w:val="1"/>
                <w:color w:val="auto"/>
              </w:rPr>
              <w:t>(I.R.S. Employer Identification No.)</w:t>
            </w:r>
          </w:p>
        </w:tc>
      </w:tr>
      <w:tr>
        <w:trPr>
          <w:trHeight w:val="412"/>
        </w:trPr>
        <w:tc>
          <w:tcPr>
            <w:tcW w:w="5500" w:type="dxa"/>
            <w:vAlign w:val="bottom"/>
          </w:tcPr>
          <w:p>
            <w:pPr>
              <w:jc w:val="center"/>
              <w:ind w:right="1050"/>
              <w:spacing w:after="0"/>
              <w:rPr>
                <w:sz w:val="20"/>
                <w:szCs w:val="20"/>
                <w:color w:val="auto"/>
              </w:rPr>
            </w:pPr>
            <w:r>
              <w:rPr>
                <w:rFonts w:ascii="Times New Roman" w:cs="Times New Roman" w:eastAsia="Times New Roman" w:hAnsi="Times New Roman"/>
                <w:sz w:val="18"/>
                <w:szCs w:val="18"/>
                <w:b w:val="1"/>
                <w:bCs w:val="1"/>
                <w:color w:val="auto"/>
                <w:w w:val="99"/>
              </w:rPr>
              <w:t>433 Ascension Way, 6th Floor, Salt Lake City, Utah</w:t>
            </w:r>
          </w:p>
        </w:tc>
        <w:tc>
          <w:tcPr>
            <w:tcW w:w="3700" w:type="dxa"/>
            <w:vAlign w:val="bottom"/>
          </w:tcPr>
          <w:p>
            <w:pPr>
              <w:jc w:val="right"/>
              <w:ind w:right="970"/>
              <w:spacing w:after="0"/>
              <w:rPr>
                <w:sz w:val="20"/>
                <w:szCs w:val="20"/>
                <w:color w:val="auto"/>
              </w:rPr>
            </w:pPr>
            <w:r>
              <w:rPr>
                <w:rFonts w:ascii="Times New Roman" w:cs="Times New Roman" w:eastAsia="Times New Roman" w:hAnsi="Times New Roman"/>
                <w:sz w:val="18"/>
                <w:szCs w:val="18"/>
                <w:b w:val="1"/>
                <w:bCs w:val="1"/>
                <w:color w:val="auto"/>
              </w:rPr>
              <w:t>84123</w:t>
            </w:r>
          </w:p>
        </w:tc>
      </w:tr>
      <w:tr>
        <w:trPr>
          <w:trHeight w:val="236"/>
        </w:trPr>
        <w:tc>
          <w:tcPr>
            <w:tcW w:w="5500" w:type="dxa"/>
            <w:vAlign w:val="bottom"/>
          </w:tcPr>
          <w:p>
            <w:pPr>
              <w:jc w:val="center"/>
              <w:ind w:right="1050"/>
              <w:spacing w:after="0"/>
              <w:rPr>
                <w:sz w:val="20"/>
                <w:szCs w:val="20"/>
                <w:color w:val="auto"/>
              </w:rPr>
            </w:pPr>
            <w:r>
              <w:rPr>
                <w:rFonts w:ascii="Times New Roman" w:cs="Times New Roman" w:eastAsia="Times New Roman" w:hAnsi="Times New Roman"/>
                <w:sz w:val="18"/>
                <w:szCs w:val="18"/>
                <w:i w:val="1"/>
                <w:iCs w:val="1"/>
                <w:color w:val="auto"/>
                <w:w w:val="99"/>
              </w:rPr>
              <w:t>(Address of principal executive offices)</w:t>
            </w:r>
          </w:p>
        </w:tc>
        <w:tc>
          <w:tcPr>
            <w:tcW w:w="3700" w:type="dxa"/>
            <w:vAlign w:val="bottom"/>
          </w:tcPr>
          <w:p>
            <w:pPr>
              <w:jc w:val="center"/>
              <w:ind w:left="1030"/>
              <w:spacing w:after="0"/>
              <w:rPr>
                <w:sz w:val="20"/>
                <w:szCs w:val="20"/>
                <w:color w:val="auto"/>
              </w:rPr>
            </w:pPr>
            <w:r>
              <w:rPr>
                <w:rFonts w:ascii="Times New Roman" w:cs="Times New Roman" w:eastAsia="Times New Roman" w:hAnsi="Times New Roman"/>
                <w:sz w:val="18"/>
                <w:szCs w:val="18"/>
                <w:i w:val="1"/>
                <w:iCs w:val="1"/>
                <w:color w:val="auto"/>
                <w:w w:val="99"/>
              </w:rPr>
              <w:t>(Zip Code)</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(801) 264-1060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(Registrant’s telephone number, including area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ectPr>
          <w:pgSz w:w="11900" w:h="16838" w:orient="portrait"/>
          <w:cols w:equalWidth="0" w:num="1">
            <w:col w:w="11240"/>
          </w:cols>
          <w:pgMar w:left="320" w:top="740" w:right="339" w:bottom="1440" w:gutter="0" w:footer="0" w:header="0"/>
        </w:sectPr>
      </w:pPr>
    </w:p>
    <w:p>
      <w:pPr>
        <w:spacing w:after="0" w:line="2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Title of each class</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Class A Common Stock</w:t>
      </w:r>
    </w:p>
    <w:p>
      <w:pPr>
        <w:spacing w:after="0" w:line="20" w:lineRule="exact"/>
        <w:rPr>
          <w:sz w:val="24"/>
          <w:szCs w:val="24"/>
          <w:color w:val="auto"/>
        </w:rPr>
      </w:pPr>
      <w:r>
        <w:rPr>
          <w:sz w:val="24"/>
          <w:szCs w:val="24"/>
          <w:color w:val="auto"/>
        </w:rPr>
        <w:br w:type="column"/>
      </w:r>
    </w:p>
    <w:p>
      <w:pPr>
        <w:spacing w:after="0" w:line="205"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7"/>
          <w:szCs w:val="17"/>
          <w:b w:val="1"/>
          <w:bCs w:val="1"/>
          <w:color w:val="auto"/>
        </w:rPr>
        <w:t>Trading symbol</w:t>
      </w:r>
    </w:p>
    <w:p>
      <w:pPr>
        <w:spacing w:after="0" w:line="43"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SNFCA</w:t>
      </w:r>
    </w:p>
    <w:p>
      <w:pPr>
        <w:spacing w:after="0" w:line="20" w:lineRule="exact"/>
        <w:rPr>
          <w:sz w:val="24"/>
          <w:szCs w:val="24"/>
          <w:color w:val="auto"/>
        </w:rPr>
      </w:pPr>
      <w:r>
        <w:rPr>
          <w:sz w:val="24"/>
          <w:szCs w:val="24"/>
          <w:color w:val="auto"/>
        </w:rPr>
        <w:br w:type="column"/>
      </w:r>
    </w:p>
    <w:p>
      <w:pPr>
        <w:spacing w:after="0" w:line="205" w:lineRule="exact"/>
        <w:rPr>
          <w:sz w:val="24"/>
          <w:szCs w:val="24"/>
          <w:color w:val="auto"/>
        </w:rPr>
      </w:pPr>
    </w:p>
    <w:p>
      <w:pPr>
        <w:jc w:val="center"/>
        <w:ind w:right="460"/>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p>
      <w:pPr>
        <w:spacing w:after="0" w:line="43" w:lineRule="exact"/>
        <w:rPr>
          <w:sz w:val="24"/>
          <w:szCs w:val="24"/>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The Nasdaq Global Select Market</w:t>
      </w:r>
    </w:p>
    <w:p>
      <w:pPr>
        <w:spacing w:after="0" w:line="200" w:lineRule="exact"/>
        <w:rPr>
          <w:sz w:val="24"/>
          <w:szCs w:val="24"/>
          <w:color w:val="auto"/>
        </w:rPr>
      </w:pPr>
    </w:p>
    <w:p>
      <w:pPr>
        <w:sectPr>
          <w:pgSz w:w="11900" w:h="16838" w:orient="portrait"/>
          <w:cols w:equalWidth="0" w:num="3">
            <w:col w:w="4320" w:space="720"/>
            <w:col w:w="1680" w:space="720"/>
            <w:col w:w="3800"/>
          </w:cols>
          <w:pgMar w:left="320" w:top="740" w:right="339" w:bottom="1440" w:gutter="0" w:footer="0" w:header="0"/>
          <w:type w:val="continuous"/>
        </w:sectPr>
      </w:pPr>
    </w:p>
    <w:p>
      <w:pPr>
        <w:spacing w:after="0" w:line="7" w:lineRule="exact"/>
        <w:rPr>
          <w:sz w:val="24"/>
          <w:szCs w:val="24"/>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4"/>
          <w:szCs w:val="24"/>
          <w:color w:val="auto"/>
        </w:rPr>
      </w:pPr>
    </w:p>
    <w:p>
      <w:pPr>
        <w:ind w:left="10300"/>
        <w:spacing w:after="0" w:line="184" w:lineRule="exact"/>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35" w:lineRule="exact"/>
        <w:rPr>
          <w:sz w:val="24"/>
          <w:szCs w:val="24"/>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ind w:left="10300"/>
        <w:spacing w:after="0" w:line="184" w:lineRule="exact"/>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35" w:lineRule="exact"/>
        <w:rPr>
          <w:sz w:val="24"/>
          <w:szCs w:val="24"/>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740" w:right="339" w:bottom="1440" w:gutter="0" w:footer="0" w:header="0"/>
          <w:type w:val="continuous"/>
        </w:sectPr>
      </w:pPr>
    </w:p>
    <w:p>
      <w:pPr>
        <w:spacing w:after="0" w:line="135" w:lineRule="exact"/>
        <w:rPr>
          <w:sz w:val="24"/>
          <w:szCs w:val="24"/>
          <w:color w:val="auto"/>
        </w:rPr>
      </w:pPr>
    </w:p>
    <w:p>
      <w:pPr>
        <w:ind w:left="800"/>
        <w:spacing w:after="0" w:line="207"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p>
    <w:p>
      <w:pPr>
        <w:spacing w:after="0" w:line="70" w:lineRule="exact"/>
        <w:rPr>
          <w:sz w:val="24"/>
          <w:szCs w:val="24"/>
          <w:color w:val="auto"/>
        </w:rPr>
      </w:pPr>
    </w:p>
    <w:p>
      <w:pPr>
        <w:ind w:left="800"/>
        <w:spacing w:after="0" w:line="196" w:lineRule="exact"/>
        <w:rPr>
          <w:sz w:val="20"/>
          <w:szCs w:val="20"/>
          <w:color w:val="auto"/>
        </w:rPr>
      </w:pPr>
      <w:r>
        <w:rPr>
          <w:rFonts w:ascii="Times New Roman" w:cs="Times New Roman" w:eastAsia="Times New Roman" w:hAnsi="Times New Roman"/>
          <w:sz w:val="17"/>
          <w:szCs w:val="17"/>
          <w:color w:val="auto"/>
        </w:rPr>
        <w:t xml:space="preserve">Non-accelerated filer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(Do not check if a smaller reporting company)</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70"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21"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00" w:lineRule="exact"/>
        <w:rPr>
          <w:sz w:val="24"/>
          <w:szCs w:val="24"/>
          <w:color w:val="auto"/>
        </w:rPr>
      </w:pPr>
    </w:p>
    <w:p>
      <w:pPr>
        <w:sectPr>
          <w:pgSz w:w="11900" w:h="16838" w:orient="portrait"/>
          <w:cols w:equalWidth="0" w:num="2">
            <w:col w:w="7160" w:space="720"/>
            <w:col w:w="3360"/>
          </w:cols>
          <w:pgMar w:left="320" w:top="740" w:right="339" w:bottom="1440" w:gutter="0" w:footer="0" w:header="0"/>
          <w:type w:val="continuous"/>
        </w:sectPr>
      </w:pPr>
    </w:p>
    <w:p>
      <w:pPr>
        <w:spacing w:after="0" w:line="44" w:lineRule="exact"/>
        <w:rPr>
          <w:sz w:val="24"/>
          <w:szCs w:val="24"/>
          <w:color w:val="auto"/>
        </w:rPr>
      </w:pPr>
    </w:p>
    <w:p>
      <w:pPr>
        <w:ind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0"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22" w:lineRule="exact"/>
        <w:rPr>
          <w:sz w:val="24"/>
          <w:szCs w:val="24"/>
          <w:color w:val="auto"/>
        </w:rPr>
      </w:pPr>
    </w:p>
    <w:p>
      <w:pPr>
        <w:ind w:left="10300"/>
        <w:spacing w:after="0" w:line="184" w:lineRule="exact"/>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35" w:lineRule="exact"/>
        <w:rPr>
          <w:sz w:val="24"/>
          <w:szCs w:val="24"/>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As of August 6, 2024, the registrant had 21,099,277 shares of Class A Common Stock, $2.00 par value, outstanding and 3,120,166 shares of Class C Common Stock, $2.00 par value,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465455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SECURITY NATIONAL FINANCIAL CORPORATION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QUARTER ENDED JUNE 30, 2024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60" w:type="dxa"/>
            <w:vAlign w:val="bottom"/>
            <w:gridSpan w:val="12"/>
          </w:tcPr>
          <w:p>
            <w:pPr>
              <w:ind w:left="5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980" w:type="dxa"/>
            <w:vAlign w:val="bottom"/>
          </w:tcPr>
          <w:p>
            <w:pPr>
              <w:spacing w:after="0"/>
              <w:rPr>
                <w:sz w:val="20"/>
                <w:szCs w:val="20"/>
                <w:color w:val="auto"/>
              </w:rPr>
            </w:pPr>
          </w:p>
        </w:tc>
      </w:tr>
      <w:tr>
        <w:trPr>
          <w:trHeight w:val="452"/>
        </w:trPr>
        <w:tc>
          <w:tcPr>
            <w:tcW w:w="780" w:type="dxa"/>
            <w:vAlign w:val="bottom"/>
            <w:tcBorders>
              <w:bottom w:val="single" w:sz="8" w:color="CCEEFF"/>
            </w:tcBorders>
          </w:tcPr>
          <w:p>
            <w:pPr>
              <w:spacing w:after="0"/>
              <w:rPr>
                <w:sz w:val="24"/>
                <w:szCs w:val="24"/>
                <w:color w:val="auto"/>
              </w:rPr>
            </w:pPr>
          </w:p>
        </w:tc>
        <w:tc>
          <w:tcPr>
            <w:tcW w:w="6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560" w:type="dxa"/>
            <w:vAlign w:val="bottom"/>
            <w:tcBorders>
              <w:bottom w:val="single" w:sz="8" w:color="CCEEFF"/>
            </w:tcBorders>
          </w:tcPr>
          <w:p>
            <w:pPr>
              <w:spacing w:after="0"/>
              <w:rPr>
                <w:sz w:val="24"/>
                <w:szCs w:val="24"/>
                <w:color w:val="auto"/>
              </w:rPr>
            </w:pPr>
          </w:p>
        </w:tc>
        <w:tc>
          <w:tcPr>
            <w:tcW w:w="12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6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520" w:type="dxa"/>
            <w:vAlign w:val="bottom"/>
            <w:tcBorders>
              <w:bottom w:val="single" w:sz="8" w:color="CCEEFF"/>
            </w:tcBorders>
          </w:tcPr>
          <w:p>
            <w:pPr>
              <w:spacing w:after="0"/>
              <w:rPr>
                <w:sz w:val="24"/>
                <w:szCs w:val="24"/>
                <w:color w:val="auto"/>
              </w:rPr>
            </w:pPr>
          </w:p>
        </w:tc>
        <w:tc>
          <w:tcPr>
            <w:tcW w:w="8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620" w:type="dxa"/>
            <w:vAlign w:val="bottom"/>
            <w:tcBorders>
              <w:bottom w:val="single" w:sz="8" w:color="CCEEFF"/>
            </w:tcBorders>
          </w:tcPr>
          <w:p>
            <w:pPr>
              <w:spacing w:after="0"/>
              <w:rPr>
                <w:sz w:val="24"/>
                <w:szCs w:val="24"/>
                <w:color w:val="auto"/>
              </w:rPr>
            </w:pPr>
          </w:p>
        </w:tc>
        <w:tc>
          <w:tcPr>
            <w:tcW w:w="540" w:type="dxa"/>
            <w:vAlign w:val="bottom"/>
            <w:tcBorders>
              <w:bottom w:val="single" w:sz="8" w:color="CCEEFF"/>
            </w:tcBorders>
          </w:tcPr>
          <w:p>
            <w:pPr>
              <w:spacing w:after="0"/>
              <w:rPr>
                <w:sz w:val="24"/>
                <w:szCs w:val="24"/>
                <w:color w:val="auto"/>
              </w:rPr>
            </w:pPr>
          </w:p>
        </w:tc>
        <w:tc>
          <w:tcPr>
            <w:tcW w:w="1060" w:type="dxa"/>
            <w:vAlign w:val="bottom"/>
            <w:tcBorders>
              <w:bottom w:val="single" w:sz="8" w:color="CCEEFF"/>
            </w:tcBorders>
          </w:tcPr>
          <w:p>
            <w:pPr>
              <w:spacing w:after="0"/>
              <w:rPr>
                <w:sz w:val="24"/>
                <w:szCs w:val="24"/>
                <w:color w:val="auto"/>
              </w:rPr>
            </w:pPr>
          </w:p>
        </w:tc>
        <w:tc>
          <w:tcPr>
            <w:tcW w:w="62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9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Page No.</w:t>
            </w:r>
          </w:p>
        </w:tc>
      </w:tr>
      <w:tr>
        <w:trPr>
          <w:trHeight w:val="196"/>
        </w:trPr>
        <w:tc>
          <w:tcPr>
            <w:tcW w:w="78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2320" w:type="dxa"/>
            <w:vAlign w:val="bottom"/>
            <w:tcBorders>
              <w:bottom w:val="single" w:sz="8" w:color="0000EE"/>
            </w:tcBorders>
            <w:gridSpan w:val="6"/>
            <w:shd w:val="clear" w:color="auto" w:fill="CCEEFF"/>
          </w:tcPr>
          <w:p>
            <w:pPr>
              <w:jc w:val="center"/>
              <w:spacing w:after="0" w:line="162" w:lineRule="exact"/>
              <w:rPr>
                <w:sz w:val="20"/>
                <w:szCs w:val="20"/>
                <w:color w:val="auto"/>
              </w:rPr>
            </w:pPr>
            <w:r>
              <w:rPr>
                <w:rFonts w:ascii="Times New Roman" w:cs="Times New Roman" w:eastAsia="Times New Roman" w:hAnsi="Times New Roman"/>
                <w:sz w:val="18"/>
                <w:szCs w:val="18"/>
                <w:b w:val="1"/>
                <w:bCs w:val="1"/>
                <w:color w:val="0000EE"/>
              </w:rPr>
              <w:t>Part I - Financial Information</w:t>
            </w:r>
          </w:p>
        </w:tc>
        <w:tc>
          <w:tcPr>
            <w:tcW w:w="3640" w:type="dxa"/>
            <w:vAlign w:val="bottom"/>
            <w:tcBorders>
              <w:bottom w:val="single" w:sz="8" w:color="CCEEFF"/>
            </w:tcBorders>
            <w:gridSpan w:val="7"/>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r>
      <w:tr>
        <w:trPr>
          <w:trHeight w:val="175"/>
        </w:trPr>
        <w:tc>
          <w:tcPr>
            <w:tcW w:w="7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948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Financial Statements</w:t>
            </w:r>
          </w:p>
        </w:tc>
        <w:tc>
          <w:tcPr>
            <w:tcW w:w="980" w:type="dxa"/>
            <w:vAlign w:val="bottom"/>
          </w:tcPr>
          <w:p>
            <w:pPr>
              <w:spacing w:after="0"/>
              <w:rPr>
                <w:sz w:val="15"/>
                <w:szCs w:val="15"/>
                <w:color w:val="auto"/>
              </w:rPr>
            </w:pPr>
          </w:p>
        </w:tc>
      </w:tr>
      <w:tr>
        <w:trPr>
          <w:trHeight w:val="21"/>
        </w:trPr>
        <w:tc>
          <w:tcPr>
            <w:tcW w:w="7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75"/>
        </w:trPr>
        <w:tc>
          <w:tcPr>
            <w:tcW w:w="780" w:type="dxa"/>
            <w:vAlign w:val="bottom"/>
            <w:shd w:val="clear" w:color="auto" w:fill="CCEEFF"/>
          </w:tcPr>
          <w:p>
            <w:pPr>
              <w:spacing w:after="0"/>
              <w:rPr>
                <w:sz w:val="15"/>
                <w:szCs w:val="15"/>
                <w:color w:val="auto"/>
              </w:rPr>
            </w:pPr>
          </w:p>
        </w:tc>
        <w:tc>
          <w:tcPr>
            <w:tcW w:w="948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Balance Sheets as of June 30, 2024 (unaudited) and December 31, 2023</w:t>
            </w:r>
          </w:p>
        </w:tc>
        <w:tc>
          <w:tcPr>
            <w:tcW w:w="9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3-4</w:t>
            </w:r>
          </w:p>
        </w:tc>
      </w:tr>
      <w:tr>
        <w:trPr>
          <w:trHeight w:val="21"/>
        </w:trPr>
        <w:tc>
          <w:tcPr>
            <w:tcW w:w="7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12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8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780" w:type="dxa"/>
            <w:vAlign w:val="bottom"/>
          </w:tcPr>
          <w:p>
            <w:pPr>
              <w:spacing w:after="0"/>
              <w:rPr>
                <w:sz w:val="15"/>
                <w:szCs w:val="15"/>
                <w:color w:val="auto"/>
              </w:rPr>
            </w:pPr>
          </w:p>
        </w:tc>
        <w:tc>
          <w:tcPr>
            <w:tcW w:w="948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Earnings for the three and six month periods ended June 30, 2024 and 2023 (unaudited)</w:t>
            </w:r>
          </w:p>
        </w:tc>
        <w:tc>
          <w:tcPr>
            <w:tcW w:w="9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5</w:t>
            </w:r>
          </w:p>
        </w:tc>
      </w:tr>
      <w:tr>
        <w:trPr>
          <w:trHeight w:val="21"/>
        </w:trPr>
        <w:tc>
          <w:tcPr>
            <w:tcW w:w="7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76"/>
        </w:trPr>
        <w:tc>
          <w:tcPr>
            <w:tcW w:w="780" w:type="dxa"/>
            <w:vAlign w:val="bottom"/>
            <w:tcBorders>
              <w:bottom w:val="single" w:sz="8" w:color="CCEEFF"/>
            </w:tcBorders>
            <w:shd w:val="clear" w:color="auto" w:fill="CCEEFF"/>
          </w:tcPr>
          <w:p>
            <w:pPr>
              <w:spacing w:after="0"/>
              <w:rPr>
                <w:sz w:val="15"/>
                <w:szCs w:val="15"/>
                <w:color w:val="auto"/>
              </w:rPr>
            </w:pPr>
          </w:p>
        </w:tc>
        <w:tc>
          <w:tcPr>
            <w:tcW w:w="8980" w:type="dxa"/>
            <w:vAlign w:val="bottom"/>
            <w:tcBorders>
              <w:bottom w:val="single" w:sz="8" w:color="0000EE"/>
            </w:tcBorders>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Condensed Consolidated Statements of Comprehensive Income for the three and six month periods ended June 30, 2024 and</w:t>
            </w:r>
          </w:p>
        </w:tc>
        <w:tc>
          <w:tcPr>
            <w:tcW w:w="500" w:type="dxa"/>
            <w:vAlign w:val="bottom"/>
            <w:tcBorders>
              <w:bottom w:val="single" w:sz="8" w:color="CCEEFF"/>
            </w:tcBorders>
            <w:gridSpan w:val="2"/>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r>
      <w:tr>
        <w:trPr>
          <w:trHeight w:val="216"/>
        </w:trPr>
        <w:tc>
          <w:tcPr>
            <w:tcW w:w="78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0000EE"/>
            </w:tcBorders>
            <w:gridSpan w:val="4"/>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w w:val="98"/>
              </w:rPr>
              <w:t>2023 (unaudited)</w:t>
            </w:r>
          </w:p>
        </w:tc>
        <w:tc>
          <w:tcPr>
            <w:tcW w:w="8240" w:type="dxa"/>
            <w:vAlign w:val="bottom"/>
            <w:tcBorders>
              <w:bottom w:val="single" w:sz="8" w:color="CCEEFF"/>
            </w:tcBorders>
            <w:gridSpan w:val="19"/>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176"/>
        </w:trPr>
        <w:tc>
          <w:tcPr>
            <w:tcW w:w="780" w:type="dxa"/>
            <w:vAlign w:val="bottom"/>
          </w:tcPr>
          <w:p>
            <w:pPr>
              <w:spacing w:after="0"/>
              <w:rPr>
                <w:sz w:val="15"/>
                <w:szCs w:val="15"/>
                <w:color w:val="auto"/>
              </w:rPr>
            </w:pPr>
          </w:p>
        </w:tc>
        <w:tc>
          <w:tcPr>
            <w:tcW w:w="948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Stockholders’ Equity as of June 30, 2024 and June 30, 2023 (unaudited)</w:t>
            </w:r>
          </w:p>
        </w:tc>
        <w:tc>
          <w:tcPr>
            <w:tcW w:w="9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7</w:t>
            </w:r>
          </w:p>
        </w:tc>
      </w:tr>
      <w:tr>
        <w:trPr>
          <w:trHeight w:val="21"/>
        </w:trPr>
        <w:tc>
          <w:tcPr>
            <w:tcW w:w="7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96"/>
        </w:trPr>
        <w:tc>
          <w:tcPr>
            <w:tcW w:w="780" w:type="dxa"/>
            <w:vAlign w:val="bottom"/>
            <w:tcBorders>
              <w:bottom w:val="single" w:sz="8" w:color="CCEEFF"/>
            </w:tcBorders>
            <w:shd w:val="clear" w:color="auto" w:fill="CCEEFF"/>
          </w:tcPr>
          <w:p>
            <w:pPr>
              <w:spacing w:after="0"/>
              <w:rPr>
                <w:sz w:val="17"/>
                <w:szCs w:val="17"/>
                <w:color w:val="auto"/>
              </w:rPr>
            </w:pPr>
          </w:p>
        </w:tc>
        <w:tc>
          <w:tcPr>
            <w:tcW w:w="8680" w:type="dxa"/>
            <w:vAlign w:val="bottom"/>
            <w:tcBorders>
              <w:bottom w:val="single" w:sz="8" w:color="0000EE"/>
            </w:tcBorders>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Condensed Consolidated Statements of Cash Flows for the six month periods ended June 30, 2024 and 2023 (unaudited)</w:t>
            </w:r>
          </w:p>
        </w:tc>
        <w:tc>
          <w:tcPr>
            <w:tcW w:w="800" w:type="dxa"/>
            <w:vAlign w:val="bottom"/>
            <w:tcBorders>
              <w:bottom w:val="single" w:sz="8" w:color="CCEEFF"/>
            </w:tcBorders>
            <w:gridSpan w:val="3"/>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8-9</w:t>
            </w:r>
          </w:p>
        </w:tc>
      </w:tr>
      <w:tr>
        <w:trPr>
          <w:trHeight w:val="175"/>
        </w:trPr>
        <w:tc>
          <w:tcPr>
            <w:tcW w:w="780" w:type="dxa"/>
            <w:vAlign w:val="bottom"/>
          </w:tcPr>
          <w:p>
            <w:pPr>
              <w:spacing w:after="0"/>
              <w:rPr>
                <w:sz w:val="15"/>
                <w:szCs w:val="15"/>
                <w:color w:val="auto"/>
              </w:rPr>
            </w:pPr>
          </w:p>
        </w:tc>
        <w:tc>
          <w:tcPr>
            <w:tcW w:w="948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Notes to Condensed Consolidated Financial Statements (unaudited)</w:t>
            </w:r>
          </w:p>
        </w:tc>
        <w:tc>
          <w:tcPr>
            <w:tcW w:w="9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10</w:t>
            </w:r>
          </w:p>
        </w:tc>
      </w:tr>
      <w:tr>
        <w:trPr>
          <w:trHeight w:val="21"/>
        </w:trPr>
        <w:tc>
          <w:tcPr>
            <w:tcW w:w="7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96"/>
        </w:trPr>
        <w:tc>
          <w:tcPr>
            <w:tcW w:w="78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6460" w:type="dxa"/>
            <w:vAlign w:val="bottom"/>
            <w:tcBorders>
              <w:bottom w:val="single" w:sz="8" w:color="0000EE"/>
            </w:tcBorders>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 Operations</w:t>
            </w:r>
          </w:p>
        </w:tc>
        <w:tc>
          <w:tcPr>
            <w:tcW w:w="3020" w:type="dxa"/>
            <w:vAlign w:val="bottom"/>
            <w:tcBorders>
              <w:bottom w:val="single" w:sz="8" w:color="CCEEFF"/>
            </w:tcBorders>
            <w:gridSpan w:val="6"/>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66</w:t>
            </w:r>
          </w:p>
        </w:tc>
      </w:tr>
      <w:tr>
        <w:trPr>
          <w:trHeight w:val="176"/>
        </w:trPr>
        <w:tc>
          <w:tcPr>
            <w:tcW w:w="7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948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9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72</w:t>
            </w:r>
          </w:p>
        </w:tc>
      </w:tr>
      <w:tr>
        <w:trPr>
          <w:trHeight w:val="20"/>
        </w:trPr>
        <w:tc>
          <w:tcPr>
            <w:tcW w:w="7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96"/>
        </w:trPr>
        <w:tc>
          <w:tcPr>
            <w:tcW w:w="7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948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Controls and Procedures</w:t>
            </w:r>
          </w:p>
        </w:tc>
        <w:tc>
          <w:tcPr>
            <w:tcW w:w="9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72</w:t>
            </w:r>
          </w:p>
        </w:tc>
      </w:tr>
      <w:tr>
        <w:trPr>
          <w:trHeight w:val="175"/>
        </w:trPr>
        <w:tc>
          <w:tcPr>
            <w:tcW w:w="780" w:type="dxa"/>
            <w:vAlign w:val="bottom"/>
            <w:tcBorders>
              <w:top w:val="single" w:sz="8" w:color="CCEEFF"/>
            </w:tcBorders>
          </w:tcPr>
          <w:p>
            <w:pPr>
              <w:spacing w:after="0"/>
              <w:rPr>
                <w:sz w:val="15"/>
                <w:szCs w:val="15"/>
                <w:color w:val="auto"/>
              </w:rPr>
            </w:pPr>
          </w:p>
        </w:tc>
        <w:tc>
          <w:tcPr>
            <w:tcW w:w="60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34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560" w:type="dxa"/>
            <w:vAlign w:val="bottom"/>
            <w:tcBorders>
              <w:top w:val="single" w:sz="8" w:color="CCEEFF"/>
            </w:tcBorders>
          </w:tcPr>
          <w:p>
            <w:pPr>
              <w:spacing w:after="0"/>
              <w:rPr>
                <w:sz w:val="15"/>
                <w:szCs w:val="15"/>
                <w:color w:val="auto"/>
              </w:rPr>
            </w:pPr>
          </w:p>
        </w:tc>
        <w:tc>
          <w:tcPr>
            <w:tcW w:w="1200" w:type="dxa"/>
            <w:vAlign w:val="bottom"/>
            <w:tcBorders>
              <w:top w:val="single" w:sz="8" w:color="CCEEFF"/>
            </w:tcBorders>
          </w:tcPr>
          <w:p>
            <w:pPr>
              <w:spacing w:after="0"/>
              <w:rPr>
                <w:sz w:val="15"/>
                <w:szCs w:val="15"/>
                <w:color w:val="auto"/>
              </w:rPr>
            </w:pPr>
          </w:p>
        </w:tc>
        <w:tc>
          <w:tcPr>
            <w:tcW w:w="5960" w:type="dxa"/>
            <w:vAlign w:val="bottom"/>
            <w:tcBorders>
              <w:top w:val="single" w:sz="8" w:color="CCEEFF"/>
            </w:tcBorders>
            <w:gridSpan w:val="13"/>
          </w:tcPr>
          <w:p>
            <w:pPr>
              <w:jc w:val="center"/>
              <w:ind w:right="3640"/>
              <w:spacing w:after="0" w:line="176" w:lineRule="exact"/>
              <w:rPr>
                <w:sz w:val="20"/>
                <w:szCs w:val="20"/>
                <w:color w:val="auto"/>
              </w:rPr>
            </w:pPr>
            <w:r>
              <w:rPr>
                <w:rFonts w:ascii="Times New Roman" w:cs="Times New Roman" w:eastAsia="Times New Roman" w:hAnsi="Times New Roman"/>
                <w:sz w:val="18"/>
                <w:szCs w:val="18"/>
                <w:b w:val="1"/>
                <w:bCs w:val="1"/>
                <w:color w:val="0000EE"/>
                <w:w w:val="99"/>
              </w:rPr>
              <w:t>Part II - Other Information</w:t>
            </w:r>
          </w:p>
        </w:tc>
        <w:tc>
          <w:tcPr>
            <w:tcW w:w="980" w:type="dxa"/>
            <w:vAlign w:val="bottom"/>
            <w:tcBorders>
              <w:top w:val="single" w:sz="8" w:color="CCEEFF"/>
            </w:tcBorders>
          </w:tcPr>
          <w:p>
            <w:pPr>
              <w:spacing w:after="0"/>
              <w:rPr>
                <w:sz w:val="15"/>
                <w:szCs w:val="15"/>
                <w:color w:val="auto"/>
              </w:rPr>
            </w:pPr>
          </w:p>
        </w:tc>
      </w:tr>
      <w:tr>
        <w:trPr>
          <w:trHeight w:val="21"/>
        </w:trPr>
        <w:tc>
          <w:tcPr>
            <w:tcW w:w="7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96"/>
        </w:trPr>
        <w:tc>
          <w:tcPr>
            <w:tcW w:w="78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bottom w:val="single" w:sz="8" w:color="0000EE"/>
            </w:tcBorders>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Legal Proceedings</w:t>
            </w:r>
          </w:p>
        </w:tc>
        <w:tc>
          <w:tcPr>
            <w:tcW w:w="8140" w:type="dxa"/>
            <w:vAlign w:val="bottom"/>
            <w:tcBorders>
              <w:bottom w:val="single" w:sz="8" w:color="CCEEFF"/>
            </w:tcBorders>
            <w:gridSpan w:val="17"/>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72</w:t>
            </w:r>
          </w:p>
        </w:tc>
      </w:tr>
      <w:tr>
        <w:trPr>
          <w:trHeight w:val="175"/>
        </w:trPr>
        <w:tc>
          <w:tcPr>
            <w:tcW w:w="7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1A.</w:t>
            </w:r>
          </w:p>
        </w:tc>
        <w:tc>
          <w:tcPr>
            <w:tcW w:w="948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9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72</w:t>
            </w:r>
          </w:p>
        </w:tc>
      </w:tr>
      <w:tr>
        <w:trPr>
          <w:trHeight w:val="21"/>
        </w:trPr>
        <w:tc>
          <w:tcPr>
            <w:tcW w:w="7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96"/>
        </w:trPr>
        <w:tc>
          <w:tcPr>
            <w:tcW w:w="7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48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9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72</w:t>
            </w:r>
          </w:p>
        </w:tc>
      </w:tr>
      <w:tr>
        <w:trPr>
          <w:trHeight w:val="176"/>
        </w:trPr>
        <w:tc>
          <w:tcPr>
            <w:tcW w:w="78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4340" w:type="dxa"/>
            <w:vAlign w:val="bottom"/>
            <w:tcBorders>
              <w:top w:val="single" w:sz="8" w:color="0000EE"/>
            </w:tcBorders>
            <w:gridSpan w:val="13"/>
          </w:tcPr>
          <w:p>
            <w:pPr>
              <w:spacing w:after="0" w:line="176" w:lineRule="exact"/>
              <w:rPr>
                <w:sz w:val="20"/>
                <w:szCs w:val="20"/>
                <w:color w:val="auto"/>
              </w:rPr>
            </w:pPr>
            <w:r>
              <w:rPr>
                <w:rFonts w:ascii="Times New Roman" w:cs="Times New Roman" w:eastAsia="Times New Roman" w:hAnsi="Times New Roman"/>
                <w:sz w:val="18"/>
                <w:szCs w:val="18"/>
                <w:color w:val="0000EE"/>
              </w:rPr>
              <w:t>Defaults Upon Senior Securities</w:t>
            </w:r>
          </w:p>
        </w:tc>
        <w:tc>
          <w:tcPr>
            <w:tcW w:w="5140" w:type="dxa"/>
            <w:vAlign w:val="bottom"/>
            <w:tcBorders>
              <w:top w:val="single" w:sz="8" w:color="CCEEFF"/>
            </w:tcBorders>
            <w:gridSpan w:val="10"/>
          </w:tcPr>
          <w:p>
            <w:pPr>
              <w:spacing w:after="0"/>
              <w:rPr>
                <w:sz w:val="15"/>
                <w:szCs w:val="15"/>
                <w:color w:val="auto"/>
              </w:rPr>
            </w:pPr>
          </w:p>
        </w:tc>
        <w:tc>
          <w:tcPr>
            <w:tcW w:w="98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73</w:t>
            </w:r>
          </w:p>
        </w:tc>
      </w:tr>
      <w:tr>
        <w:trPr>
          <w:trHeight w:val="20"/>
        </w:trPr>
        <w:tc>
          <w:tcPr>
            <w:tcW w:w="7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96"/>
        </w:trPr>
        <w:tc>
          <w:tcPr>
            <w:tcW w:w="7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948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Mine Safety Disclosures</w:t>
            </w:r>
          </w:p>
        </w:tc>
        <w:tc>
          <w:tcPr>
            <w:tcW w:w="9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73</w:t>
            </w:r>
          </w:p>
        </w:tc>
      </w:tr>
      <w:tr>
        <w:trPr>
          <w:trHeight w:val="175"/>
        </w:trPr>
        <w:tc>
          <w:tcPr>
            <w:tcW w:w="78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Item 5.</w:t>
            </w:r>
          </w:p>
        </w:tc>
        <w:tc>
          <w:tcPr>
            <w:tcW w:w="1760" w:type="dxa"/>
            <w:vAlign w:val="bottom"/>
            <w:tcBorders>
              <w:top w:val="single" w:sz="8" w:color="0000EE"/>
            </w:tcBorders>
            <w:gridSpan w:val="8"/>
          </w:tcPr>
          <w:p>
            <w:pPr>
              <w:spacing w:after="0" w:line="176" w:lineRule="exact"/>
              <w:rPr>
                <w:sz w:val="20"/>
                <w:szCs w:val="20"/>
                <w:color w:val="auto"/>
              </w:rPr>
            </w:pPr>
            <w:r>
              <w:rPr>
                <w:rFonts w:ascii="Times New Roman" w:cs="Times New Roman" w:eastAsia="Times New Roman" w:hAnsi="Times New Roman"/>
                <w:sz w:val="18"/>
                <w:szCs w:val="18"/>
                <w:color w:val="0000EE"/>
              </w:rPr>
              <w:t>Other Information</w:t>
            </w:r>
          </w:p>
        </w:tc>
        <w:tc>
          <w:tcPr>
            <w:tcW w:w="7720" w:type="dxa"/>
            <w:vAlign w:val="bottom"/>
            <w:tcBorders>
              <w:top w:val="single" w:sz="8" w:color="CCEEFF"/>
            </w:tcBorders>
            <w:gridSpan w:val="15"/>
          </w:tcPr>
          <w:p>
            <w:pPr>
              <w:spacing w:after="0"/>
              <w:rPr>
                <w:sz w:val="15"/>
                <w:szCs w:val="15"/>
                <w:color w:val="auto"/>
              </w:rPr>
            </w:pPr>
          </w:p>
        </w:tc>
        <w:tc>
          <w:tcPr>
            <w:tcW w:w="98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73</w:t>
            </w:r>
          </w:p>
        </w:tc>
      </w:tr>
      <w:tr>
        <w:trPr>
          <w:trHeight w:val="21"/>
        </w:trPr>
        <w:tc>
          <w:tcPr>
            <w:tcW w:w="7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96"/>
        </w:trPr>
        <w:tc>
          <w:tcPr>
            <w:tcW w:w="78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60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6"/>
              </w:rPr>
              <w:t>Exhibits</w:t>
            </w:r>
          </w:p>
        </w:tc>
        <w:tc>
          <w:tcPr>
            <w:tcW w:w="8880" w:type="dxa"/>
            <w:vAlign w:val="bottom"/>
            <w:tcBorders>
              <w:bottom w:val="single" w:sz="8" w:color="CCEEFF"/>
            </w:tcBorders>
            <w:gridSpan w:val="22"/>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74</w:t>
            </w:r>
          </w:p>
        </w:tc>
      </w:tr>
      <w:tr>
        <w:trPr>
          <w:trHeight w:val="175"/>
        </w:trPr>
        <w:tc>
          <w:tcPr>
            <w:tcW w:w="780" w:type="dxa"/>
            <w:vAlign w:val="bottom"/>
          </w:tcPr>
          <w:p>
            <w:pPr>
              <w:spacing w:after="0"/>
              <w:rPr>
                <w:sz w:val="15"/>
                <w:szCs w:val="15"/>
                <w:color w:val="auto"/>
              </w:rPr>
            </w:pPr>
          </w:p>
        </w:tc>
        <w:tc>
          <w:tcPr>
            <w:tcW w:w="760" w:type="dxa"/>
            <w:vAlign w:val="bottom"/>
            <w:tcBorders>
              <w:bottom w:val="single" w:sz="8" w:color="0000EE"/>
            </w:tcBorders>
            <w:gridSpan w:val="2"/>
          </w:tcPr>
          <w:p>
            <w:pPr>
              <w:spacing w:after="0" w:line="176" w:lineRule="exact"/>
              <w:rPr>
                <w:sz w:val="20"/>
                <w:szCs w:val="20"/>
                <w:color w:val="auto"/>
              </w:rPr>
            </w:pPr>
            <w:r>
              <w:rPr>
                <w:rFonts w:ascii="Times New Roman" w:cs="Times New Roman" w:eastAsia="Times New Roman" w:hAnsi="Times New Roman"/>
                <w:sz w:val="18"/>
                <w:szCs w:val="18"/>
                <w:color w:val="0000EE"/>
                <w:w w:val="97"/>
              </w:rPr>
              <w:t>Signatures</w:t>
            </w:r>
          </w:p>
        </w:tc>
        <w:tc>
          <w:tcPr>
            <w:tcW w:w="8720" w:type="dxa"/>
            <w:vAlign w:val="bottom"/>
            <w:gridSpan w:val="21"/>
          </w:tcPr>
          <w:p>
            <w:pPr>
              <w:spacing w:after="0"/>
              <w:rPr>
                <w:sz w:val="15"/>
                <w:szCs w:val="15"/>
                <w:color w:val="auto"/>
              </w:rPr>
            </w:pPr>
          </w:p>
        </w:tc>
        <w:tc>
          <w:tcPr>
            <w:tcW w:w="9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75</w:t>
            </w:r>
          </w:p>
        </w:tc>
      </w:tr>
      <w:tr>
        <w:trPr>
          <w:trHeight w:val="460"/>
        </w:trPr>
        <w:tc>
          <w:tcPr>
            <w:tcW w:w="780" w:type="dxa"/>
            <w:vAlign w:val="bottom"/>
            <w:tcBorders>
              <w:bottom w:val="single" w:sz="8" w:color="auto"/>
            </w:tcBorders>
          </w:tcPr>
          <w:p>
            <w:pPr>
              <w:spacing w:after="0"/>
              <w:rPr>
                <w:sz w:val="24"/>
                <w:szCs w:val="24"/>
                <w:color w:val="auto"/>
              </w:rPr>
            </w:pPr>
          </w:p>
        </w:tc>
        <w:tc>
          <w:tcPr>
            <w:tcW w:w="5740" w:type="dxa"/>
            <w:vAlign w:val="bottom"/>
            <w:tcBorders>
              <w:bottom w:val="single" w:sz="8" w:color="auto"/>
            </w:tcBorders>
            <w:gridSpan w:val="15"/>
          </w:tcPr>
          <w:p>
            <w:pPr>
              <w:ind w:left="480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BALANCE SHEETS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6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6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June 30,</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2024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December 31,</w:t>
            </w:r>
          </w:p>
        </w:tc>
        <w:tc>
          <w:tcPr>
            <w:tcW w:w="0" w:type="dxa"/>
            <w:vAlign w:val="bottom"/>
          </w:tcPr>
          <w:p>
            <w:pPr>
              <w:spacing w:after="0"/>
              <w:rPr>
                <w:sz w:val="1"/>
                <w:szCs w:val="1"/>
                <w:color w:val="auto"/>
              </w:rPr>
            </w:pPr>
          </w:p>
        </w:tc>
      </w:tr>
      <w:tr>
        <w:trPr>
          <w:trHeight w:val="241"/>
        </w:trPr>
        <w:tc>
          <w:tcPr>
            <w:tcW w:w="65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6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(Unaudited)</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6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2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auto"/>
            </w:tcBorders>
            <w:shd w:val="clear" w:color="auto" w:fill="CCEEFF"/>
          </w:tcPr>
          <w:p>
            <w:pPr>
              <w:spacing w:after="0"/>
              <w:rPr>
                <w:sz w:val="21"/>
                <w:szCs w:val="21"/>
                <w:color w:val="auto"/>
              </w:rPr>
            </w:pPr>
          </w:p>
        </w:tc>
        <w:tc>
          <w:tcPr>
            <w:tcW w:w="1600" w:type="dxa"/>
            <w:vAlign w:val="bottom"/>
            <w:tcBorders>
              <w:top w:val="single" w:sz="8" w:color="auto"/>
            </w:tcBorders>
            <w:shd w:val="clear" w:color="auto" w:fill="CCEEFF"/>
          </w:tcPr>
          <w:p>
            <w:pPr>
              <w:spacing w:after="0"/>
              <w:rPr>
                <w:sz w:val="21"/>
                <w:szCs w:val="21"/>
                <w:color w:val="auto"/>
              </w:rPr>
            </w:pPr>
          </w:p>
        </w:tc>
        <w:tc>
          <w:tcPr>
            <w:tcW w:w="16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spacing w:after="0"/>
              <w:rPr>
                <w:sz w:val="21"/>
                <w:szCs w:val="21"/>
                <w:color w:val="auto"/>
              </w:rPr>
            </w:pPr>
          </w:p>
        </w:tc>
        <w:tc>
          <w:tcPr>
            <w:tcW w:w="166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Investments:</w:t>
            </w: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56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Fixed maturity securities, available for sale, at estimated fair value</w:t>
            </w:r>
          </w:p>
        </w:tc>
        <w:tc>
          <w:tcPr>
            <w:tcW w:w="4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(amortized cost of $360,599,601 and $390,884,441 for 2024 and 2023,</w:t>
            </w: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respectively; net of allowance for credit losses of $394,260 and $314,549</w:t>
            </w: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 2024 and 2023, respectively)</w:t>
            </w: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349,358,027</w:t>
            </w: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381,535,986</w:t>
            </w:r>
          </w:p>
        </w:tc>
        <w:tc>
          <w:tcPr>
            <w:tcW w:w="0" w:type="dxa"/>
            <w:vAlign w:val="bottom"/>
          </w:tcPr>
          <w:p>
            <w:pPr>
              <w:spacing w:after="0"/>
              <w:rPr>
                <w:sz w:val="1"/>
                <w:szCs w:val="1"/>
                <w:color w:val="auto"/>
              </w:rPr>
            </w:pPr>
          </w:p>
        </w:tc>
      </w:tr>
      <w:tr>
        <w:trPr>
          <w:trHeight w:val="198"/>
        </w:trPr>
        <w:tc>
          <w:tcPr>
            <w:tcW w:w="656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Equity securities at estimated fair value (cost of $11,266,705 and</w:t>
            </w: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$10,571,505 for 2024 and 2023, respectively)</w:t>
            </w: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15,019,179</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13,636,071</w:t>
            </w:r>
          </w:p>
        </w:tc>
        <w:tc>
          <w:tcPr>
            <w:tcW w:w="0" w:type="dxa"/>
            <w:vAlign w:val="bottom"/>
          </w:tcPr>
          <w:p>
            <w:pPr>
              <w:spacing w:after="0"/>
              <w:rPr>
                <w:sz w:val="1"/>
                <w:szCs w:val="1"/>
                <w:color w:val="auto"/>
              </w:rPr>
            </w:pPr>
          </w:p>
        </w:tc>
      </w:tr>
      <w:tr>
        <w:trPr>
          <w:trHeight w:val="198"/>
        </w:trPr>
        <w:tc>
          <w:tcPr>
            <w:tcW w:w="656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Mortgage loans held for investment (net of allowance for credit losses</w:t>
            </w:r>
          </w:p>
        </w:tc>
        <w:tc>
          <w:tcPr>
            <w:tcW w:w="4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of $2,853,852 and $3,818,653 for 2024 and 2023, respectively)</w:t>
            </w:r>
          </w:p>
        </w:tc>
        <w:tc>
          <w:tcPr>
            <w:tcW w:w="4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284,343,531</w:t>
            </w:r>
          </w:p>
        </w:tc>
        <w:tc>
          <w:tcPr>
            <w:tcW w:w="1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275,616,837</w:t>
            </w:r>
          </w:p>
        </w:tc>
        <w:tc>
          <w:tcPr>
            <w:tcW w:w="0" w:type="dxa"/>
            <w:vAlign w:val="bottom"/>
          </w:tcPr>
          <w:p>
            <w:pPr>
              <w:spacing w:after="0"/>
              <w:rPr>
                <w:sz w:val="1"/>
                <w:szCs w:val="1"/>
                <w:color w:val="auto"/>
              </w:rPr>
            </w:pPr>
          </w:p>
        </w:tc>
      </w:tr>
      <w:tr>
        <w:trPr>
          <w:trHeight w:val="198"/>
        </w:trPr>
        <w:tc>
          <w:tcPr>
            <w:tcW w:w="656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Real estate held for investment (net of accumulated depreciation of</w:t>
            </w: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$28,582,113 and $29,307,791 for 2024 and 2023, respectively)</w:t>
            </w: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188,320,653</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183,419,292</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Real estate held for sale</w:t>
            </w: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1,010,530</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3,028,973</w:t>
            </w:r>
          </w:p>
        </w:tc>
        <w:tc>
          <w:tcPr>
            <w:tcW w:w="0" w:type="dxa"/>
            <w:vAlign w:val="bottom"/>
          </w:tcPr>
          <w:p>
            <w:pPr>
              <w:spacing w:after="0"/>
              <w:rPr>
                <w:sz w:val="1"/>
                <w:szCs w:val="1"/>
                <w:color w:val="auto"/>
              </w:rPr>
            </w:pPr>
          </w:p>
        </w:tc>
      </w:tr>
      <w:tr>
        <w:trPr>
          <w:trHeight w:val="198"/>
        </w:trPr>
        <w:tc>
          <w:tcPr>
            <w:tcW w:w="656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Other investments and policy loans (net of allowance for credit losses</w:t>
            </w: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of $1,535,324 and $1,553,836 for 2024 and 2023, respectively)</w:t>
            </w: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72,520,587</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69,404,617</w:t>
            </w:r>
          </w:p>
        </w:tc>
        <w:tc>
          <w:tcPr>
            <w:tcW w:w="0" w:type="dxa"/>
            <w:vAlign w:val="bottom"/>
          </w:tcPr>
          <w:p>
            <w:pPr>
              <w:spacing w:after="0"/>
              <w:rPr>
                <w:sz w:val="1"/>
                <w:szCs w:val="1"/>
                <w:color w:val="auto"/>
              </w:rPr>
            </w:pPr>
          </w:p>
        </w:tc>
      </w:tr>
      <w:tr>
        <w:trPr>
          <w:trHeight w:val="249"/>
        </w:trPr>
        <w:tc>
          <w:tcPr>
            <w:tcW w:w="6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investment income</w:t>
            </w:r>
          </w:p>
        </w:tc>
        <w:tc>
          <w:tcPr>
            <w:tcW w:w="4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8,838,006</w:t>
            </w:r>
          </w:p>
        </w:tc>
        <w:tc>
          <w:tcPr>
            <w:tcW w:w="1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10,170,790</w:t>
            </w:r>
          </w:p>
        </w:tc>
        <w:tc>
          <w:tcPr>
            <w:tcW w:w="0" w:type="dxa"/>
            <w:vAlign w:val="bottom"/>
          </w:tcPr>
          <w:p>
            <w:pPr>
              <w:spacing w:after="0"/>
              <w:rPr>
                <w:sz w:val="1"/>
                <w:szCs w:val="1"/>
                <w:color w:val="auto"/>
              </w:rPr>
            </w:pPr>
          </w:p>
        </w:tc>
      </w:tr>
      <w:tr>
        <w:trPr>
          <w:trHeight w:val="210"/>
        </w:trPr>
        <w:tc>
          <w:tcPr>
            <w:tcW w:w="656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investments</w:t>
            </w:r>
          </w:p>
        </w:tc>
        <w:tc>
          <w:tcPr>
            <w:tcW w:w="420" w:type="dxa"/>
            <w:vAlign w:val="bottom"/>
            <w:tcBorders>
              <w:top w:val="single" w:sz="8" w:color="CCEEFF"/>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6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919,410,513</w:t>
            </w:r>
          </w:p>
        </w:tc>
        <w:tc>
          <w:tcPr>
            <w:tcW w:w="16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CCEEFF"/>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6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936,812,566</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143,632,984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126,941,658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Loans held for sale at estimated fair value</w:t>
            </w: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150,196,416</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126,549,190</w:t>
            </w:r>
          </w:p>
        </w:tc>
        <w:tc>
          <w:tcPr>
            <w:tcW w:w="0" w:type="dxa"/>
            <w:vAlign w:val="bottom"/>
          </w:tcPr>
          <w:p>
            <w:pPr>
              <w:spacing w:after="0"/>
              <w:rPr>
                <w:sz w:val="1"/>
                <w:szCs w:val="1"/>
                <w:color w:val="auto"/>
              </w:rPr>
            </w:pPr>
          </w:p>
        </w:tc>
      </w:tr>
      <w:tr>
        <w:trPr>
          <w:trHeight w:val="198"/>
        </w:trPr>
        <w:tc>
          <w:tcPr>
            <w:tcW w:w="65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Receivables (net of allowance for credit losses of $1,770,911 and $1,897,887</w:t>
            </w:r>
          </w:p>
        </w:tc>
        <w:tc>
          <w:tcPr>
            <w:tcW w:w="4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 2024 and 2023, respectively)</w:t>
            </w:r>
          </w:p>
        </w:tc>
        <w:tc>
          <w:tcPr>
            <w:tcW w:w="4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13,962,320</w:t>
            </w:r>
          </w:p>
        </w:tc>
        <w:tc>
          <w:tcPr>
            <w:tcW w:w="1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15,335,315</w:t>
            </w:r>
          </w:p>
        </w:tc>
        <w:tc>
          <w:tcPr>
            <w:tcW w:w="0" w:type="dxa"/>
            <w:vAlign w:val="bottom"/>
          </w:tcPr>
          <w:p>
            <w:pPr>
              <w:spacing w:after="0"/>
              <w:rPr>
                <w:sz w:val="1"/>
                <w:szCs w:val="1"/>
                <w:color w:val="auto"/>
              </w:rPr>
            </w:pPr>
          </w:p>
        </w:tc>
      </w:tr>
      <w:tr>
        <w:trPr>
          <w:trHeight w:val="198"/>
        </w:trPr>
        <w:tc>
          <w:tcPr>
            <w:tcW w:w="65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Restricted assets (including $10,107,237 and $9,239,063 for 2024 and 2023</w:t>
            </w: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respectively, at estimated fair value)</w:t>
            </w: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22,600,416</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20,028,976</w:t>
            </w:r>
          </w:p>
        </w:tc>
        <w:tc>
          <w:tcPr>
            <w:tcW w:w="0" w:type="dxa"/>
            <w:vAlign w:val="bottom"/>
          </w:tcPr>
          <w:p>
            <w:pPr>
              <w:spacing w:after="0"/>
              <w:rPr>
                <w:sz w:val="1"/>
                <w:szCs w:val="1"/>
                <w:color w:val="auto"/>
              </w:rPr>
            </w:pPr>
          </w:p>
        </w:tc>
      </w:tr>
      <w:tr>
        <w:trPr>
          <w:trHeight w:val="198"/>
        </w:trPr>
        <w:tc>
          <w:tcPr>
            <w:tcW w:w="65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Cemetery perpetual care trust investments (including $5,197,829 and</w:t>
            </w:r>
          </w:p>
        </w:tc>
        <w:tc>
          <w:tcPr>
            <w:tcW w:w="4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$4,969,005 for 2024 and 2023, respectively, at estimated fair value)</w:t>
            </w:r>
          </w:p>
        </w:tc>
        <w:tc>
          <w:tcPr>
            <w:tcW w:w="4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8,452,082</w:t>
            </w:r>
          </w:p>
        </w:tc>
        <w:tc>
          <w:tcPr>
            <w:tcW w:w="1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8,082,917</w:t>
            </w:r>
          </w:p>
        </w:tc>
        <w:tc>
          <w:tcPr>
            <w:tcW w:w="0" w:type="dxa"/>
            <w:vAlign w:val="bottom"/>
          </w:tcPr>
          <w:p>
            <w:pPr>
              <w:spacing w:after="0"/>
              <w:rPr>
                <w:sz w:val="1"/>
                <w:szCs w:val="1"/>
                <w:color w:val="auto"/>
              </w:rPr>
            </w:pPr>
          </w:p>
        </w:tc>
      </w:tr>
      <w:tr>
        <w:trPr>
          <w:trHeight w:val="216"/>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Receivable from reinsurers</w:t>
            </w: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14,443,938</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14,857,059</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Cemetery land and improvements</w:t>
            </w: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9,546,015</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9,163,691</w:t>
            </w:r>
          </w:p>
        </w:tc>
        <w:tc>
          <w:tcPr>
            <w:tcW w:w="0" w:type="dxa"/>
            <w:vAlign w:val="bottom"/>
          </w:tcPr>
          <w:p>
            <w:pPr>
              <w:spacing w:after="0"/>
              <w:rPr>
                <w:sz w:val="1"/>
                <w:szCs w:val="1"/>
                <w:color w:val="auto"/>
              </w:rPr>
            </w:pPr>
          </w:p>
        </w:tc>
      </w:tr>
      <w:tr>
        <w:trPr>
          <w:trHeight w:val="216"/>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Deferred policy and pre-need contract acquisition costs</w:t>
            </w: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119,038,952</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116,351,067</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 servicing rights, net</w:t>
            </w: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3,172,109</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3,461,146</w:t>
            </w:r>
          </w:p>
        </w:tc>
        <w:tc>
          <w:tcPr>
            <w:tcW w:w="0" w:type="dxa"/>
            <w:vAlign w:val="bottom"/>
          </w:tcPr>
          <w:p>
            <w:pPr>
              <w:spacing w:after="0"/>
              <w:rPr>
                <w:sz w:val="1"/>
                <w:szCs w:val="1"/>
                <w:color w:val="auto"/>
              </w:rPr>
            </w:pPr>
          </w:p>
        </w:tc>
      </w:tr>
      <w:tr>
        <w:trPr>
          <w:trHeight w:val="216"/>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18,048,120</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19,175,099</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Value of business acquired</w:t>
            </w: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8,076,263</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8,467,613</w:t>
            </w:r>
          </w:p>
        </w:tc>
        <w:tc>
          <w:tcPr>
            <w:tcW w:w="0" w:type="dxa"/>
            <w:vAlign w:val="bottom"/>
          </w:tcPr>
          <w:p>
            <w:pPr>
              <w:spacing w:after="0"/>
              <w:rPr>
                <w:sz w:val="1"/>
                <w:szCs w:val="1"/>
                <w:color w:val="auto"/>
              </w:rPr>
            </w:pPr>
          </w:p>
        </w:tc>
      </w:tr>
      <w:tr>
        <w:trPr>
          <w:trHeight w:val="216"/>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5,253,783</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5,253,783</w:t>
            </w:r>
          </w:p>
        </w:tc>
        <w:tc>
          <w:tcPr>
            <w:tcW w:w="0" w:type="dxa"/>
            <w:vAlign w:val="bottom"/>
          </w:tcPr>
          <w:p>
            <w:pPr>
              <w:spacing w:after="0"/>
              <w:rPr>
                <w:sz w:val="1"/>
                <w:szCs w:val="1"/>
                <w:color w:val="auto"/>
              </w:rPr>
            </w:pPr>
          </w:p>
        </w:tc>
      </w:tr>
      <w:tr>
        <w:trPr>
          <w:trHeight w:val="236"/>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4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24,890,610</w:t>
            </w:r>
          </w:p>
        </w:tc>
        <w:tc>
          <w:tcPr>
            <w:tcW w:w="1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20,072,195</w:t>
            </w:r>
          </w:p>
        </w:tc>
        <w:tc>
          <w:tcPr>
            <w:tcW w:w="0" w:type="dxa"/>
            <w:vAlign w:val="bottom"/>
          </w:tcPr>
          <w:p>
            <w:pPr>
              <w:spacing w:after="0"/>
              <w:rPr>
                <w:sz w:val="1"/>
                <w:szCs w:val="1"/>
                <w:color w:val="auto"/>
              </w:rPr>
            </w:pPr>
          </w:p>
        </w:tc>
      </w:tr>
      <w:tr>
        <w:trPr>
          <w:trHeight w:val="216"/>
        </w:trPr>
        <w:tc>
          <w:tcPr>
            <w:tcW w:w="65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1,460,724,521</w:t>
            </w: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1,430,552,275</w:t>
            </w:r>
          </w:p>
        </w:tc>
        <w:tc>
          <w:tcPr>
            <w:tcW w:w="0" w:type="dxa"/>
            <w:vAlign w:val="bottom"/>
          </w:tcPr>
          <w:p>
            <w:pPr>
              <w:spacing w:after="0"/>
              <w:rPr>
                <w:sz w:val="1"/>
                <w:szCs w:val="1"/>
                <w:color w:val="auto"/>
              </w:rPr>
            </w:pPr>
          </w:p>
        </w:tc>
      </w:tr>
      <w:tr>
        <w:trPr>
          <w:trHeight w:val="20"/>
        </w:trPr>
        <w:tc>
          <w:tcPr>
            <w:tcW w:w="65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 (unaudited).</w:t>
            </w:r>
          </w:p>
        </w:tc>
        <w:tc>
          <w:tcPr>
            <w:tcW w:w="4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56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6560" w:type="dxa"/>
            <w:vAlign w:val="bottom"/>
            <w:tcBorders>
              <w:bottom w:val="single" w:sz="8" w:color="auto"/>
            </w:tcBorders>
          </w:tcPr>
          <w:p>
            <w:pPr>
              <w:ind w:left="5580"/>
              <w:spacing w:after="0"/>
              <w:rPr>
                <w:sz w:val="20"/>
                <w:szCs w:val="20"/>
                <w:color w:val="auto"/>
              </w:rPr>
            </w:pPr>
            <w:r>
              <w:rPr>
                <w:rFonts w:ascii="Times New Roman" w:cs="Times New Roman" w:eastAsia="Times New Roman" w:hAnsi="Times New Roman"/>
                <w:sz w:val="18"/>
                <w:szCs w:val="18"/>
                <w:color w:val="auto"/>
              </w:rPr>
              <w:t>3</w:t>
            </w:r>
          </w:p>
        </w:tc>
        <w:tc>
          <w:tcPr>
            <w:tcW w:w="4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61"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BALANCE SHEETS (Continued)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June 30,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2024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December 31,</w:t>
            </w:r>
          </w:p>
        </w:tc>
        <w:tc>
          <w:tcPr>
            <w:tcW w:w="0" w:type="dxa"/>
            <w:vAlign w:val="bottom"/>
          </w:tcPr>
          <w:p>
            <w:pPr>
              <w:spacing w:after="0"/>
              <w:rPr>
                <w:sz w:val="1"/>
                <w:szCs w:val="1"/>
                <w:color w:val="auto"/>
              </w:rPr>
            </w:pPr>
          </w:p>
        </w:tc>
      </w:tr>
      <w:tr>
        <w:trPr>
          <w:trHeight w:val="241"/>
        </w:trPr>
        <w:tc>
          <w:tcPr>
            <w:tcW w:w="65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(Unaudited)</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6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4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Future policy benefits and unpaid claims</w:t>
            </w: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931,047,632</w:t>
            </w: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916,038,616</w:t>
            </w:r>
          </w:p>
        </w:tc>
        <w:tc>
          <w:tcPr>
            <w:tcW w:w="0" w:type="dxa"/>
            <w:vAlign w:val="bottom"/>
          </w:tcPr>
          <w:p>
            <w:pPr>
              <w:spacing w:after="0"/>
              <w:rPr>
                <w:sz w:val="1"/>
                <w:szCs w:val="1"/>
                <w:color w:val="auto"/>
              </w:rPr>
            </w:pPr>
          </w:p>
        </w:tc>
      </w:tr>
      <w:tr>
        <w:trPr>
          <w:trHeight w:val="216"/>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Unearned premium reserve</w:t>
            </w: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2,441,180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2,543,822</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 and other loans payable</w:t>
            </w: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103,540,666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105,555,137</w:t>
            </w:r>
          </w:p>
        </w:tc>
        <w:tc>
          <w:tcPr>
            <w:tcW w:w="0" w:type="dxa"/>
            <w:vAlign w:val="bottom"/>
          </w:tcPr>
          <w:p>
            <w:pPr>
              <w:spacing w:after="0"/>
              <w:rPr>
                <w:sz w:val="1"/>
                <w:szCs w:val="1"/>
                <w:color w:val="auto"/>
              </w:rPr>
            </w:pPr>
          </w:p>
        </w:tc>
      </w:tr>
      <w:tr>
        <w:trPr>
          <w:trHeight w:val="216"/>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Deferred pre-need cemetery and mortuary contract revenues</w:t>
            </w: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18,917,596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18,237,246</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Cemetery perpetual care obligation</w:t>
            </w: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5,487,676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5,326,196</w:t>
            </w:r>
          </w:p>
        </w:tc>
        <w:tc>
          <w:tcPr>
            <w:tcW w:w="0" w:type="dxa"/>
            <w:vAlign w:val="bottom"/>
          </w:tcPr>
          <w:p>
            <w:pPr>
              <w:spacing w:after="0"/>
              <w:rPr>
                <w:sz w:val="1"/>
                <w:szCs w:val="1"/>
                <w:color w:val="auto"/>
              </w:rPr>
            </w:pPr>
          </w:p>
        </w:tc>
      </w:tr>
      <w:tr>
        <w:trPr>
          <w:trHeight w:val="216"/>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3,295,434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2,936,968</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 and accrued expenses</w:t>
            </w: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55,612,594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53,266,090</w:t>
            </w:r>
          </w:p>
        </w:tc>
        <w:tc>
          <w:tcPr>
            <w:tcW w:w="0" w:type="dxa"/>
            <w:vAlign w:val="bottom"/>
          </w:tcPr>
          <w:p>
            <w:pPr>
              <w:spacing w:after="0"/>
              <w:rPr>
                <w:sz w:val="1"/>
                <w:szCs w:val="1"/>
                <w:color w:val="auto"/>
              </w:rPr>
            </w:pPr>
          </w:p>
        </w:tc>
      </w:tr>
      <w:tr>
        <w:trPr>
          <w:trHeight w:val="236"/>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14,615,750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13,752,981</w:t>
            </w:r>
          </w:p>
        </w:tc>
        <w:tc>
          <w:tcPr>
            <w:tcW w:w="0" w:type="dxa"/>
            <w:vAlign w:val="bottom"/>
          </w:tcPr>
          <w:p>
            <w:pPr>
              <w:spacing w:after="0"/>
              <w:rPr>
                <w:sz w:val="1"/>
                <w:szCs w:val="1"/>
                <w:color w:val="auto"/>
              </w:rPr>
            </w:pPr>
          </w:p>
        </w:tc>
      </w:tr>
      <w:tr>
        <w:trPr>
          <w:trHeight w:val="223"/>
        </w:trPr>
        <w:tc>
          <w:tcPr>
            <w:tcW w:w="65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4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1,134,958,528</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1,117,657,056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5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Preferred Stock - non-voting - $1.00 par value; 5,000,000 shares authorized;</w:t>
            </w: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none issued or outstanding</w:t>
            </w: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65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Class A: common stock - $2.00 par value; 40,000,000 shares authorized;</w:t>
            </w:r>
          </w:p>
        </w:tc>
        <w:tc>
          <w:tcPr>
            <w:tcW w:w="4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21,085,936 shares issued and outstanding as of June 30, 2024 and</w:t>
            </w: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20,048,002 shares issued and outstanding as of December 31, 2023</w:t>
            </w:r>
          </w:p>
        </w:tc>
        <w:tc>
          <w:tcPr>
            <w:tcW w:w="4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42,171,872</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40,096,004</w:t>
            </w:r>
          </w:p>
        </w:tc>
        <w:tc>
          <w:tcPr>
            <w:tcW w:w="0" w:type="dxa"/>
            <w:vAlign w:val="bottom"/>
          </w:tcPr>
          <w:p>
            <w:pPr>
              <w:spacing w:after="0"/>
              <w:rPr>
                <w:sz w:val="1"/>
                <w:szCs w:val="1"/>
                <w:color w:val="auto"/>
              </w:rPr>
            </w:pPr>
          </w:p>
        </w:tc>
      </w:tr>
      <w:tr>
        <w:trPr>
          <w:trHeight w:val="198"/>
        </w:trPr>
        <w:tc>
          <w:tcPr>
            <w:tcW w:w="65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Class B: non-voting common stock - $1.00 par value; 5,000,000 shares</w:t>
            </w: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authorized; none issued or outstanding</w:t>
            </w: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65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Class C: convertible common stock - $2.00 par value; 6,000,000 shares</w:t>
            </w:r>
          </w:p>
        </w:tc>
        <w:tc>
          <w:tcPr>
            <w:tcW w:w="4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authorized; 3,120,166 shares issued and outstanding as of June 30, 2024</w:t>
            </w: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and 2,971,854 shares issued and outstanding as of December 31, 2023</w:t>
            </w:r>
          </w:p>
        </w:tc>
        <w:tc>
          <w:tcPr>
            <w:tcW w:w="4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6,240,332</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5,943,708</w:t>
            </w:r>
          </w:p>
        </w:tc>
        <w:tc>
          <w:tcPr>
            <w:tcW w:w="0" w:type="dxa"/>
            <w:vAlign w:val="bottom"/>
          </w:tcPr>
          <w:p>
            <w:pPr>
              <w:spacing w:after="0"/>
              <w:rPr>
                <w:sz w:val="1"/>
                <w:szCs w:val="1"/>
                <w:color w:val="auto"/>
              </w:rPr>
            </w:pPr>
          </w:p>
        </w:tc>
      </w:tr>
      <w:tr>
        <w:trPr>
          <w:trHeight w:val="216"/>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78,752,885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72,424,429</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other comprehensive loss, net of taxes</w:t>
            </w: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(8,297,785)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(6,885,558)</w:t>
            </w:r>
          </w:p>
        </w:tc>
        <w:tc>
          <w:tcPr>
            <w:tcW w:w="0" w:type="dxa"/>
            <w:vAlign w:val="bottom"/>
          </w:tcPr>
          <w:p>
            <w:pPr>
              <w:spacing w:after="0"/>
              <w:rPr>
                <w:sz w:val="1"/>
                <w:szCs w:val="1"/>
                <w:color w:val="auto"/>
              </w:rPr>
            </w:pPr>
          </w:p>
        </w:tc>
      </w:tr>
      <w:tr>
        <w:trPr>
          <w:trHeight w:val="216"/>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213,570,620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206,978,373</w:t>
            </w:r>
          </w:p>
        </w:tc>
        <w:tc>
          <w:tcPr>
            <w:tcW w:w="0" w:type="dxa"/>
            <w:vAlign w:val="bottom"/>
          </w:tcPr>
          <w:p>
            <w:pPr>
              <w:spacing w:after="0"/>
              <w:rPr>
                <w:sz w:val="1"/>
                <w:szCs w:val="1"/>
                <w:color w:val="auto"/>
              </w:rPr>
            </w:pPr>
          </w:p>
        </w:tc>
      </w:tr>
      <w:tr>
        <w:trPr>
          <w:trHeight w:val="198"/>
        </w:trPr>
        <w:tc>
          <w:tcPr>
            <w:tcW w:w="65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Treasury stock at cost - 966,102 Class A shares and 37,503 Class C shares</w:t>
            </w:r>
          </w:p>
        </w:tc>
        <w:tc>
          <w:tcPr>
            <w:tcW w:w="4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 of June 30, 2024; and 806,311 Class A shares and 35,717 Class C</w:t>
            </w: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as of December 31, 2023</w:t>
            </w:r>
          </w:p>
        </w:tc>
        <w:tc>
          <w:tcPr>
            <w:tcW w:w="4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(6,671,931)</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(5,661,737)</w:t>
            </w:r>
          </w:p>
        </w:tc>
        <w:tc>
          <w:tcPr>
            <w:tcW w:w="0" w:type="dxa"/>
            <w:vAlign w:val="bottom"/>
          </w:tcPr>
          <w:p>
            <w:pPr>
              <w:spacing w:after="0"/>
              <w:rPr>
                <w:sz w:val="1"/>
                <w:szCs w:val="1"/>
                <w:color w:val="auto"/>
              </w:rPr>
            </w:pPr>
          </w:p>
        </w:tc>
      </w:tr>
      <w:tr>
        <w:trPr>
          <w:trHeight w:val="243"/>
        </w:trPr>
        <w:tc>
          <w:tcPr>
            <w:tcW w:w="656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600" w:type="dxa"/>
            <w:vAlign w:val="bottom"/>
            <w:tcBorders>
              <w:top w:val="single" w:sz="8" w:color="auto"/>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660" w:type="dxa"/>
            <w:vAlign w:val="bottom"/>
            <w:tcBorders>
              <w:top w:val="single" w:sz="8" w:color="auto"/>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4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325,765,993</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312,895,219</w:t>
            </w:r>
          </w:p>
        </w:tc>
        <w:tc>
          <w:tcPr>
            <w:tcW w:w="0" w:type="dxa"/>
            <w:vAlign w:val="bottom"/>
          </w:tcPr>
          <w:p>
            <w:pPr>
              <w:spacing w:after="0"/>
              <w:rPr>
                <w:sz w:val="1"/>
                <w:szCs w:val="1"/>
                <w:color w:val="auto"/>
              </w:rPr>
            </w:pPr>
          </w:p>
        </w:tc>
      </w:tr>
      <w:tr>
        <w:trPr>
          <w:trHeight w:val="216"/>
        </w:trPr>
        <w:tc>
          <w:tcPr>
            <w:tcW w:w="65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1,460,724,521</w:t>
            </w: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1,430,552,275</w:t>
            </w:r>
          </w:p>
        </w:tc>
        <w:tc>
          <w:tcPr>
            <w:tcW w:w="0" w:type="dxa"/>
            <w:vAlign w:val="bottom"/>
          </w:tcPr>
          <w:p>
            <w:pPr>
              <w:spacing w:after="0"/>
              <w:rPr>
                <w:sz w:val="1"/>
                <w:szCs w:val="1"/>
                <w:color w:val="auto"/>
              </w:rPr>
            </w:pPr>
          </w:p>
        </w:tc>
      </w:tr>
      <w:tr>
        <w:trPr>
          <w:trHeight w:val="20"/>
        </w:trPr>
        <w:tc>
          <w:tcPr>
            <w:tcW w:w="65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 (unaudited).</w:t>
            </w:r>
          </w:p>
        </w:tc>
        <w:tc>
          <w:tcPr>
            <w:tcW w:w="4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56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6560" w:type="dxa"/>
            <w:vAlign w:val="bottom"/>
            <w:tcBorders>
              <w:bottom w:val="single" w:sz="8" w:color="auto"/>
            </w:tcBorders>
          </w:tcPr>
          <w:p>
            <w:pPr>
              <w:ind w:left="5580"/>
              <w:spacing w:after="0"/>
              <w:rPr>
                <w:sz w:val="20"/>
                <w:szCs w:val="20"/>
                <w:color w:val="auto"/>
              </w:rPr>
            </w:pPr>
            <w:r>
              <w:rPr>
                <w:rFonts w:ascii="Times New Roman" w:cs="Times New Roman" w:eastAsia="Times New Roman" w:hAnsi="Times New Roman"/>
                <w:sz w:val="18"/>
                <w:szCs w:val="18"/>
                <w:color w:val="auto"/>
              </w:rPr>
              <w:t>4</w:t>
            </w:r>
          </w:p>
        </w:tc>
        <w:tc>
          <w:tcPr>
            <w:tcW w:w="4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61"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STATEMENTS OF EARNINGS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300" w:type="dxa"/>
            <w:vAlign w:val="bottom"/>
            <w:gridSpan w:val="5"/>
          </w:tcPr>
          <w:p>
            <w:pPr>
              <w:jc w:val="right"/>
              <w:ind w:right="900"/>
              <w:spacing w:after="0"/>
              <w:rPr>
                <w:sz w:val="20"/>
                <w:szCs w:val="20"/>
                <w:color w:val="auto"/>
              </w:rPr>
            </w:pPr>
            <w:r>
              <w:rPr>
                <w:rFonts w:ascii="Times New Roman" w:cs="Times New Roman" w:eastAsia="Times New Roman" w:hAnsi="Times New Roman"/>
                <w:sz w:val="18"/>
                <w:szCs w:val="18"/>
                <w:color w:val="auto"/>
              </w:rPr>
              <w:t>Three Months Ended June 30,</w:t>
            </w:r>
          </w:p>
        </w:tc>
        <w:tc>
          <w:tcPr>
            <w:tcW w:w="320" w:type="dxa"/>
            <w:vAlign w:val="bottom"/>
          </w:tcPr>
          <w:p>
            <w:pPr>
              <w:spacing w:after="0"/>
              <w:rPr>
                <w:sz w:val="20"/>
                <w:szCs w:val="20"/>
                <w:color w:val="auto"/>
              </w:rPr>
            </w:pPr>
          </w:p>
        </w:tc>
        <w:tc>
          <w:tcPr>
            <w:tcW w:w="3000" w:type="dxa"/>
            <w:vAlign w:val="bottom"/>
            <w:gridSpan w:val="7"/>
          </w:tcPr>
          <w:p>
            <w:pPr>
              <w:jc w:val="right"/>
              <w:ind w:right="720"/>
              <w:spacing w:after="0"/>
              <w:rPr>
                <w:sz w:val="20"/>
                <w:szCs w:val="20"/>
                <w:color w:val="auto"/>
              </w:rPr>
            </w:pPr>
            <w:r>
              <w:rPr>
                <w:rFonts w:ascii="Times New Roman" w:cs="Times New Roman" w:eastAsia="Times New Roman" w:hAnsi="Times New Roman"/>
                <w:sz w:val="18"/>
                <w:szCs w:val="18"/>
                <w:color w:val="auto"/>
              </w:rPr>
              <w:t>Six Months Ended June 30,</w:t>
            </w:r>
          </w:p>
        </w:tc>
      </w:tr>
      <w:tr>
        <w:trPr>
          <w:trHeight w:val="237"/>
        </w:trPr>
        <w:tc>
          <w:tcPr>
            <w:tcW w:w="416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2024</w:t>
            </w:r>
          </w:p>
        </w:tc>
        <w:tc>
          <w:tcPr>
            <w:tcW w:w="340" w:type="dxa"/>
            <w:vAlign w:val="bottom"/>
            <w:tcBorders>
              <w:top w:val="single" w:sz="8" w:color="auto"/>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2023</w:t>
            </w:r>
          </w:p>
        </w:tc>
        <w:tc>
          <w:tcPr>
            <w:tcW w:w="340" w:type="dxa"/>
            <w:vAlign w:val="bottom"/>
            <w:tcBorders>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2024</w:t>
            </w:r>
          </w:p>
        </w:tc>
        <w:tc>
          <w:tcPr>
            <w:tcW w:w="200" w:type="dxa"/>
            <w:vAlign w:val="bottom"/>
            <w:tcBorders>
              <w:top w:val="single" w:sz="8" w:color="auto"/>
              <w:bottom w:val="single" w:sz="8" w:color="CCEEFF"/>
            </w:tcBorders>
          </w:tcPr>
          <w:p>
            <w:pPr>
              <w:spacing w:after="0"/>
              <w:rPr>
                <w:sz w:val="20"/>
                <w:szCs w:val="20"/>
                <w:color w:val="auto"/>
              </w:rPr>
            </w:pPr>
          </w:p>
        </w:tc>
        <w:tc>
          <w:tcPr>
            <w:tcW w:w="120" w:type="dxa"/>
            <w:vAlign w:val="bottom"/>
            <w:tcBorders>
              <w:top w:val="single" w:sz="8" w:color="auto"/>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2023</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Mortgage fee income</w:t>
            </w: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29,619,516</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26,078,753</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51,451,186</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52,067,759</w:t>
            </w:r>
          </w:p>
        </w:tc>
        <w:tc>
          <w:tcPr>
            <w:tcW w:w="80" w:type="dxa"/>
            <w:vAlign w:val="bottom"/>
          </w:tcPr>
          <w:p>
            <w:pPr>
              <w:spacing w:after="0"/>
              <w:rPr>
                <w:sz w:val="18"/>
                <w:szCs w:val="18"/>
                <w:color w:val="auto"/>
              </w:rPr>
            </w:pP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Insurance premiums and other considerations</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29,960,558</w:t>
            </w:r>
          </w:p>
        </w:tc>
        <w:tc>
          <w:tcPr>
            <w:tcW w:w="3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28,813,299</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59,812,651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56,780,591</w:t>
            </w:r>
          </w:p>
        </w:tc>
        <w:tc>
          <w:tcPr>
            <w:tcW w:w="80" w:type="dxa"/>
            <w:vAlign w:val="bottom"/>
            <w:shd w:val="clear" w:color="auto" w:fill="CCEEFF"/>
          </w:tcPr>
          <w:p>
            <w:pPr>
              <w:spacing w:after="0"/>
              <w:rPr>
                <w:sz w:val="18"/>
                <w:szCs w:val="18"/>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18,044,808</w:t>
            </w:r>
          </w:p>
        </w:tc>
        <w:tc>
          <w:tcPr>
            <w:tcW w:w="340" w:type="dxa"/>
            <w:vAlign w:val="bottom"/>
          </w:tcPr>
          <w:p>
            <w:pPr>
              <w:spacing w:after="0"/>
              <w:rPr>
                <w:sz w:val="18"/>
                <w:szCs w:val="18"/>
                <w:color w:val="auto"/>
              </w:rPr>
            </w:pP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20,171,974</w:t>
            </w:r>
          </w:p>
        </w:tc>
        <w:tc>
          <w:tcPr>
            <w:tcW w:w="32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37,991,376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37,946,857</w:t>
            </w:r>
          </w:p>
        </w:tc>
        <w:tc>
          <w:tcPr>
            <w:tcW w:w="80" w:type="dxa"/>
            <w:vAlign w:val="bottom"/>
          </w:tcPr>
          <w:p>
            <w:pPr>
              <w:spacing w:after="0"/>
              <w:rPr>
                <w:sz w:val="18"/>
                <w:szCs w:val="18"/>
                <w:color w:val="auto"/>
              </w:rPr>
            </w:pP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mortuary and cemetery sales</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7,768,947</w:t>
            </w:r>
          </w:p>
        </w:tc>
        <w:tc>
          <w:tcPr>
            <w:tcW w:w="3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7,168,714</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14,717,438</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13,640,143</w:t>
            </w:r>
          </w:p>
        </w:tc>
        <w:tc>
          <w:tcPr>
            <w:tcW w:w="80" w:type="dxa"/>
            <w:vAlign w:val="bottom"/>
            <w:shd w:val="clear" w:color="auto" w:fill="CCEEFF"/>
          </w:tcPr>
          <w:p>
            <w:pPr>
              <w:spacing w:after="0"/>
              <w:rPr>
                <w:sz w:val="18"/>
                <w:szCs w:val="18"/>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Gains (losses) on investments and other assets</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(377,239)</w:t>
            </w:r>
          </w:p>
        </w:tc>
        <w:tc>
          <w:tcPr>
            <w:tcW w:w="340" w:type="dxa"/>
            <w:vAlign w:val="bottom"/>
          </w:tcPr>
          <w:p>
            <w:pPr>
              <w:spacing w:after="0"/>
              <w:rPr>
                <w:sz w:val="18"/>
                <w:szCs w:val="18"/>
                <w:color w:val="auto"/>
              </w:rPr>
            </w:pP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816,584</w:t>
            </w:r>
          </w:p>
        </w:tc>
        <w:tc>
          <w:tcPr>
            <w:tcW w:w="32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1,292,187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927,738</w:t>
            </w:r>
          </w:p>
        </w:tc>
        <w:tc>
          <w:tcPr>
            <w:tcW w:w="80" w:type="dxa"/>
            <w:vAlign w:val="bottom"/>
          </w:tcPr>
          <w:p>
            <w:pPr>
              <w:spacing w:after="0"/>
              <w:rPr>
                <w:sz w:val="18"/>
                <w:szCs w:val="18"/>
                <w:color w:val="auto"/>
              </w:rPr>
            </w:pPr>
          </w:p>
        </w:tc>
      </w:tr>
      <w:tr>
        <w:trPr>
          <w:trHeight w:val="249"/>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774,746</w:t>
            </w:r>
          </w:p>
        </w:tc>
        <w:tc>
          <w:tcPr>
            <w:tcW w:w="34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796,835</w:t>
            </w:r>
          </w:p>
        </w:tc>
        <w:tc>
          <w:tcPr>
            <w:tcW w:w="32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1,714,696</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1,983,805</w:t>
            </w:r>
          </w:p>
        </w:tc>
        <w:tc>
          <w:tcPr>
            <w:tcW w:w="80" w:type="dxa"/>
            <w:vAlign w:val="bottom"/>
            <w:shd w:val="clear" w:color="auto" w:fill="CCEEFF"/>
          </w:tcPr>
          <w:p>
            <w:pPr>
              <w:spacing w:after="0"/>
              <w:rPr>
                <w:sz w:val="21"/>
                <w:szCs w:val="21"/>
                <w:color w:val="auto"/>
              </w:rPr>
            </w:pPr>
          </w:p>
        </w:tc>
      </w:tr>
      <w:tr>
        <w:trPr>
          <w:trHeight w:val="210"/>
        </w:trPr>
        <w:tc>
          <w:tcPr>
            <w:tcW w:w="416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revenues</w:t>
            </w:r>
          </w:p>
        </w:tc>
        <w:tc>
          <w:tcPr>
            <w:tcW w:w="120" w:type="dxa"/>
            <w:vAlign w:val="bottom"/>
            <w:tcBorders>
              <w:top w:val="single" w:sz="8" w:color="CCEEFF"/>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85,791,336</w:t>
            </w:r>
          </w:p>
        </w:tc>
        <w:tc>
          <w:tcPr>
            <w:tcW w:w="340" w:type="dxa"/>
            <w:vAlign w:val="bottom"/>
            <w:tcBorders>
              <w:top w:val="single" w:sz="8" w:color="CCEEFF"/>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83,846,159</w:t>
            </w:r>
          </w:p>
        </w:tc>
        <w:tc>
          <w:tcPr>
            <w:tcW w:w="340" w:type="dxa"/>
            <w:vAlign w:val="bottom"/>
            <w:tcBorders>
              <w:top w:val="single" w:sz="8" w:color="CCEEFF"/>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166,979,534</w:t>
            </w:r>
          </w:p>
        </w:tc>
        <w:tc>
          <w:tcPr>
            <w:tcW w:w="2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163,346,893</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16"/>
        </w:trPr>
        <w:tc>
          <w:tcPr>
            <w:tcW w:w="4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Benefits and expenses:</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Death benefits</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14,070,165</w:t>
            </w:r>
          </w:p>
        </w:tc>
        <w:tc>
          <w:tcPr>
            <w:tcW w:w="3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15,455,305</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29,783,918</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32,133,671</w:t>
            </w:r>
          </w:p>
        </w:tc>
        <w:tc>
          <w:tcPr>
            <w:tcW w:w="80" w:type="dxa"/>
            <w:vAlign w:val="bottom"/>
            <w:shd w:val="clear" w:color="auto" w:fill="CCEEFF"/>
          </w:tcPr>
          <w:p>
            <w:pPr>
              <w:spacing w:after="0"/>
              <w:rPr>
                <w:sz w:val="18"/>
                <w:szCs w:val="18"/>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Surrenders and other policy benefits</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1,042,940</w:t>
            </w:r>
          </w:p>
        </w:tc>
        <w:tc>
          <w:tcPr>
            <w:tcW w:w="340" w:type="dxa"/>
            <w:vAlign w:val="bottom"/>
          </w:tcPr>
          <w:p>
            <w:pPr>
              <w:spacing w:after="0"/>
              <w:rPr>
                <w:sz w:val="18"/>
                <w:szCs w:val="18"/>
                <w:color w:val="auto"/>
              </w:rPr>
            </w:pP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950,657</w:t>
            </w:r>
          </w:p>
        </w:tc>
        <w:tc>
          <w:tcPr>
            <w:tcW w:w="32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2,258,733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2,083,350</w:t>
            </w:r>
          </w:p>
        </w:tc>
        <w:tc>
          <w:tcPr>
            <w:tcW w:w="80" w:type="dxa"/>
            <w:vAlign w:val="bottom"/>
          </w:tcPr>
          <w:p>
            <w:pPr>
              <w:spacing w:after="0"/>
              <w:rPr>
                <w:sz w:val="18"/>
                <w:szCs w:val="18"/>
                <w:color w:val="auto"/>
              </w:rPr>
            </w:pP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future policy benefits</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9,212,937</w:t>
            </w:r>
          </w:p>
        </w:tc>
        <w:tc>
          <w:tcPr>
            <w:tcW w:w="3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8,499,804</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18,558,824</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16,554,743</w:t>
            </w:r>
          </w:p>
        </w:tc>
        <w:tc>
          <w:tcPr>
            <w:tcW w:w="80" w:type="dxa"/>
            <w:vAlign w:val="bottom"/>
            <w:shd w:val="clear" w:color="auto" w:fill="CCEEFF"/>
          </w:tcPr>
          <w:p>
            <w:pPr>
              <w:spacing w:after="0"/>
              <w:rPr>
                <w:sz w:val="18"/>
                <w:szCs w:val="18"/>
                <w:color w:val="auto"/>
              </w:rPr>
            </w:pPr>
          </w:p>
        </w:tc>
      </w:tr>
      <w:tr>
        <w:trPr>
          <w:trHeight w:val="198"/>
        </w:trPr>
        <w:tc>
          <w:tcPr>
            <w:tcW w:w="41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Amortization  of  deferred  policy  and  pre-need</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acquisition</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costs and value of business acquired</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4,301,389</w:t>
            </w:r>
          </w:p>
        </w:tc>
        <w:tc>
          <w:tcPr>
            <w:tcW w:w="340" w:type="dxa"/>
            <w:vAlign w:val="bottom"/>
          </w:tcPr>
          <w:p>
            <w:pPr>
              <w:spacing w:after="0"/>
              <w:rPr>
                <w:sz w:val="20"/>
                <w:szCs w:val="20"/>
                <w:color w:val="auto"/>
              </w:rPr>
            </w:pP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4,251,321</w:t>
            </w:r>
          </w:p>
        </w:tc>
        <w:tc>
          <w:tcPr>
            <w:tcW w:w="32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9,045,302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9,134,902</w:t>
            </w:r>
          </w:p>
        </w:tc>
        <w:tc>
          <w:tcPr>
            <w:tcW w:w="80" w:type="dxa"/>
            <w:vAlign w:val="bottom"/>
          </w:tcPr>
          <w:p>
            <w:pPr>
              <w:spacing w:after="0"/>
              <w:rPr>
                <w:sz w:val="20"/>
                <w:szCs w:val="20"/>
                <w:color w:val="auto"/>
              </w:rPr>
            </w:pP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Commissions</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13,452,841</w:t>
            </w:r>
          </w:p>
        </w:tc>
        <w:tc>
          <w:tcPr>
            <w:tcW w:w="340" w:type="dxa"/>
            <w:vAlign w:val="bottom"/>
          </w:tcPr>
          <w:p>
            <w:pPr>
              <w:spacing w:after="0"/>
              <w:rPr>
                <w:sz w:val="18"/>
                <w:szCs w:val="18"/>
                <w:color w:val="auto"/>
              </w:rPr>
            </w:pP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10,736,126</w:t>
            </w:r>
          </w:p>
        </w:tc>
        <w:tc>
          <w:tcPr>
            <w:tcW w:w="32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21,434,058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20,409,436</w:t>
            </w:r>
          </w:p>
        </w:tc>
        <w:tc>
          <w:tcPr>
            <w:tcW w:w="80" w:type="dxa"/>
            <w:vAlign w:val="bottom"/>
          </w:tcPr>
          <w:p>
            <w:pPr>
              <w:spacing w:after="0"/>
              <w:rPr>
                <w:sz w:val="18"/>
                <w:szCs w:val="18"/>
                <w:color w:val="auto"/>
              </w:rPr>
            </w:pPr>
          </w:p>
        </w:tc>
      </w:tr>
      <w:tr>
        <w:trPr>
          <w:trHeight w:val="216"/>
        </w:trPr>
        <w:tc>
          <w:tcPr>
            <w:tcW w:w="4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Personnel</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20,802,576</w:t>
            </w:r>
          </w:p>
        </w:tc>
        <w:tc>
          <w:tcPr>
            <w:tcW w:w="3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20,508,415</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40,657,711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42,470,927</w:t>
            </w:r>
          </w:p>
        </w:tc>
        <w:tc>
          <w:tcPr>
            <w:tcW w:w="80" w:type="dxa"/>
            <w:vAlign w:val="bottom"/>
            <w:shd w:val="clear" w:color="auto" w:fill="CCEEFF"/>
          </w:tcPr>
          <w:p>
            <w:pPr>
              <w:spacing w:after="0"/>
              <w:rPr>
                <w:sz w:val="18"/>
                <w:szCs w:val="18"/>
                <w:color w:val="auto"/>
              </w:rPr>
            </w:pPr>
          </w:p>
        </w:tc>
      </w:tr>
      <w:tr>
        <w:trPr>
          <w:trHeight w:val="216"/>
        </w:trPr>
        <w:tc>
          <w:tcPr>
            <w:tcW w:w="4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Advertising</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786,217</w:t>
            </w:r>
          </w:p>
        </w:tc>
        <w:tc>
          <w:tcPr>
            <w:tcW w:w="340" w:type="dxa"/>
            <w:vAlign w:val="bottom"/>
          </w:tcPr>
          <w:p>
            <w:pPr>
              <w:spacing w:after="0"/>
              <w:rPr>
                <w:sz w:val="18"/>
                <w:szCs w:val="18"/>
                <w:color w:val="auto"/>
              </w:rPr>
            </w:pP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965,753</w:t>
            </w:r>
          </w:p>
        </w:tc>
        <w:tc>
          <w:tcPr>
            <w:tcW w:w="32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1,473,872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1,869,164</w:t>
            </w:r>
          </w:p>
        </w:tc>
        <w:tc>
          <w:tcPr>
            <w:tcW w:w="80" w:type="dxa"/>
            <w:vAlign w:val="bottom"/>
          </w:tcPr>
          <w:p>
            <w:pPr>
              <w:spacing w:after="0"/>
              <w:rPr>
                <w:sz w:val="18"/>
                <w:szCs w:val="18"/>
                <w:color w:val="auto"/>
              </w:rPr>
            </w:pPr>
          </w:p>
        </w:tc>
      </w:tr>
      <w:tr>
        <w:trPr>
          <w:trHeight w:val="216"/>
        </w:trPr>
        <w:tc>
          <w:tcPr>
            <w:tcW w:w="4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Rent and rent related</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1,297,239</w:t>
            </w:r>
          </w:p>
        </w:tc>
        <w:tc>
          <w:tcPr>
            <w:tcW w:w="3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1,831,011</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2,698,716</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3,607,791</w:t>
            </w:r>
          </w:p>
        </w:tc>
        <w:tc>
          <w:tcPr>
            <w:tcW w:w="80" w:type="dxa"/>
            <w:vAlign w:val="bottom"/>
            <w:shd w:val="clear" w:color="auto" w:fill="CCEEFF"/>
          </w:tcPr>
          <w:p>
            <w:pPr>
              <w:spacing w:after="0"/>
              <w:rPr>
                <w:sz w:val="18"/>
                <w:szCs w:val="18"/>
                <w:color w:val="auto"/>
              </w:rPr>
            </w:pPr>
          </w:p>
        </w:tc>
      </w:tr>
      <w:tr>
        <w:trPr>
          <w:trHeight w:val="216"/>
        </w:trPr>
        <w:tc>
          <w:tcPr>
            <w:tcW w:w="4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on property and equipment</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592,899</w:t>
            </w:r>
          </w:p>
        </w:tc>
        <w:tc>
          <w:tcPr>
            <w:tcW w:w="340" w:type="dxa"/>
            <w:vAlign w:val="bottom"/>
          </w:tcPr>
          <w:p>
            <w:pPr>
              <w:spacing w:after="0"/>
              <w:rPr>
                <w:sz w:val="18"/>
                <w:szCs w:val="18"/>
                <w:color w:val="auto"/>
              </w:rPr>
            </w:pP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587,213</w:t>
            </w:r>
          </w:p>
        </w:tc>
        <w:tc>
          <w:tcPr>
            <w:tcW w:w="32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1,180,348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1,175,629</w:t>
            </w:r>
          </w:p>
        </w:tc>
        <w:tc>
          <w:tcPr>
            <w:tcW w:w="80" w:type="dxa"/>
            <w:vAlign w:val="bottom"/>
          </w:tcPr>
          <w:p>
            <w:pPr>
              <w:spacing w:after="0"/>
              <w:rPr>
                <w:sz w:val="18"/>
                <w:szCs w:val="18"/>
                <w:color w:val="auto"/>
              </w:rPr>
            </w:pPr>
          </w:p>
        </w:tc>
      </w:tr>
      <w:tr>
        <w:trPr>
          <w:trHeight w:val="216"/>
        </w:trPr>
        <w:tc>
          <w:tcPr>
            <w:tcW w:w="4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Costs related to funding mortgage loans</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1,533,881</w:t>
            </w:r>
          </w:p>
        </w:tc>
        <w:tc>
          <w:tcPr>
            <w:tcW w:w="3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1,841,367</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2,982,976</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3,683,709</w:t>
            </w:r>
          </w:p>
        </w:tc>
        <w:tc>
          <w:tcPr>
            <w:tcW w:w="80" w:type="dxa"/>
            <w:vAlign w:val="bottom"/>
            <w:shd w:val="clear" w:color="auto" w:fill="CCEEFF"/>
          </w:tcPr>
          <w:p>
            <w:pPr>
              <w:spacing w:after="0"/>
              <w:rPr>
                <w:sz w:val="18"/>
                <w:szCs w:val="18"/>
                <w:color w:val="auto"/>
              </w:rPr>
            </w:pPr>
          </w:p>
        </w:tc>
      </w:tr>
      <w:tr>
        <w:trPr>
          <w:trHeight w:val="216"/>
        </w:trPr>
        <w:tc>
          <w:tcPr>
            <w:tcW w:w="4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6,999,384</w:t>
            </w:r>
          </w:p>
        </w:tc>
        <w:tc>
          <w:tcPr>
            <w:tcW w:w="340" w:type="dxa"/>
            <w:vAlign w:val="bottom"/>
          </w:tcPr>
          <w:p>
            <w:pPr>
              <w:spacing w:after="0"/>
              <w:rPr>
                <w:sz w:val="18"/>
                <w:szCs w:val="18"/>
                <w:color w:val="auto"/>
              </w:rPr>
            </w:pP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7,403,409</w:t>
            </w:r>
          </w:p>
        </w:tc>
        <w:tc>
          <w:tcPr>
            <w:tcW w:w="32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13,285,294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15,183,944</w:t>
            </w:r>
          </w:p>
        </w:tc>
        <w:tc>
          <w:tcPr>
            <w:tcW w:w="80" w:type="dxa"/>
            <w:vAlign w:val="bottom"/>
          </w:tcPr>
          <w:p>
            <w:pPr>
              <w:spacing w:after="0"/>
              <w:rPr>
                <w:sz w:val="18"/>
                <w:szCs w:val="18"/>
                <w:color w:val="auto"/>
              </w:rPr>
            </w:pP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1,073,816</w:t>
            </w:r>
          </w:p>
        </w:tc>
        <w:tc>
          <w:tcPr>
            <w:tcW w:w="3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1,414,802</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2,101,290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2,868,135</w:t>
            </w:r>
          </w:p>
        </w:tc>
        <w:tc>
          <w:tcPr>
            <w:tcW w:w="80" w:type="dxa"/>
            <w:vAlign w:val="bottom"/>
            <w:shd w:val="clear" w:color="auto" w:fill="CCEEFF"/>
          </w:tcPr>
          <w:p>
            <w:pPr>
              <w:spacing w:after="0"/>
              <w:rPr>
                <w:sz w:val="18"/>
                <w:szCs w:val="18"/>
                <w:color w:val="auto"/>
              </w:rPr>
            </w:pPr>
          </w:p>
        </w:tc>
      </w:tr>
      <w:tr>
        <w:trPr>
          <w:trHeight w:val="198"/>
        </w:trPr>
        <w:tc>
          <w:tcPr>
            <w:tcW w:w="41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Cost of goods and services sold-mortuaries and</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55"/>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cemeteries</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1,235,459</w:t>
            </w:r>
          </w:p>
        </w:tc>
        <w:tc>
          <w:tcPr>
            <w:tcW w:w="340" w:type="dxa"/>
            <w:vAlign w:val="bottom"/>
          </w:tcPr>
          <w:p>
            <w:pPr>
              <w:spacing w:after="0"/>
              <w:rPr>
                <w:sz w:val="22"/>
                <w:szCs w:val="22"/>
                <w:color w:val="auto"/>
              </w:rPr>
            </w:pP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1,251,643</w:t>
            </w:r>
          </w:p>
        </w:tc>
        <w:tc>
          <w:tcPr>
            <w:tcW w:w="320" w:type="dxa"/>
            <w:vAlign w:val="bottom"/>
          </w:tcPr>
          <w:p>
            <w:pPr>
              <w:spacing w:after="0"/>
              <w:rPr>
                <w:sz w:val="22"/>
                <w:szCs w:val="22"/>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2,509,588</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2,437,271</w:t>
            </w:r>
          </w:p>
        </w:tc>
        <w:tc>
          <w:tcPr>
            <w:tcW w:w="80" w:type="dxa"/>
            <w:vAlign w:val="bottom"/>
          </w:tcPr>
          <w:p>
            <w:pPr>
              <w:spacing w:after="0"/>
              <w:rPr>
                <w:sz w:val="22"/>
                <w:szCs w:val="22"/>
                <w:color w:val="auto"/>
              </w:rPr>
            </w:pPr>
          </w:p>
        </w:tc>
      </w:tr>
      <w:tr>
        <w:trPr>
          <w:trHeight w:val="223"/>
        </w:trPr>
        <w:tc>
          <w:tcPr>
            <w:tcW w:w="41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benefits and expenses</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76,401,743</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75,696,826</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147,970,630</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153,612,672</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Earnings before income taxes</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9,389,593</w:t>
            </w:r>
          </w:p>
        </w:tc>
        <w:tc>
          <w:tcPr>
            <w:tcW w:w="3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8,149,333</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19,008,904</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9,734,221</w:t>
            </w:r>
          </w:p>
        </w:tc>
        <w:tc>
          <w:tcPr>
            <w:tcW w:w="80" w:type="dxa"/>
            <w:vAlign w:val="bottom"/>
            <w:shd w:val="clear" w:color="auto" w:fill="CCEEFF"/>
          </w:tcPr>
          <w:p>
            <w:pPr>
              <w:spacing w:after="0"/>
              <w:rPr>
                <w:sz w:val="18"/>
                <w:szCs w:val="18"/>
                <w:color w:val="auto"/>
              </w:rPr>
            </w:pPr>
          </w:p>
        </w:tc>
      </w:tr>
      <w:tr>
        <w:trPr>
          <w:trHeight w:val="237"/>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(2,118,044)</w:t>
            </w:r>
          </w:p>
        </w:tc>
        <w:tc>
          <w:tcPr>
            <w:tcW w:w="340" w:type="dxa"/>
            <w:vAlign w:val="bottom"/>
          </w:tcPr>
          <w:p>
            <w:pPr>
              <w:spacing w:after="0"/>
              <w:rPr>
                <w:sz w:val="20"/>
                <w:szCs w:val="20"/>
                <w:color w:val="auto"/>
              </w:rPr>
            </w:pP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(1,796,627)</w:t>
            </w:r>
          </w:p>
        </w:tc>
        <w:tc>
          <w:tcPr>
            <w:tcW w:w="320" w:type="dxa"/>
            <w:vAlign w:val="bottom"/>
          </w:tcPr>
          <w:p>
            <w:pPr>
              <w:spacing w:after="0"/>
              <w:rPr>
                <w:sz w:val="20"/>
                <w:szCs w:val="20"/>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(4,262,833)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(2,141,343)</w:t>
            </w:r>
          </w:p>
        </w:tc>
      </w:tr>
      <w:tr>
        <w:trPr>
          <w:trHeight w:val="216"/>
        </w:trPr>
        <w:tc>
          <w:tcPr>
            <w:tcW w:w="4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83"/>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7,271,549</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6,352,706</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14,746,071</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7,592,878</w:t>
            </w:r>
          </w:p>
        </w:tc>
        <w:tc>
          <w:tcPr>
            <w:tcW w:w="80" w:type="dxa"/>
            <w:vAlign w:val="bottom"/>
          </w:tcPr>
          <w:p>
            <w:pPr>
              <w:spacing w:after="0"/>
              <w:rPr>
                <w:sz w:val="24"/>
                <w:szCs w:val="24"/>
                <w:color w:val="auto"/>
              </w:rPr>
            </w:pPr>
          </w:p>
        </w:tc>
      </w:tr>
      <w:tr>
        <w:trPr>
          <w:trHeight w:val="197"/>
        </w:trPr>
        <w:tc>
          <w:tcPr>
            <w:tcW w:w="4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194"/>
        </w:trPr>
        <w:tc>
          <w:tcPr>
            <w:tcW w:w="416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Net earnings per Class A Equivalent common share</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332"/>
        </w:trPr>
        <w:tc>
          <w:tcPr>
            <w:tcW w:w="4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w:t>
            </w: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0.31</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0.27</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0.63</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0.33</w:t>
            </w:r>
          </w:p>
        </w:tc>
        <w:tc>
          <w:tcPr>
            <w:tcW w:w="80" w:type="dxa"/>
            <w:vAlign w:val="bottom"/>
          </w:tcPr>
          <w:p>
            <w:pPr>
              <w:spacing w:after="0"/>
              <w:rPr>
                <w:sz w:val="24"/>
                <w:szCs w:val="24"/>
                <w:color w:val="auto"/>
              </w:rPr>
            </w:pPr>
          </w:p>
        </w:tc>
      </w:tr>
      <w:tr>
        <w:trPr>
          <w:trHeight w:val="197"/>
        </w:trPr>
        <w:tc>
          <w:tcPr>
            <w:tcW w:w="4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194"/>
        </w:trPr>
        <w:tc>
          <w:tcPr>
            <w:tcW w:w="416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Net earnings per Class A Equivalent common share-</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332"/>
        </w:trPr>
        <w:tc>
          <w:tcPr>
            <w:tcW w:w="4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assuming dilution (1)</w:t>
            </w: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0.30</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0.27</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0.62</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0.32</w:t>
            </w:r>
          </w:p>
        </w:tc>
        <w:tc>
          <w:tcPr>
            <w:tcW w:w="80" w:type="dxa"/>
            <w:vAlign w:val="bottom"/>
          </w:tcPr>
          <w:p>
            <w:pPr>
              <w:spacing w:after="0"/>
              <w:rPr>
                <w:sz w:val="24"/>
                <w:szCs w:val="24"/>
                <w:color w:val="auto"/>
              </w:rPr>
            </w:pPr>
          </w:p>
        </w:tc>
      </w:tr>
      <w:tr>
        <w:trPr>
          <w:trHeight w:val="197"/>
        </w:trPr>
        <w:tc>
          <w:tcPr>
            <w:tcW w:w="4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198"/>
        </w:trPr>
        <w:tc>
          <w:tcPr>
            <w:tcW w:w="41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Weighted-average Class A equivalent common shares</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301"/>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outstanding (1)</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23,297,455</w:t>
            </w:r>
          </w:p>
        </w:tc>
        <w:tc>
          <w:tcPr>
            <w:tcW w:w="340" w:type="dxa"/>
            <w:vAlign w:val="bottom"/>
          </w:tcPr>
          <w:p>
            <w:pPr>
              <w:spacing w:after="0"/>
              <w:rPr>
                <w:sz w:val="24"/>
                <w:szCs w:val="24"/>
                <w:color w:val="auto"/>
              </w:rPr>
            </w:pP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23,110,818</w:t>
            </w:r>
          </w:p>
        </w:tc>
        <w:tc>
          <w:tcPr>
            <w:tcW w:w="320" w:type="dxa"/>
            <w:vAlign w:val="bottom"/>
          </w:tcPr>
          <w:p>
            <w:pPr>
              <w:spacing w:after="0"/>
              <w:rPr>
                <w:sz w:val="24"/>
                <w:szCs w:val="24"/>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23,313,768</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23,172,477</w:t>
            </w:r>
          </w:p>
        </w:tc>
        <w:tc>
          <w:tcPr>
            <w:tcW w:w="80" w:type="dxa"/>
            <w:vAlign w:val="bottom"/>
          </w:tcPr>
          <w:p>
            <w:pPr>
              <w:spacing w:after="0"/>
              <w:rPr>
                <w:sz w:val="24"/>
                <w:szCs w:val="24"/>
                <w:color w:val="auto"/>
              </w:rPr>
            </w:pPr>
          </w:p>
        </w:tc>
      </w:tr>
      <w:tr>
        <w:trPr>
          <w:trHeight w:val="197"/>
        </w:trPr>
        <w:tc>
          <w:tcPr>
            <w:tcW w:w="4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198"/>
        </w:trPr>
        <w:tc>
          <w:tcPr>
            <w:tcW w:w="41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Weighted-average Class A equivalent common shares</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48"/>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outstanding-assuming dilution (1)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23,873,958</w:t>
            </w:r>
          </w:p>
        </w:tc>
        <w:tc>
          <w:tcPr>
            <w:tcW w:w="340" w:type="dxa"/>
            <w:vAlign w:val="bottom"/>
          </w:tcPr>
          <w:p>
            <w:pPr>
              <w:spacing w:after="0"/>
              <w:rPr>
                <w:sz w:val="21"/>
                <w:szCs w:val="21"/>
                <w:color w:val="auto"/>
              </w:rPr>
            </w:pP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23,702,284</w:t>
            </w:r>
          </w:p>
        </w:tc>
        <w:tc>
          <w:tcPr>
            <w:tcW w:w="32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23,976,904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23,750,919</w:t>
            </w:r>
          </w:p>
        </w:tc>
        <w:tc>
          <w:tcPr>
            <w:tcW w:w="80" w:type="dxa"/>
            <w:vAlign w:val="bottom"/>
          </w:tcPr>
          <w:p>
            <w:pPr>
              <w:spacing w:after="0"/>
              <w:rPr>
                <w:sz w:val="21"/>
                <w:szCs w:val="21"/>
                <w:color w:val="auto"/>
              </w:rPr>
            </w:pPr>
          </w:p>
        </w:tc>
      </w:tr>
      <w:tr>
        <w:trPr>
          <w:trHeight w:val="20"/>
        </w:trPr>
        <w:tc>
          <w:tcPr>
            <w:tcW w:w="4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360" w:hanging="292"/>
        <w:spacing w:after="0" w:line="266" w:lineRule="auto"/>
        <w:tabs>
          <w:tab w:leader="none" w:pos="3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earnings per share amounts have been adjusted retroactively for the effect of annual stock dividends. The weighted-average shares outstanding includes the weighted-average Class A common shares and the weighted-average Class C common shares determined on an equivalent Class A common stock basis. Net earnings per common share represent net earnings per equivalent Class A common share.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 (unaudited).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300" w:type="dxa"/>
            <w:vAlign w:val="bottom"/>
            <w:gridSpan w:val="5"/>
          </w:tcPr>
          <w:p>
            <w:pPr>
              <w:jc w:val="right"/>
              <w:ind w:right="821"/>
              <w:spacing w:after="0"/>
              <w:rPr>
                <w:sz w:val="20"/>
                <w:szCs w:val="20"/>
                <w:color w:val="auto"/>
              </w:rPr>
            </w:pPr>
            <w:r>
              <w:rPr>
                <w:rFonts w:ascii="Times New Roman" w:cs="Times New Roman" w:eastAsia="Times New Roman" w:hAnsi="Times New Roman"/>
                <w:sz w:val="18"/>
                <w:szCs w:val="18"/>
                <w:color w:val="auto"/>
              </w:rPr>
              <w:t>Three Months Ended June 30,</w:t>
            </w:r>
          </w:p>
        </w:tc>
        <w:tc>
          <w:tcPr>
            <w:tcW w:w="320" w:type="dxa"/>
            <w:vAlign w:val="bottom"/>
          </w:tcPr>
          <w:p>
            <w:pPr>
              <w:spacing w:after="0"/>
              <w:rPr>
                <w:sz w:val="20"/>
                <w:szCs w:val="20"/>
                <w:color w:val="auto"/>
              </w:rPr>
            </w:pPr>
          </w:p>
        </w:tc>
        <w:tc>
          <w:tcPr>
            <w:tcW w:w="3000" w:type="dxa"/>
            <w:vAlign w:val="bottom"/>
            <w:gridSpan w:val="6"/>
          </w:tcPr>
          <w:p>
            <w:pPr>
              <w:jc w:val="right"/>
              <w:ind w:right="641"/>
              <w:spacing w:after="0"/>
              <w:rPr>
                <w:sz w:val="20"/>
                <w:szCs w:val="20"/>
                <w:color w:val="auto"/>
              </w:rPr>
            </w:pPr>
            <w:r>
              <w:rPr>
                <w:rFonts w:ascii="Times New Roman" w:cs="Times New Roman" w:eastAsia="Times New Roman" w:hAnsi="Times New Roman"/>
                <w:sz w:val="18"/>
                <w:szCs w:val="18"/>
                <w:color w:val="auto"/>
              </w:rPr>
              <w:t>Six Months Ended June 30,</w:t>
            </w:r>
          </w:p>
        </w:tc>
      </w:tr>
      <w:tr>
        <w:trPr>
          <w:trHeight w:val="237"/>
        </w:trPr>
        <w:tc>
          <w:tcPr>
            <w:tcW w:w="540" w:type="dxa"/>
            <w:vAlign w:val="bottom"/>
            <w:tcBorders>
              <w:bottom w:val="single" w:sz="8" w:color="CCEEFF"/>
            </w:tcBorders>
          </w:tcPr>
          <w:p>
            <w:pPr>
              <w:spacing w:after="0"/>
              <w:rPr>
                <w:sz w:val="20"/>
                <w:szCs w:val="20"/>
                <w:color w:val="auto"/>
              </w:rPr>
            </w:pPr>
          </w:p>
        </w:tc>
        <w:tc>
          <w:tcPr>
            <w:tcW w:w="2280" w:type="dxa"/>
            <w:vAlign w:val="bottom"/>
            <w:tcBorders>
              <w:bottom w:val="single" w:sz="8" w:color="CCEEFF"/>
            </w:tcBorders>
          </w:tcPr>
          <w:p>
            <w:pPr>
              <w:spacing w:after="0"/>
              <w:rPr>
                <w:sz w:val="20"/>
                <w:szCs w:val="20"/>
                <w:color w:val="auto"/>
              </w:rPr>
            </w:pPr>
          </w:p>
        </w:tc>
        <w:tc>
          <w:tcPr>
            <w:tcW w:w="13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2024</w:t>
            </w:r>
          </w:p>
        </w:tc>
        <w:tc>
          <w:tcPr>
            <w:tcW w:w="340" w:type="dxa"/>
            <w:vAlign w:val="bottom"/>
            <w:tcBorders>
              <w:top w:val="single" w:sz="8" w:color="auto"/>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2023</w:t>
            </w:r>
          </w:p>
        </w:tc>
        <w:tc>
          <w:tcPr>
            <w:tcW w:w="340" w:type="dxa"/>
            <w:vAlign w:val="bottom"/>
            <w:tcBorders>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2024</w:t>
            </w:r>
          </w:p>
        </w:tc>
        <w:tc>
          <w:tcPr>
            <w:tcW w:w="200" w:type="dxa"/>
            <w:vAlign w:val="bottom"/>
            <w:tcBorders>
              <w:top w:val="single" w:sz="8" w:color="auto"/>
              <w:bottom w:val="single" w:sz="8" w:color="CCEEFF"/>
            </w:tcBorders>
          </w:tcPr>
          <w:p>
            <w:pPr>
              <w:spacing w:after="0"/>
              <w:rPr>
                <w:sz w:val="20"/>
                <w:szCs w:val="20"/>
                <w:color w:val="auto"/>
              </w:rPr>
            </w:pPr>
          </w:p>
        </w:tc>
        <w:tc>
          <w:tcPr>
            <w:tcW w:w="120" w:type="dxa"/>
            <w:vAlign w:val="bottom"/>
            <w:tcBorders>
              <w:top w:val="single" w:sz="8" w:color="auto"/>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tcPr>
          <w:p>
            <w:pPr>
              <w:spacing w:after="0"/>
              <w:rPr>
                <w:sz w:val="20"/>
                <w:szCs w:val="20"/>
                <w:color w:val="auto"/>
              </w:rPr>
            </w:pPr>
          </w:p>
        </w:tc>
      </w:tr>
      <w:tr>
        <w:trPr>
          <w:trHeight w:val="236"/>
        </w:trPr>
        <w:tc>
          <w:tcPr>
            <w:tcW w:w="41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7,271,549</w:t>
            </w:r>
          </w:p>
        </w:tc>
        <w:tc>
          <w:tcPr>
            <w:tcW w:w="3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6,352,706</w:t>
            </w:r>
          </w:p>
        </w:tc>
        <w:tc>
          <w:tcPr>
            <w:tcW w:w="3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14,746,071</w:t>
            </w:r>
          </w:p>
        </w:tc>
        <w:tc>
          <w:tcPr>
            <w:tcW w:w="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7,592,878</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03"/>
        </w:trPr>
        <w:tc>
          <w:tcPr>
            <w:tcW w:w="4180" w:type="dxa"/>
            <w:vAlign w:val="bottom"/>
            <w:gridSpan w:val="3"/>
          </w:tcPr>
          <w:p>
            <w:pPr>
              <w:spacing w:after="0" w:line="203" w:lineRule="exact"/>
              <w:rPr>
                <w:sz w:val="20"/>
                <w:szCs w:val="20"/>
                <w:color w:val="auto"/>
              </w:rPr>
            </w:pPr>
            <w:r>
              <w:rPr>
                <w:rFonts w:ascii="Times New Roman" w:cs="Times New Roman" w:eastAsia="Times New Roman" w:hAnsi="Times New Roman"/>
                <w:sz w:val="18"/>
                <w:szCs w:val="18"/>
                <w:color w:val="auto"/>
              </w:rPr>
              <w:t>Other comprehensive income:</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8"/>
        </w:trPr>
        <w:tc>
          <w:tcPr>
            <w:tcW w:w="4180" w:type="dxa"/>
            <w:vAlign w:val="bottom"/>
            <w:gridSpan w:val="3"/>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Unrealized gains (losses) on fixed maturity securities</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41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available for sale</w:t>
            </w:r>
          </w:p>
        </w:tc>
        <w:tc>
          <w:tcPr>
            <w:tcW w:w="4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(650,489)</w:t>
            </w:r>
          </w:p>
        </w:tc>
        <w:tc>
          <w:tcPr>
            <w:tcW w:w="34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(4,993,177)</w:t>
            </w:r>
          </w:p>
        </w:tc>
        <w:tc>
          <w:tcPr>
            <w:tcW w:w="3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(1,782,140)</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224,852</w:t>
            </w:r>
          </w:p>
        </w:tc>
      </w:tr>
      <w:tr>
        <w:trPr>
          <w:trHeight w:val="216"/>
        </w:trPr>
        <w:tc>
          <w:tcPr>
            <w:tcW w:w="41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Unrealized losses on restricted assets (1)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(1,694)</w:t>
            </w:r>
          </w:p>
        </w:tc>
        <w:tc>
          <w:tcPr>
            <w:tcW w:w="340" w:type="dxa"/>
            <w:vAlign w:val="bottom"/>
          </w:tcPr>
          <w:p>
            <w:pPr>
              <w:spacing w:after="0"/>
              <w:rPr>
                <w:sz w:val="18"/>
                <w:szCs w:val="18"/>
                <w:color w:val="auto"/>
              </w:rPr>
            </w:pPr>
          </w:p>
        </w:tc>
        <w:tc>
          <w:tcPr>
            <w:tcW w:w="148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(6,189)</w:t>
            </w:r>
          </w:p>
        </w:tc>
        <w:tc>
          <w:tcPr>
            <w:tcW w:w="320" w:type="dxa"/>
            <w:vAlign w:val="bottom"/>
          </w:tcPr>
          <w:p>
            <w:pPr>
              <w:spacing w:after="0"/>
              <w:rPr>
                <w:sz w:val="18"/>
                <w:szCs w:val="18"/>
                <w:color w:val="auto"/>
              </w:rPr>
            </w:pPr>
          </w:p>
        </w:tc>
        <w:tc>
          <w:tcPr>
            <w:tcW w:w="13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(3,583)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(2,056)</w:t>
            </w:r>
          </w:p>
        </w:tc>
      </w:tr>
      <w:tr>
        <w:trPr>
          <w:trHeight w:val="198"/>
        </w:trPr>
        <w:tc>
          <w:tcPr>
            <w:tcW w:w="4180" w:type="dxa"/>
            <w:vAlign w:val="bottom"/>
            <w:gridSpan w:val="3"/>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Unrealized losses on cemetery perpetual care trust</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68"/>
        </w:trPr>
        <w:tc>
          <w:tcPr>
            <w:tcW w:w="41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investments (1)</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48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(1,052)</w:t>
            </w:r>
          </w:p>
        </w:tc>
        <w:tc>
          <w:tcPr>
            <w:tcW w:w="340" w:type="dxa"/>
            <w:vAlign w:val="bottom"/>
            <w:shd w:val="clear" w:color="auto" w:fill="CCEEFF"/>
          </w:tcPr>
          <w:p>
            <w:pPr>
              <w:spacing w:after="0"/>
              <w:rPr>
                <w:sz w:val="23"/>
                <w:szCs w:val="23"/>
                <w:color w:val="auto"/>
              </w:rPr>
            </w:pPr>
          </w:p>
        </w:tc>
        <w:tc>
          <w:tcPr>
            <w:tcW w:w="148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(3,738)</w:t>
            </w:r>
          </w:p>
        </w:tc>
        <w:tc>
          <w:tcPr>
            <w:tcW w:w="32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(1,825)</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w:t>
            </w:r>
          </w:p>
        </w:tc>
      </w:tr>
      <w:tr>
        <w:trPr>
          <w:trHeight w:val="171"/>
        </w:trPr>
        <w:tc>
          <w:tcPr>
            <w:tcW w:w="4180" w:type="dxa"/>
            <w:vAlign w:val="bottom"/>
            <w:tcBorders>
              <w:top w:val="single" w:sz="8" w:color="CCEEFF"/>
            </w:tcBorders>
            <w:gridSpan w:val="3"/>
          </w:tcPr>
          <w:p>
            <w:pPr>
              <w:ind w:left="180"/>
              <w:spacing w:after="0" w:line="171" w:lineRule="exact"/>
              <w:rPr>
                <w:sz w:val="20"/>
                <w:szCs w:val="20"/>
                <w:color w:val="auto"/>
              </w:rPr>
            </w:pPr>
            <w:r>
              <w:rPr>
                <w:rFonts w:ascii="Times New Roman" w:cs="Times New Roman" w:eastAsia="Times New Roman" w:hAnsi="Times New Roman"/>
                <w:sz w:val="18"/>
                <w:szCs w:val="18"/>
                <w:color w:val="auto"/>
              </w:rPr>
              <w:t>Other comprehensive income (loss), before income</w:t>
            </w:r>
          </w:p>
        </w:tc>
        <w:tc>
          <w:tcPr>
            <w:tcW w:w="100" w:type="dxa"/>
            <w:vAlign w:val="bottom"/>
            <w:tcBorders>
              <w:top w:val="single" w:sz="8" w:color="CCEEFF"/>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340" w:type="dxa"/>
            <w:vAlign w:val="bottom"/>
            <w:tcBorders>
              <w:top w:val="single" w:sz="8" w:color="CCEEFF"/>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340" w:type="dxa"/>
            <w:vAlign w:val="bottom"/>
            <w:tcBorders>
              <w:top w:val="single" w:sz="8" w:color="CCEEFF"/>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r>
      <w:tr>
        <w:trPr>
          <w:trHeight w:val="255"/>
        </w:trPr>
        <w:tc>
          <w:tcPr>
            <w:tcW w:w="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w:t>
            </w:r>
          </w:p>
        </w:tc>
        <w:tc>
          <w:tcPr>
            <w:tcW w:w="22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8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(653,235)</w:t>
            </w:r>
          </w:p>
        </w:tc>
        <w:tc>
          <w:tcPr>
            <w:tcW w:w="340" w:type="dxa"/>
            <w:vAlign w:val="bottom"/>
          </w:tcPr>
          <w:p>
            <w:pPr>
              <w:spacing w:after="0"/>
              <w:rPr>
                <w:sz w:val="22"/>
                <w:szCs w:val="22"/>
                <w:color w:val="auto"/>
              </w:rPr>
            </w:pPr>
          </w:p>
        </w:tc>
        <w:tc>
          <w:tcPr>
            <w:tcW w:w="148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(5,003,104)</w:t>
            </w:r>
          </w:p>
        </w:tc>
        <w:tc>
          <w:tcPr>
            <w:tcW w:w="320" w:type="dxa"/>
            <w:vAlign w:val="bottom"/>
          </w:tcPr>
          <w:p>
            <w:pPr>
              <w:spacing w:after="0"/>
              <w:rPr>
                <w:sz w:val="22"/>
                <w:szCs w:val="22"/>
                <w:color w:val="auto"/>
              </w:rPr>
            </w:pPr>
          </w:p>
        </w:tc>
        <w:tc>
          <w:tcPr>
            <w:tcW w:w="13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(1,787,548)</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221,984</w:t>
            </w:r>
          </w:p>
        </w:tc>
      </w:tr>
      <w:tr>
        <w:trPr>
          <w:trHeight w:val="236"/>
        </w:trPr>
        <w:tc>
          <w:tcPr>
            <w:tcW w:w="4180" w:type="dxa"/>
            <w:vAlign w:val="bottom"/>
            <w:tcBorders>
              <w:top w:val="single" w:sz="8" w:color="CCEEFF"/>
              <w:bottom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136,106</w:t>
            </w: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1,051,052</w:t>
            </w: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375,321</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(46,478</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4180" w:type="dxa"/>
            <w:vAlign w:val="bottom"/>
            <w:tcBorders>
              <w:bottom w:val="single" w:sz="8" w:color="CCEEFF"/>
            </w:tcBorders>
            <w:gridSpan w:val="3"/>
          </w:tcPr>
          <w:p>
            <w:pPr>
              <w:spacing w:after="0" w:line="203" w:lineRule="exact"/>
              <w:rPr>
                <w:sz w:val="20"/>
                <w:szCs w:val="20"/>
                <w:color w:val="auto"/>
              </w:rPr>
            </w:pPr>
            <w:r>
              <w:rPr>
                <w:rFonts w:ascii="Times New Roman" w:cs="Times New Roman" w:eastAsia="Times New Roman" w:hAnsi="Times New Roman"/>
                <w:sz w:val="18"/>
                <w:szCs w:val="18"/>
                <w:color w:val="auto"/>
              </w:rPr>
              <w:t>Other comprehensive income (loss), net of income tax</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(517,129</w:t>
            </w:r>
          </w:p>
        </w:tc>
        <w:tc>
          <w:tcPr>
            <w:tcW w:w="340" w:type="dxa"/>
            <w:vAlign w:val="bottom"/>
            <w:tcBorders>
              <w:bottom w:val="single" w:sz="8" w:color="CCEEFF"/>
            </w:tcBorders>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(3,952,052</w:t>
            </w:r>
          </w:p>
        </w:tc>
        <w:tc>
          <w:tcPr>
            <w:tcW w:w="340" w:type="dxa"/>
            <w:vAlign w:val="bottom"/>
            <w:tcBorders>
              <w:bottom w:val="single" w:sz="8" w:color="CCEEFF"/>
            </w:tcBorders>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(1,412,227</w:t>
            </w:r>
          </w:p>
        </w:tc>
        <w:tc>
          <w:tcPr>
            <w:tcW w:w="200" w:type="dxa"/>
            <w:vAlign w:val="bottom"/>
            <w:tcBorders>
              <w:bottom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175,506</w:t>
            </w:r>
          </w:p>
        </w:tc>
        <w:tc>
          <w:tcPr>
            <w:tcW w:w="100" w:type="dxa"/>
            <w:vAlign w:val="bottom"/>
            <w:tcBorders>
              <w:bottom w:val="single" w:sz="8" w:color="CCEEFF"/>
            </w:tcBorders>
          </w:tcPr>
          <w:p>
            <w:pPr>
              <w:spacing w:after="0"/>
              <w:rPr>
                <w:sz w:val="18"/>
                <w:szCs w:val="18"/>
                <w:color w:val="auto"/>
              </w:rPr>
            </w:pPr>
          </w:p>
        </w:tc>
      </w:tr>
      <w:tr>
        <w:trPr>
          <w:trHeight w:val="229"/>
        </w:trPr>
        <w:tc>
          <w:tcPr>
            <w:tcW w:w="41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6,754,420</w:t>
            </w:r>
          </w:p>
        </w:tc>
        <w:tc>
          <w:tcPr>
            <w:tcW w:w="34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2,400,654</w:t>
            </w:r>
          </w:p>
        </w:tc>
        <w:tc>
          <w:tcPr>
            <w:tcW w:w="3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13,333,844</w:t>
            </w:r>
          </w:p>
        </w:tc>
        <w:tc>
          <w:tcPr>
            <w:tcW w:w="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7,768,384</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5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1"/>
        </w:trPr>
        <w:tc>
          <w:tcPr>
            <w:tcW w:w="54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4"/>
        </w:trPr>
        <w:tc>
          <w:tcPr>
            <w:tcW w:w="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w:t>
            </w:r>
          </w:p>
        </w:tc>
        <w:tc>
          <w:tcPr>
            <w:tcW w:w="36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Fixed maturity securities available for sale</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 (unaudited).</w:t>
      </w:r>
    </w:p>
    <w:p>
      <w:pPr>
        <w:spacing w:after="0" w:line="22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800" w:type="dxa"/>
            <w:vAlign w:val="bottom"/>
            <w:tcBorders>
              <w:bottom w:val="single" w:sz="8" w:color="auto"/>
            </w:tcBorders>
            <w:gridSpan w:val="9"/>
          </w:tcPr>
          <w:p>
            <w:pPr>
              <w:jc w:val="right"/>
              <w:ind w:right="760"/>
              <w:spacing w:after="0"/>
              <w:rPr>
                <w:sz w:val="20"/>
                <w:szCs w:val="20"/>
                <w:color w:val="auto"/>
              </w:rPr>
            </w:pPr>
            <w:r>
              <w:rPr>
                <w:rFonts w:ascii="Times New Roman" w:cs="Times New Roman" w:eastAsia="Times New Roman" w:hAnsi="Times New Roman"/>
                <w:sz w:val="18"/>
                <w:szCs w:val="18"/>
                <w:color w:val="auto"/>
              </w:rPr>
              <w:t>Six Months Ended June 30, 2024</w:t>
            </w:r>
          </w:p>
        </w:tc>
        <w:tc>
          <w:tcPr>
            <w:tcW w:w="8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2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gridSpan w:val="3"/>
          </w:tcPr>
          <w:p>
            <w:pPr>
              <w:jc w:val="center"/>
              <w:ind w:right="61"/>
              <w:spacing w:after="0" w:line="198" w:lineRule="exact"/>
              <w:rPr>
                <w:sz w:val="20"/>
                <w:szCs w:val="20"/>
                <w:color w:val="auto"/>
              </w:rPr>
            </w:pPr>
            <w:r>
              <w:rPr>
                <w:rFonts w:ascii="Times New Roman" w:cs="Times New Roman" w:eastAsia="Times New Roman" w:hAnsi="Times New Roman"/>
                <w:sz w:val="18"/>
                <w:szCs w:val="18"/>
                <w:color w:val="auto"/>
                <w:w w:val="99"/>
              </w:rPr>
              <w:t>Accumulated</w:t>
            </w: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Class A</w:t>
            </w:r>
          </w:p>
        </w:tc>
        <w:tc>
          <w:tcPr>
            <w:tcW w:w="120" w:type="dxa"/>
            <w:vAlign w:val="bottom"/>
          </w:tcPr>
          <w:p>
            <w:pPr>
              <w:spacing w:after="0"/>
              <w:rPr>
                <w:sz w:val="18"/>
                <w:szCs w:val="18"/>
                <w:color w:val="auto"/>
              </w:rPr>
            </w:pP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Class C</w:t>
            </w:r>
          </w:p>
        </w:tc>
        <w:tc>
          <w:tcPr>
            <w:tcW w:w="80" w:type="dxa"/>
            <w:vAlign w:val="bottom"/>
          </w:tcPr>
          <w:p>
            <w:pPr>
              <w:spacing w:after="0"/>
              <w:rPr>
                <w:sz w:val="18"/>
                <w:szCs w:val="18"/>
                <w:color w:val="auto"/>
              </w:rPr>
            </w:pPr>
          </w:p>
        </w:tc>
        <w:tc>
          <w:tcPr>
            <w:tcW w:w="10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8"/>
              </w:rPr>
              <w:t>Additional</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center"/>
              <w:ind w:right="261"/>
              <w:spacing w:after="0"/>
              <w:rPr>
                <w:sz w:val="20"/>
                <w:szCs w:val="20"/>
                <w:color w:val="auto"/>
              </w:rPr>
            </w:pPr>
            <w:r>
              <w:rPr>
                <w:rFonts w:ascii="Times New Roman" w:cs="Times New Roman" w:eastAsia="Times New Roman" w:hAnsi="Times New Roman"/>
                <w:sz w:val="18"/>
                <w:szCs w:val="18"/>
                <w:color w:val="auto"/>
              </w:rPr>
              <w:t>Other</w:t>
            </w: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Common</w:t>
            </w:r>
          </w:p>
        </w:tc>
        <w:tc>
          <w:tcPr>
            <w:tcW w:w="120" w:type="dxa"/>
            <w:vAlign w:val="bottom"/>
          </w:tcPr>
          <w:p>
            <w:pPr>
              <w:spacing w:after="0"/>
              <w:rPr>
                <w:sz w:val="18"/>
                <w:szCs w:val="18"/>
                <w:color w:val="auto"/>
              </w:rPr>
            </w:pP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Common</w:t>
            </w:r>
          </w:p>
        </w:tc>
        <w:tc>
          <w:tcPr>
            <w:tcW w:w="80" w:type="dxa"/>
            <w:vAlign w:val="bottom"/>
          </w:tcPr>
          <w:p>
            <w:pPr>
              <w:spacing w:after="0"/>
              <w:rPr>
                <w:sz w:val="18"/>
                <w:szCs w:val="18"/>
                <w:color w:val="auto"/>
              </w:rPr>
            </w:pPr>
          </w:p>
        </w:tc>
        <w:tc>
          <w:tcPr>
            <w:tcW w:w="10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Paid-in</w:t>
            </w:r>
          </w:p>
        </w:tc>
        <w:tc>
          <w:tcPr>
            <w:tcW w:w="80" w:type="dxa"/>
            <w:vAlign w:val="bottom"/>
          </w:tcPr>
          <w:p>
            <w:pPr>
              <w:spacing w:after="0"/>
              <w:rPr>
                <w:sz w:val="18"/>
                <w:szCs w:val="18"/>
                <w:color w:val="auto"/>
              </w:rPr>
            </w:pPr>
          </w:p>
        </w:tc>
        <w:tc>
          <w:tcPr>
            <w:tcW w:w="1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Comprehensive</w:t>
            </w:r>
          </w:p>
        </w:tc>
        <w:tc>
          <w:tcPr>
            <w:tcW w:w="80" w:type="dxa"/>
            <w:vAlign w:val="bottom"/>
          </w:tcPr>
          <w:p>
            <w:pPr>
              <w:spacing w:after="0"/>
              <w:rPr>
                <w:sz w:val="18"/>
                <w:szCs w:val="18"/>
                <w:color w:val="auto"/>
              </w:rPr>
            </w:pPr>
          </w:p>
        </w:tc>
        <w:tc>
          <w:tcPr>
            <w:tcW w:w="12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Retained</w:t>
            </w:r>
          </w:p>
        </w:tc>
        <w:tc>
          <w:tcPr>
            <w:tcW w:w="1140" w:type="dxa"/>
            <w:vAlign w:val="bottom"/>
            <w:gridSpan w:val="2"/>
          </w:tcPr>
          <w:p>
            <w:pPr>
              <w:jc w:val="center"/>
              <w:ind w:right="170"/>
              <w:spacing w:after="0"/>
              <w:rPr>
                <w:sz w:val="20"/>
                <w:szCs w:val="20"/>
                <w:color w:val="auto"/>
              </w:rPr>
            </w:pPr>
            <w:r>
              <w:rPr>
                <w:rFonts w:ascii="Times New Roman" w:cs="Times New Roman" w:eastAsia="Times New Roman" w:hAnsi="Times New Roman"/>
                <w:sz w:val="18"/>
                <w:szCs w:val="18"/>
                <w:color w:val="auto"/>
                <w:w w:val="99"/>
              </w:rPr>
              <w:t>Treasury</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2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Stock</w:t>
            </w:r>
          </w:p>
        </w:tc>
        <w:tc>
          <w:tcPr>
            <w:tcW w:w="120" w:type="dxa"/>
            <w:vAlign w:val="bottom"/>
          </w:tcPr>
          <w:p>
            <w:pPr>
              <w:spacing w:after="0"/>
              <w:rPr>
                <w:sz w:val="20"/>
                <w:szCs w:val="20"/>
                <w:color w:val="auto"/>
              </w:rPr>
            </w:pP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7"/>
              </w:rPr>
              <w:t>Stock</w:t>
            </w:r>
          </w:p>
        </w:tc>
        <w:tc>
          <w:tcPr>
            <w:tcW w:w="80" w:type="dxa"/>
            <w:vAlign w:val="bottom"/>
          </w:tcPr>
          <w:p>
            <w:pPr>
              <w:spacing w:after="0"/>
              <w:rPr>
                <w:sz w:val="20"/>
                <w:szCs w:val="20"/>
                <w:color w:val="auto"/>
              </w:rPr>
            </w:pPr>
          </w:p>
        </w:tc>
        <w:tc>
          <w:tcPr>
            <w:tcW w:w="10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Capital</w:t>
            </w:r>
          </w:p>
        </w:tc>
        <w:tc>
          <w:tcPr>
            <w:tcW w:w="80" w:type="dxa"/>
            <w:vAlign w:val="bottom"/>
          </w:tcPr>
          <w:p>
            <w:pPr>
              <w:spacing w:after="0"/>
              <w:rPr>
                <w:sz w:val="20"/>
                <w:szCs w:val="20"/>
                <w:color w:val="auto"/>
              </w:rPr>
            </w:pPr>
          </w:p>
        </w:tc>
        <w:tc>
          <w:tcPr>
            <w:tcW w:w="1300" w:type="dxa"/>
            <w:vAlign w:val="bottom"/>
            <w:gridSpan w:val="3"/>
          </w:tcPr>
          <w:p>
            <w:pPr>
              <w:jc w:val="center"/>
              <w:ind w:right="61"/>
              <w:spacing w:after="0"/>
              <w:rPr>
                <w:sz w:val="20"/>
                <w:szCs w:val="20"/>
                <w:color w:val="auto"/>
              </w:rPr>
            </w:pPr>
            <w:r>
              <w:rPr>
                <w:rFonts w:ascii="Times New Roman" w:cs="Times New Roman" w:eastAsia="Times New Roman" w:hAnsi="Times New Roman"/>
                <w:sz w:val="18"/>
                <w:szCs w:val="18"/>
                <w:color w:val="auto"/>
                <w:w w:val="99"/>
              </w:rPr>
              <w:t>Income (Loss)</w:t>
            </w:r>
          </w:p>
        </w:tc>
        <w:tc>
          <w:tcPr>
            <w:tcW w:w="80" w:type="dxa"/>
            <w:vAlign w:val="bottom"/>
          </w:tcPr>
          <w:p>
            <w:pPr>
              <w:spacing w:after="0"/>
              <w:rPr>
                <w:sz w:val="20"/>
                <w:szCs w:val="20"/>
                <w:color w:val="auto"/>
              </w:rPr>
            </w:pPr>
          </w:p>
        </w:tc>
        <w:tc>
          <w:tcPr>
            <w:tcW w:w="12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Earnings</w:t>
            </w:r>
          </w:p>
        </w:tc>
        <w:tc>
          <w:tcPr>
            <w:tcW w:w="1140" w:type="dxa"/>
            <w:vAlign w:val="bottom"/>
            <w:gridSpan w:val="2"/>
          </w:tcPr>
          <w:p>
            <w:pPr>
              <w:jc w:val="center"/>
              <w:ind w:right="170"/>
              <w:spacing w:after="0"/>
              <w:rPr>
                <w:sz w:val="20"/>
                <w:szCs w:val="20"/>
                <w:color w:val="auto"/>
              </w:rPr>
            </w:pPr>
            <w:r>
              <w:rPr>
                <w:rFonts w:ascii="Times New Roman" w:cs="Times New Roman" w:eastAsia="Times New Roman" w:hAnsi="Times New Roman"/>
                <w:sz w:val="18"/>
                <w:szCs w:val="18"/>
                <w:color w:val="auto"/>
                <w:w w:val="97"/>
              </w:rPr>
              <w:t>Stock</w:t>
            </w:r>
          </w:p>
        </w:tc>
        <w:tc>
          <w:tcPr>
            <w:tcW w:w="11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Total</w:t>
            </w:r>
          </w:p>
        </w:tc>
      </w:tr>
      <w:tr>
        <w:trPr>
          <w:trHeight w:val="216"/>
        </w:trPr>
        <w:tc>
          <w:tcPr>
            <w:tcW w:w="2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January 1, 2024</w:t>
            </w:r>
          </w:p>
        </w:tc>
        <w:tc>
          <w:tcPr>
            <w:tcW w:w="12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$40,096,004</w:t>
            </w:r>
          </w:p>
        </w:tc>
        <w:tc>
          <w:tcPr>
            <w:tcW w:w="1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$ 5,943,708</w:t>
            </w:r>
          </w:p>
        </w:tc>
        <w:tc>
          <w:tcPr>
            <w:tcW w:w="11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$72,424,429</w:t>
            </w:r>
          </w:p>
        </w:tc>
        <w:tc>
          <w:tcPr>
            <w:tcW w:w="2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(6,885,558)</w:t>
            </w:r>
          </w:p>
        </w:tc>
        <w:tc>
          <w:tcPr>
            <w:tcW w:w="13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$ 206,978,373</w:t>
            </w:r>
          </w:p>
        </w:tc>
        <w:tc>
          <w:tcPr>
            <w:tcW w:w="11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96"/>
              </w:rPr>
              <w:t>$ (5,661,737)</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4"/>
              </w:rPr>
              <w:t>$ 312,895,219</w:t>
            </w:r>
          </w:p>
        </w:tc>
      </w:tr>
      <w:tr>
        <w:trPr>
          <w:trHeight w:val="216"/>
        </w:trPr>
        <w:tc>
          <w:tcPr>
            <w:tcW w:w="2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12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7,474,522</w:t>
            </w:r>
          </w:p>
        </w:tc>
        <w:tc>
          <w:tcPr>
            <w:tcW w:w="11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7,474,522</w:t>
            </w:r>
          </w:p>
        </w:tc>
      </w:tr>
      <w:tr>
        <w:trPr>
          <w:trHeight w:val="21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12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(895,098)</w:t>
            </w:r>
          </w:p>
        </w:tc>
        <w:tc>
          <w:tcPr>
            <w:tcW w:w="13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(895,098)</w:t>
            </w:r>
          </w:p>
        </w:tc>
      </w:tr>
      <w:tr>
        <w:trPr>
          <w:trHeight w:val="216"/>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2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199,887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199,887</w:t>
            </w:r>
          </w:p>
        </w:tc>
      </w:tr>
      <w:tr>
        <w:trPr>
          <w:trHeight w:val="21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Vesting of restricted stock units</w:t>
            </w:r>
          </w:p>
        </w:tc>
        <w:tc>
          <w:tcPr>
            <w:tcW w:w="12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810</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(810)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 of treasury stock</w:t>
            </w:r>
          </w:p>
        </w:tc>
        <w:tc>
          <w:tcPr>
            <w:tcW w:w="12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103,788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366,733</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470,521</w:t>
            </w:r>
          </w:p>
        </w:tc>
      </w:tr>
      <w:tr>
        <w:trPr>
          <w:trHeight w:val="21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12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(41,077)</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(41,077)</w:t>
            </w:r>
          </w:p>
        </w:tc>
      </w:tr>
      <w:tr>
        <w:trPr>
          <w:trHeight w:val="249"/>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Conversion Class C to Class A</w:t>
            </w:r>
          </w:p>
        </w:tc>
        <w:tc>
          <w:tcPr>
            <w:tcW w:w="12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348</w:t>
            </w:r>
          </w:p>
        </w:tc>
        <w:tc>
          <w:tcPr>
            <w:tcW w:w="11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(348)</w:t>
            </w:r>
          </w:p>
        </w:tc>
        <w:tc>
          <w:tcPr>
            <w:tcW w:w="11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2760" w:type="dxa"/>
            <w:vAlign w:val="bottom"/>
            <w:tcBorders>
              <w:top w:val="single" w:sz="8" w:color="CCEEFF"/>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200" w:type="dxa"/>
            <w:vAlign w:val="bottom"/>
            <w:tcBorders>
              <w:top w:val="single" w:sz="8" w:color="CCEEFF"/>
              <w:bottom w:val="single" w:sz="8" w:color="CCEEFF"/>
            </w:tcBorders>
          </w:tcPr>
          <w:p>
            <w:pPr>
              <w:spacing w:after="0"/>
              <w:rPr>
                <w:sz w:val="22"/>
                <w:szCs w:val="22"/>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40,097,162</w:t>
            </w:r>
          </w:p>
        </w:tc>
        <w:tc>
          <w:tcPr>
            <w:tcW w:w="120" w:type="dxa"/>
            <w:vAlign w:val="bottom"/>
            <w:tcBorders>
              <w:top w:val="single" w:sz="8" w:color="CCEEFF"/>
              <w:bottom w:val="single" w:sz="8" w:color="CCEEFF"/>
            </w:tcBorders>
          </w:tcPr>
          <w:p>
            <w:pPr>
              <w:spacing w:after="0"/>
              <w:rPr>
                <w:sz w:val="22"/>
                <w:szCs w:val="22"/>
                <w:color w:val="auto"/>
              </w:rPr>
            </w:pPr>
          </w:p>
        </w:tc>
        <w:tc>
          <w:tcPr>
            <w:tcW w:w="120" w:type="dxa"/>
            <w:vAlign w:val="bottom"/>
            <w:tcBorders>
              <w:top w:val="single" w:sz="8" w:color="CCEEFF"/>
              <w:bottom w:val="single" w:sz="8" w:color="CCEEFF"/>
            </w:tcBorders>
          </w:tcPr>
          <w:p>
            <w:pPr>
              <w:spacing w:after="0"/>
              <w:rPr>
                <w:sz w:val="22"/>
                <w:szCs w:val="22"/>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$ 5,943,360</w:t>
            </w:r>
          </w:p>
        </w:tc>
        <w:tc>
          <w:tcPr>
            <w:tcW w:w="160" w:type="dxa"/>
            <w:vAlign w:val="bottom"/>
            <w:tcBorders>
              <w:top w:val="single" w:sz="8" w:color="CCEEFF"/>
              <w:bottom w:val="single" w:sz="8" w:color="CCEEFF"/>
            </w:tcBorders>
          </w:tcPr>
          <w:p>
            <w:pPr>
              <w:spacing w:after="0"/>
              <w:rPr>
                <w:sz w:val="22"/>
                <w:szCs w:val="22"/>
                <w:color w:val="auto"/>
              </w:rPr>
            </w:pPr>
          </w:p>
        </w:tc>
        <w:tc>
          <w:tcPr>
            <w:tcW w:w="80" w:type="dxa"/>
            <w:vAlign w:val="bottom"/>
            <w:tcBorders>
              <w:top w:val="single" w:sz="8" w:color="CCEEFF"/>
              <w:bottom w:val="single" w:sz="8" w:color="CCEEFF"/>
            </w:tcBorders>
          </w:tcPr>
          <w:p>
            <w:pPr>
              <w:spacing w:after="0"/>
              <w:rPr>
                <w:sz w:val="22"/>
                <w:szCs w:val="22"/>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72,727,294</w:t>
            </w:r>
          </w:p>
        </w:tc>
        <w:tc>
          <w:tcPr>
            <w:tcW w:w="160" w:type="dxa"/>
            <w:vAlign w:val="bottom"/>
            <w:tcBorders>
              <w:top w:val="single" w:sz="8" w:color="CCEEFF"/>
              <w:bottom w:val="single" w:sz="8" w:color="CCEEFF"/>
            </w:tcBorders>
          </w:tcPr>
          <w:p>
            <w:pPr>
              <w:spacing w:after="0"/>
              <w:rPr>
                <w:sz w:val="22"/>
                <w:szCs w:val="22"/>
                <w:color w:val="auto"/>
              </w:rPr>
            </w:pPr>
          </w:p>
        </w:tc>
        <w:tc>
          <w:tcPr>
            <w:tcW w:w="80" w:type="dxa"/>
            <w:vAlign w:val="bottom"/>
            <w:tcBorders>
              <w:top w:val="single" w:sz="8" w:color="CCEEFF"/>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(7,780,656</w:t>
            </w:r>
          </w:p>
        </w:tc>
        <w:tc>
          <w:tcPr>
            <w:tcW w:w="160" w:type="dxa"/>
            <w:vAlign w:val="bottom"/>
            <w:tcBorders>
              <w:top w:val="single" w:sz="8" w:color="CCEEFF"/>
              <w:bottom w:val="single" w:sz="8" w:color="CCEEFF"/>
            </w:tcBorders>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bottom w:val="single" w:sz="8" w:color="CCEEFF"/>
            </w:tcBorders>
          </w:tcPr>
          <w:p>
            <w:pPr>
              <w:spacing w:after="0"/>
              <w:rPr>
                <w:sz w:val="22"/>
                <w:szCs w:val="22"/>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 xml:space="preserve"> 214,452,895</w:t>
            </w:r>
          </w:p>
        </w:tc>
        <w:tc>
          <w:tcPr>
            <w:tcW w:w="240" w:type="dxa"/>
            <w:vAlign w:val="bottom"/>
            <w:tcBorders>
              <w:top w:val="single" w:sz="8" w:color="CCEEFF"/>
              <w:bottom w:val="single" w:sz="8" w:color="CCEEFF"/>
            </w:tcBorders>
          </w:tcPr>
          <w:p>
            <w:pPr>
              <w:spacing w:after="0"/>
              <w:rPr>
                <w:sz w:val="22"/>
                <w:szCs w:val="22"/>
                <w:color w:val="auto"/>
              </w:rPr>
            </w:pPr>
          </w:p>
        </w:tc>
        <w:tc>
          <w:tcPr>
            <w:tcW w:w="8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 xml:space="preserve"> (5,336,081</w:t>
            </w:r>
          </w:p>
        </w:tc>
        <w:tc>
          <w:tcPr>
            <w:tcW w:w="260" w:type="dxa"/>
            <w:vAlign w:val="bottom"/>
            <w:tcBorders>
              <w:top w:val="single" w:sz="8" w:color="CCEEFF"/>
              <w:bottom w:val="single" w:sz="8" w:color="CCEEFF"/>
            </w:tcBorders>
          </w:tcPr>
          <w:p>
            <w:pPr>
              <w:jc w:val="right"/>
              <w:ind w:right="90"/>
              <w:spacing w:after="0"/>
              <w:rPr>
                <w:sz w:val="20"/>
                <w:szCs w:val="20"/>
                <w:color w:val="auto"/>
              </w:rPr>
            </w:pPr>
            <w:r>
              <w:rPr>
                <w:rFonts w:ascii="Times New Roman" w:cs="Times New Roman" w:eastAsia="Times New Roman" w:hAnsi="Times New Roman"/>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 xml:space="preserve"> 320,103,974</w:t>
            </w:r>
          </w:p>
        </w:tc>
        <w:tc>
          <w:tcPr>
            <w:tcW w:w="100" w:type="dxa"/>
            <w:vAlign w:val="bottom"/>
            <w:tcBorders>
              <w:top w:val="single" w:sz="8" w:color="CCEEFF"/>
              <w:bottom w:val="single" w:sz="8" w:color="CCEEFF"/>
            </w:tcBorders>
          </w:tcPr>
          <w:p>
            <w:pPr>
              <w:spacing w:after="0"/>
              <w:rPr>
                <w:sz w:val="22"/>
                <w:szCs w:val="22"/>
                <w:color w:val="auto"/>
              </w:rPr>
            </w:pPr>
          </w:p>
        </w:tc>
      </w:tr>
      <w:tr>
        <w:trPr>
          <w:trHeight w:val="197"/>
        </w:trPr>
        <w:tc>
          <w:tcPr>
            <w:tcW w:w="2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12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7,271,549</w:t>
            </w:r>
          </w:p>
        </w:tc>
        <w:tc>
          <w:tcPr>
            <w:tcW w:w="11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7,271,549</w:t>
            </w:r>
          </w:p>
        </w:tc>
      </w:tr>
      <w:tr>
        <w:trPr>
          <w:trHeight w:val="216"/>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12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(517,129)</w:t>
            </w:r>
          </w:p>
        </w:tc>
        <w:tc>
          <w:tcPr>
            <w:tcW w:w="13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(517,129)</w:t>
            </w:r>
          </w:p>
        </w:tc>
      </w:tr>
      <w:tr>
        <w:trPr>
          <w:trHeight w:val="21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2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184,066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184,066</w:t>
            </w:r>
          </w:p>
        </w:tc>
      </w:tr>
      <w:tr>
        <w:trPr>
          <w:trHeight w:val="216"/>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2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64,164</w:t>
            </w:r>
          </w:p>
        </w:tc>
        <w:tc>
          <w:tcPr>
            <w:tcW w:w="1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(17,982)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46,182</w:t>
            </w:r>
          </w:p>
        </w:tc>
      </w:tr>
      <w:tr>
        <w:trPr>
          <w:trHeight w:val="21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Vesting of restricted stock units</w:t>
            </w:r>
          </w:p>
        </w:tc>
        <w:tc>
          <w:tcPr>
            <w:tcW w:w="12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920</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(920)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 of treasury stock</w:t>
            </w:r>
          </w:p>
        </w:tc>
        <w:tc>
          <w:tcPr>
            <w:tcW w:w="12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13,201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252,208</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265,409</w:t>
            </w:r>
          </w:p>
        </w:tc>
      </w:tr>
      <w:tr>
        <w:trPr>
          <w:trHeight w:val="21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12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(1,588,058)</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(1,588,058)</w:t>
            </w:r>
          </w:p>
        </w:tc>
      </w:tr>
      <w:tr>
        <w:trPr>
          <w:trHeight w:val="216"/>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Conversion Class C to Class A</w:t>
            </w:r>
          </w:p>
        </w:tc>
        <w:tc>
          <w:tcPr>
            <w:tcW w:w="12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184</w:t>
            </w:r>
          </w:p>
        </w:tc>
        <w:tc>
          <w:tcPr>
            <w:tcW w:w="11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(184)</w:t>
            </w:r>
          </w:p>
        </w:tc>
        <w:tc>
          <w:tcPr>
            <w:tcW w:w="11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Stock dividends</w:t>
            </w:r>
          </w:p>
        </w:tc>
        <w:tc>
          <w:tcPr>
            <w:tcW w:w="12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2,009,442</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297,156</w:t>
            </w: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5,847,226</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(8,153,824)</w:t>
            </w:r>
          </w:p>
        </w:tc>
        <w:tc>
          <w:tcPr>
            <w:tcW w:w="11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7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42,171,872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$ 6,240,332</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78,752,885</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(8,297,785</w:t>
            </w:r>
          </w:p>
        </w:tc>
        <w:tc>
          <w:tcPr>
            <w:tcW w:w="160" w:type="dxa"/>
            <w:vAlign w:val="bottom"/>
            <w:tcBorders>
              <w:top w:val="single" w:sz="8" w:color="CCEEFF"/>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 xml:space="preserve"> 213,570,620</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 xml:space="preserve"> (6,671,931</w:t>
            </w:r>
          </w:p>
        </w:tc>
        <w:tc>
          <w:tcPr>
            <w:tcW w:w="260" w:type="dxa"/>
            <w:vAlign w:val="bottom"/>
            <w:tcBorders>
              <w:top w:val="single" w:sz="8" w:color="CCEEFF"/>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 xml:space="preserve"> 325,765,993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3"/>
        </w:trPr>
        <w:tc>
          <w:tcPr>
            <w:tcW w:w="2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gridSpan w:val="9"/>
          </w:tcPr>
          <w:p>
            <w:pPr>
              <w:jc w:val="right"/>
              <w:ind w:right="760"/>
              <w:spacing w:after="0"/>
              <w:rPr>
                <w:sz w:val="20"/>
                <w:szCs w:val="20"/>
                <w:color w:val="auto"/>
              </w:rPr>
            </w:pPr>
            <w:r>
              <w:rPr>
                <w:rFonts w:ascii="Times New Roman" w:cs="Times New Roman" w:eastAsia="Times New Roman" w:hAnsi="Times New Roman"/>
                <w:sz w:val="18"/>
                <w:szCs w:val="18"/>
                <w:color w:val="auto"/>
              </w:rPr>
              <w:t>Six Months Ended June 30, 2023</w:t>
            </w:r>
          </w:p>
        </w:tc>
        <w:tc>
          <w:tcPr>
            <w:tcW w:w="8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8"/>
        </w:trPr>
        <w:tc>
          <w:tcPr>
            <w:tcW w:w="2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gridSpan w:val="3"/>
          </w:tcPr>
          <w:p>
            <w:pPr>
              <w:jc w:val="center"/>
              <w:ind w:right="61"/>
              <w:spacing w:after="0" w:line="198" w:lineRule="exact"/>
              <w:rPr>
                <w:sz w:val="20"/>
                <w:szCs w:val="20"/>
                <w:color w:val="auto"/>
              </w:rPr>
            </w:pPr>
            <w:r>
              <w:rPr>
                <w:rFonts w:ascii="Times New Roman" w:cs="Times New Roman" w:eastAsia="Times New Roman" w:hAnsi="Times New Roman"/>
                <w:sz w:val="18"/>
                <w:szCs w:val="18"/>
                <w:color w:val="auto"/>
                <w:w w:val="99"/>
              </w:rPr>
              <w:t>Accumulated</w:t>
            </w: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Class A</w:t>
            </w:r>
          </w:p>
        </w:tc>
        <w:tc>
          <w:tcPr>
            <w:tcW w:w="120" w:type="dxa"/>
            <w:vAlign w:val="bottom"/>
          </w:tcPr>
          <w:p>
            <w:pPr>
              <w:spacing w:after="0"/>
              <w:rPr>
                <w:sz w:val="18"/>
                <w:szCs w:val="18"/>
                <w:color w:val="auto"/>
              </w:rPr>
            </w:pP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Class C</w:t>
            </w:r>
          </w:p>
        </w:tc>
        <w:tc>
          <w:tcPr>
            <w:tcW w:w="80" w:type="dxa"/>
            <w:vAlign w:val="bottom"/>
          </w:tcPr>
          <w:p>
            <w:pPr>
              <w:spacing w:after="0"/>
              <w:rPr>
                <w:sz w:val="18"/>
                <w:szCs w:val="18"/>
                <w:color w:val="auto"/>
              </w:rPr>
            </w:pPr>
          </w:p>
        </w:tc>
        <w:tc>
          <w:tcPr>
            <w:tcW w:w="10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8"/>
              </w:rPr>
              <w:t>Additional</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center"/>
              <w:ind w:right="261"/>
              <w:spacing w:after="0"/>
              <w:rPr>
                <w:sz w:val="20"/>
                <w:szCs w:val="20"/>
                <w:color w:val="auto"/>
              </w:rPr>
            </w:pPr>
            <w:r>
              <w:rPr>
                <w:rFonts w:ascii="Times New Roman" w:cs="Times New Roman" w:eastAsia="Times New Roman" w:hAnsi="Times New Roman"/>
                <w:sz w:val="18"/>
                <w:szCs w:val="18"/>
                <w:color w:val="auto"/>
              </w:rPr>
              <w:t>Other</w:t>
            </w: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Common</w:t>
            </w:r>
          </w:p>
        </w:tc>
        <w:tc>
          <w:tcPr>
            <w:tcW w:w="120" w:type="dxa"/>
            <w:vAlign w:val="bottom"/>
          </w:tcPr>
          <w:p>
            <w:pPr>
              <w:spacing w:after="0"/>
              <w:rPr>
                <w:sz w:val="18"/>
                <w:szCs w:val="18"/>
                <w:color w:val="auto"/>
              </w:rPr>
            </w:pP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Common</w:t>
            </w:r>
          </w:p>
        </w:tc>
        <w:tc>
          <w:tcPr>
            <w:tcW w:w="80" w:type="dxa"/>
            <w:vAlign w:val="bottom"/>
          </w:tcPr>
          <w:p>
            <w:pPr>
              <w:spacing w:after="0"/>
              <w:rPr>
                <w:sz w:val="18"/>
                <w:szCs w:val="18"/>
                <w:color w:val="auto"/>
              </w:rPr>
            </w:pPr>
          </w:p>
        </w:tc>
        <w:tc>
          <w:tcPr>
            <w:tcW w:w="10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Paid-in</w:t>
            </w:r>
          </w:p>
        </w:tc>
        <w:tc>
          <w:tcPr>
            <w:tcW w:w="80" w:type="dxa"/>
            <w:vAlign w:val="bottom"/>
          </w:tcPr>
          <w:p>
            <w:pPr>
              <w:spacing w:after="0"/>
              <w:rPr>
                <w:sz w:val="18"/>
                <w:szCs w:val="18"/>
                <w:color w:val="auto"/>
              </w:rPr>
            </w:pPr>
          </w:p>
        </w:tc>
        <w:tc>
          <w:tcPr>
            <w:tcW w:w="1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Comprehensive</w:t>
            </w:r>
          </w:p>
        </w:tc>
        <w:tc>
          <w:tcPr>
            <w:tcW w:w="80" w:type="dxa"/>
            <w:vAlign w:val="bottom"/>
          </w:tcPr>
          <w:p>
            <w:pPr>
              <w:spacing w:after="0"/>
              <w:rPr>
                <w:sz w:val="18"/>
                <w:szCs w:val="18"/>
                <w:color w:val="auto"/>
              </w:rPr>
            </w:pPr>
          </w:p>
        </w:tc>
        <w:tc>
          <w:tcPr>
            <w:tcW w:w="12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Retained</w:t>
            </w:r>
          </w:p>
        </w:tc>
        <w:tc>
          <w:tcPr>
            <w:tcW w:w="1140" w:type="dxa"/>
            <w:vAlign w:val="bottom"/>
            <w:gridSpan w:val="2"/>
          </w:tcPr>
          <w:p>
            <w:pPr>
              <w:jc w:val="center"/>
              <w:ind w:right="170"/>
              <w:spacing w:after="0"/>
              <w:rPr>
                <w:sz w:val="20"/>
                <w:szCs w:val="20"/>
                <w:color w:val="auto"/>
              </w:rPr>
            </w:pPr>
            <w:r>
              <w:rPr>
                <w:rFonts w:ascii="Times New Roman" w:cs="Times New Roman" w:eastAsia="Times New Roman" w:hAnsi="Times New Roman"/>
                <w:sz w:val="18"/>
                <w:szCs w:val="18"/>
                <w:color w:val="auto"/>
                <w:w w:val="99"/>
              </w:rPr>
              <w:t>Treasury</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2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Stock</w:t>
            </w:r>
          </w:p>
        </w:tc>
        <w:tc>
          <w:tcPr>
            <w:tcW w:w="120" w:type="dxa"/>
            <w:vAlign w:val="bottom"/>
          </w:tcPr>
          <w:p>
            <w:pPr>
              <w:spacing w:after="0"/>
              <w:rPr>
                <w:sz w:val="20"/>
                <w:szCs w:val="20"/>
                <w:color w:val="auto"/>
              </w:rPr>
            </w:pP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7"/>
              </w:rPr>
              <w:t>Stock</w:t>
            </w:r>
          </w:p>
        </w:tc>
        <w:tc>
          <w:tcPr>
            <w:tcW w:w="80" w:type="dxa"/>
            <w:vAlign w:val="bottom"/>
          </w:tcPr>
          <w:p>
            <w:pPr>
              <w:spacing w:after="0"/>
              <w:rPr>
                <w:sz w:val="20"/>
                <w:szCs w:val="20"/>
                <w:color w:val="auto"/>
              </w:rPr>
            </w:pPr>
          </w:p>
        </w:tc>
        <w:tc>
          <w:tcPr>
            <w:tcW w:w="10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Capital</w:t>
            </w:r>
          </w:p>
        </w:tc>
        <w:tc>
          <w:tcPr>
            <w:tcW w:w="80" w:type="dxa"/>
            <w:vAlign w:val="bottom"/>
          </w:tcPr>
          <w:p>
            <w:pPr>
              <w:spacing w:after="0"/>
              <w:rPr>
                <w:sz w:val="20"/>
                <w:szCs w:val="20"/>
                <w:color w:val="auto"/>
              </w:rPr>
            </w:pPr>
          </w:p>
        </w:tc>
        <w:tc>
          <w:tcPr>
            <w:tcW w:w="1300" w:type="dxa"/>
            <w:vAlign w:val="bottom"/>
            <w:gridSpan w:val="3"/>
          </w:tcPr>
          <w:p>
            <w:pPr>
              <w:jc w:val="center"/>
              <w:ind w:right="61"/>
              <w:spacing w:after="0"/>
              <w:rPr>
                <w:sz w:val="20"/>
                <w:szCs w:val="20"/>
                <w:color w:val="auto"/>
              </w:rPr>
            </w:pPr>
            <w:r>
              <w:rPr>
                <w:rFonts w:ascii="Times New Roman" w:cs="Times New Roman" w:eastAsia="Times New Roman" w:hAnsi="Times New Roman"/>
                <w:sz w:val="18"/>
                <w:szCs w:val="18"/>
                <w:color w:val="auto"/>
                <w:w w:val="99"/>
              </w:rPr>
              <w:t>Income (Loss)</w:t>
            </w:r>
          </w:p>
        </w:tc>
        <w:tc>
          <w:tcPr>
            <w:tcW w:w="80" w:type="dxa"/>
            <w:vAlign w:val="bottom"/>
          </w:tcPr>
          <w:p>
            <w:pPr>
              <w:spacing w:after="0"/>
              <w:rPr>
                <w:sz w:val="20"/>
                <w:szCs w:val="20"/>
                <w:color w:val="auto"/>
              </w:rPr>
            </w:pPr>
          </w:p>
        </w:tc>
        <w:tc>
          <w:tcPr>
            <w:tcW w:w="12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Earnings</w:t>
            </w:r>
          </w:p>
        </w:tc>
        <w:tc>
          <w:tcPr>
            <w:tcW w:w="1140" w:type="dxa"/>
            <w:vAlign w:val="bottom"/>
            <w:gridSpan w:val="2"/>
          </w:tcPr>
          <w:p>
            <w:pPr>
              <w:jc w:val="center"/>
              <w:ind w:right="170"/>
              <w:spacing w:after="0"/>
              <w:rPr>
                <w:sz w:val="20"/>
                <w:szCs w:val="20"/>
                <w:color w:val="auto"/>
              </w:rPr>
            </w:pPr>
            <w:r>
              <w:rPr>
                <w:rFonts w:ascii="Times New Roman" w:cs="Times New Roman" w:eastAsia="Times New Roman" w:hAnsi="Times New Roman"/>
                <w:sz w:val="18"/>
                <w:szCs w:val="18"/>
                <w:color w:val="auto"/>
                <w:w w:val="97"/>
              </w:rPr>
              <w:t>Stock</w:t>
            </w:r>
          </w:p>
        </w:tc>
        <w:tc>
          <w:tcPr>
            <w:tcW w:w="11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Total</w:t>
            </w:r>
          </w:p>
        </w:tc>
      </w:tr>
      <w:tr>
        <w:trPr>
          <w:trHeight w:val="216"/>
        </w:trPr>
        <w:tc>
          <w:tcPr>
            <w:tcW w:w="2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January 1, 2023</w:t>
            </w:r>
          </w:p>
        </w:tc>
        <w:tc>
          <w:tcPr>
            <w:tcW w:w="12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$37,516,062</w:t>
            </w:r>
          </w:p>
        </w:tc>
        <w:tc>
          <w:tcPr>
            <w:tcW w:w="1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$ 5,779,718</w:t>
            </w:r>
          </w:p>
        </w:tc>
        <w:tc>
          <w:tcPr>
            <w:tcW w:w="11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$64,767,769</w:t>
            </w:r>
          </w:p>
        </w:tc>
        <w:tc>
          <w:tcPr>
            <w:tcW w:w="2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(13,070,277)</w:t>
            </w:r>
          </w:p>
        </w:tc>
        <w:tc>
          <w:tcPr>
            <w:tcW w:w="13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$ 202,160,306</w:t>
            </w:r>
          </w:p>
        </w:tc>
        <w:tc>
          <w:tcPr>
            <w:tcW w:w="11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96"/>
              </w:rPr>
              <w:t>$ (4,366,651)</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4"/>
              </w:rPr>
              <w:t>$ 292,786,927</w:t>
            </w:r>
          </w:p>
        </w:tc>
      </w:tr>
      <w:tr>
        <w:trPr>
          <w:trHeight w:val="216"/>
        </w:trPr>
        <w:tc>
          <w:tcPr>
            <w:tcW w:w="2760" w:type="dxa"/>
            <w:vAlign w:val="bottom"/>
          </w:tcPr>
          <w:p>
            <w:pPr>
              <w:spacing w:after="0"/>
              <w:rPr>
                <w:sz w:val="18"/>
                <w:szCs w:val="18"/>
                <w:color w:val="auto"/>
              </w:rPr>
            </w:pPr>
          </w:p>
        </w:tc>
        <w:tc>
          <w:tcPr>
            <w:tcW w:w="1240" w:type="dxa"/>
            <w:vAlign w:val="bottom"/>
            <w:gridSpan w:val="3"/>
          </w:tcPr>
          <w:p>
            <w:pPr>
              <w:spacing w:after="0"/>
              <w:rPr>
                <w:sz w:val="18"/>
                <w:szCs w:val="18"/>
                <w:color w:val="auto"/>
              </w:rPr>
            </w:pPr>
          </w:p>
        </w:tc>
        <w:tc>
          <w:tcPr>
            <w:tcW w:w="1120" w:type="dxa"/>
            <w:vAlign w:val="bottom"/>
            <w:gridSpan w:val="3"/>
          </w:tcPr>
          <w:p>
            <w:pPr>
              <w:spacing w:after="0"/>
              <w:rPr>
                <w:sz w:val="18"/>
                <w:szCs w:val="18"/>
                <w:color w:val="auto"/>
              </w:rPr>
            </w:pPr>
          </w:p>
        </w:tc>
        <w:tc>
          <w:tcPr>
            <w:tcW w:w="1160" w:type="dxa"/>
            <w:vAlign w:val="bottom"/>
            <w:gridSpan w:val="3"/>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1340" w:type="dxa"/>
            <w:vAlign w:val="bottom"/>
            <w:gridSpan w:val="3"/>
          </w:tcPr>
          <w:p>
            <w:pPr>
              <w:spacing w:after="0"/>
              <w:rPr>
                <w:sz w:val="18"/>
                <w:szCs w:val="18"/>
                <w:color w:val="auto"/>
              </w:rPr>
            </w:pPr>
          </w:p>
        </w:tc>
        <w:tc>
          <w:tcPr>
            <w:tcW w:w="1140" w:type="dxa"/>
            <w:vAlign w:val="bottom"/>
            <w:gridSpan w:val="2"/>
          </w:tcPr>
          <w:p>
            <w:pPr>
              <w:spacing w:after="0"/>
              <w:rPr>
                <w:sz w:val="18"/>
                <w:szCs w:val="18"/>
                <w:color w:val="auto"/>
              </w:rPr>
            </w:pPr>
          </w:p>
        </w:tc>
        <w:tc>
          <w:tcPr>
            <w:tcW w:w="1100" w:type="dxa"/>
            <w:vAlign w:val="bottom"/>
            <w:gridSpan w:val="2"/>
          </w:tcPr>
          <w:p>
            <w:pPr>
              <w:spacing w:after="0"/>
              <w:rPr>
                <w:sz w:val="18"/>
                <w:szCs w:val="18"/>
                <w:color w:val="auto"/>
              </w:rPr>
            </w:pPr>
          </w:p>
        </w:tc>
      </w:tr>
      <w:tr>
        <w:trPr>
          <w:trHeight w:val="216"/>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Adoption of ASU 2016-13</w:t>
            </w:r>
          </w:p>
        </w:tc>
        <w:tc>
          <w:tcPr>
            <w:tcW w:w="12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(671,506)</w:t>
            </w:r>
          </w:p>
        </w:tc>
        <w:tc>
          <w:tcPr>
            <w:tcW w:w="11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(671,506)</w:t>
            </w:r>
          </w:p>
        </w:tc>
      </w:tr>
      <w:tr>
        <w:trPr>
          <w:trHeight w:val="21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12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1,240,172</w:t>
            </w:r>
          </w:p>
        </w:tc>
        <w:tc>
          <w:tcPr>
            <w:tcW w:w="11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1,240,172</w:t>
            </w:r>
          </w:p>
        </w:tc>
      </w:tr>
      <w:tr>
        <w:trPr>
          <w:trHeight w:val="216"/>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2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4,127,558</w:t>
            </w:r>
          </w:p>
        </w:tc>
        <w:tc>
          <w:tcPr>
            <w:tcW w:w="13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4,127,558</w:t>
            </w:r>
          </w:p>
        </w:tc>
      </w:tr>
      <w:tr>
        <w:trPr>
          <w:trHeight w:val="21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2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143,671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143,671</w:t>
            </w:r>
          </w:p>
        </w:tc>
      </w:tr>
      <w:tr>
        <w:trPr>
          <w:trHeight w:val="216"/>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2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96,092</w:t>
            </w:r>
          </w:p>
        </w:tc>
        <w:tc>
          <w:tcPr>
            <w:tcW w:w="1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(62,073)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34,019</w:t>
            </w:r>
          </w:p>
        </w:tc>
      </w:tr>
      <w:tr>
        <w:trPr>
          <w:trHeight w:val="21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Sale of treasury stock</w:t>
            </w:r>
          </w:p>
        </w:tc>
        <w:tc>
          <w:tcPr>
            <w:tcW w:w="12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(43,493)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620,651</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577,158</w:t>
            </w:r>
          </w:p>
        </w:tc>
      </w:tr>
      <w:tr>
        <w:trPr>
          <w:trHeight w:val="216"/>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12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(1,204,357)</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(1,204,357)</w:t>
            </w:r>
          </w:p>
        </w:tc>
      </w:tr>
      <w:tr>
        <w:trPr>
          <w:trHeight w:val="23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Conversion Class C to Class A</w:t>
            </w:r>
          </w:p>
        </w:tc>
        <w:tc>
          <w:tcPr>
            <w:tcW w:w="12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1,872</w:t>
            </w: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(1,872)</w:t>
            </w: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7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March 31, 2023</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37,614,026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$ 5,777,846</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64,805,874</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(8,942,719</w:t>
            </w:r>
          </w:p>
        </w:tc>
        <w:tc>
          <w:tcPr>
            <w:tcW w:w="160" w:type="dxa"/>
            <w:vAlign w:val="bottom"/>
            <w:tcBorders>
              <w:top w:val="single" w:sz="8" w:color="CCEEFF"/>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 xml:space="preserve"> 202,728,972</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 xml:space="preserve"> (4,950,357</w:t>
            </w:r>
          </w:p>
        </w:tc>
        <w:tc>
          <w:tcPr>
            <w:tcW w:w="260" w:type="dxa"/>
            <w:vAlign w:val="bottom"/>
            <w:tcBorders>
              <w:top w:val="single" w:sz="8" w:color="CCEEFF"/>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 xml:space="preserve"> 297,033,642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76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r>
      <w:tr>
        <w:trPr>
          <w:trHeight w:val="196"/>
        </w:trPr>
        <w:tc>
          <w:tcPr>
            <w:tcW w:w="2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12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6,352,706</w:t>
            </w:r>
          </w:p>
        </w:tc>
        <w:tc>
          <w:tcPr>
            <w:tcW w:w="11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6,352,706</w:t>
            </w:r>
          </w:p>
        </w:tc>
      </w:tr>
      <w:tr>
        <w:trPr>
          <w:trHeight w:val="21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12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(3,952,052)</w:t>
            </w:r>
          </w:p>
        </w:tc>
        <w:tc>
          <w:tcPr>
            <w:tcW w:w="13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(3,952,052)</w:t>
            </w:r>
          </w:p>
        </w:tc>
      </w:tr>
      <w:tr>
        <w:trPr>
          <w:trHeight w:val="216"/>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2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141,954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141,954</w:t>
            </w:r>
          </w:p>
        </w:tc>
      </w:tr>
      <w:tr>
        <w:trPr>
          <w:trHeight w:val="21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2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159,284</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(154,424)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4,860</w:t>
            </w:r>
          </w:p>
        </w:tc>
      </w:tr>
      <w:tr>
        <w:trPr>
          <w:trHeight w:val="216"/>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Vesting of restricted stock units</w:t>
            </w:r>
          </w:p>
        </w:tc>
        <w:tc>
          <w:tcPr>
            <w:tcW w:w="12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810</w:t>
            </w:r>
          </w:p>
        </w:tc>
        <w:tc>
          <w:tcPr>
            <w:tcW w:w="1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Sale of treasury stock</w:t>
            </w:r>
          </w:p>
        </w:tc>
        <w:tc>
          <w:tcPr>
            <w:tcW w:w="12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(54,350)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623,056</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568,706</w:t>
            </w:r>
          </w:p>
        </w:tc>
      </w:tr>
      <w:tr>
        <w:trPr>
          <w:trHeight w:val="216"/>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12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126,990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(1,514,049)</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(1,387,059)</w:t>
            </w:r>
          </w:p>
        </w:tc>
      </w:tr>
      <w:tr>
        <w:trPr>
          <w:trHeight w:val="21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Conversion Class C to Class A</w:t>
            </w:r>
          </w:p>
        </w:tc>
        <w:tc>
          <w:tcPr>
            <w:tcW w:w="12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113,930</w:t>
            </w: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(113,930)</w:t>
            </w: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49"/>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dividends</w:t>
            </w:r>
          </w:p>
        </w:tc>
        <w:tc>
          <w:tcPr>
            <w:tcW w:w="12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1,899,350</w:t>
            </w:r>
          </w:p>
        </w:tc>
        <w:tc>
          <w:tcPr>
            <w:tcW w:w="1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283,188</w:t>
            </w:r>
          </w:p>
        </w:tc>
        <w:tc>
          <w:tcPr>
            <w:tcW w:w="11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6,820,431</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(9,002,969)</w:t>
            </w:r>
          </w:p>
        </w:tc>
        <w:tc>
          <w:tcPr>
            <w:tcW w:w="11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7"/>
        </w:trPr>
        <w:tc>
          <w:tcPr>
            <w:tcW w:w="276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June 30, 2023</w:t>
            </w:r>
          </w:p>
        </w:tc>
        <w:tc>
          <w:tcPr>
            <w:tcW w:w="200" w:type="dxa"/>
            <w:vAlign w:val="bottom"/>
            <w:tcBorders>
              <w:top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39,787,400</w:t>
            </w: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$ 5,947,104</w:t>
            </w: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71,685,665</w:t>
            </w: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(12,894,771</w:t>
            </w:r>
          </w:p>
        </w:tc>
        <w:tc>
          <w:tcPr>
            <w:tcW w:w="160" w:type="dxa"/>
            <w:vAlign w:val="bottom"/>
            <w:tcBorders>
              <w:top w:val="single" w:sz="8" w:color="CCEEFF"/>
            </w:tcBorders>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 xml:space="preserve"> 200,078,709</w:t>
            </w:r>
          </w:p>
        </w:tc>
        <w:tc>
          <w:tcPr>
            <w:tcW w:w="240" w:type="dxa"/>
            <w:vAlign w:val="bottom"/>
            <w:tcBorders>
              <w:top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 xml:space="preserve"> (5,841,350</w:t>
            </w:r>
          </w:p>
        </w:tc>
        <w:tc>
          <w:tcPr>
            <w:tcW w:w="260" w:type="dxa"/>
            <w:vAlign w:val="bottom"/>
            <w:tcBorders>
              <w:top w:val="single" w:sz="8" w:color="CCEEFF"/>
            </w:tcBorders>
          </w:tcPr>
          <w:p>
            <w:pPr>
              <w:jc w:val="right"/>
              <w:ind w:right="90"/>
              <w:spacing w:after="0"/>
              <w:rPr>
                <w:sz w:val="20"/>
                <w:szCs w:val="20"/>
                <w:color w:val="auto"/>
              </w:rPr>
            </w:pPr>
            <w:r>
              <w:rPr>
                <w:rFonts w:ascii="Times New Roman" w:cs="Times New Roman" w:eastAsia="Times New Roman" w:hAnsi="Times New Roman"/>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 xml:space="preserve"> 298,762,757</w:t>
            </w:r>
          </w:p>
        </w:tc>
        <w:tc>
          <w:tcPr>
            <w:tcW w:w="100" w:type="dxa"/>
            <w:vAlign w:val="bottom"/>
            <w:tcBorders>
              <w:top w:val="single" w:sz="8" w:color="CCEEFF"/>
            </w:tcBorders>
          </w:tcPr>
          <w:p>
            <w:pPr>
              <w:spacing w:after="0"/>
              <w:rPr>
                <w:sz w:val="18"/>
                <w:szCs w:val="18"/>
                <w:color w:val="auto"/>
              </w:rPr>
            </w:pPr>
          </w:p>
        </w:tc>
      </w:tr>
      <w:tr>
        <w:trPr>
          <w:trHeight w:val="20"/>
        </w:trPr>
        <w:tc>
          <w:tcPr>
            <w:tcW w:w="2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46"/>
        </w:trPr>
        <w:tc>
          <w:tcPr>
            <w:tcW w:w="27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2"/>
          </w:tcPr>
          <w:p>
            <w:pPr>
              <w:jc w:val="right"/>
              <w:ind w:right="370"/>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1"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20" w:type="dxa"/>
            <w:vAlign w:val="bottom"/>
            <w:gridSpan w:val="6"/>
          </w:tcPr>
          <w:p>
            <w:pPr>
              <w:jc w:val="right"/>
              <w:ind w:right="1101"/>
              <w:spacing w:after="0"/>
              <w:rPr>
                <w:sz w:val="20"/>
                <w:szCs w:val="20"/>
                <w:color w:val="auto"/>
              </w:rPr>
            </w:pPr>
            <w:r>
              <w:rPr>
                <w:rFonts w:ascii="Times New Roman" w:cs="Times New Roman" w:eastAsia="Times New Roman" w:hAnsi="Times New Roman"/>
                <w:sz w:val="18"/>
                <w:szCs w:val="18"/>
                <w:color w:val="auto"/>
              </w:rPr>
              <w:t>Six Months Ended June 30,</w:t>
            </w:r>
          </w:p>
        </w:tc>
      </w:tr>
      <w:tr>
        <w:trPr>
          <w:trHeight w:val="237"/>
        </w:trPr>
        <w:tc>
          <w:tcPr>
            <w:tcW w:w="682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440" w:type="dxa"/>
            <w:vAlign w:val="bottom"/>
            <w:tcBorders>
              <w:top w:val="single" w:sz="8" w:color="auto"/>
              <w:bottom w:val="single" w:sz="8" w:color="auto"/>
            </w:tcBorders>
          </w:tcPr>
          <w:p>
            <w:pPr>
              <w:spacing w:after="0"/>
              <w:rPr>
                <w:sz w:val="20"/>
                <w:szCs w:val="20"/>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rPr>
              <w:t>2024</w:t>
            </w:r>
          </w:p>
        </w:tc>
        <w:tc>
          <w:tcPr>
            <w:tcW w:w="200" w:type="dxa"/>
            <w:vAlign w:val="bottom"/>
            <w:tcBorders>
              <w:top w:val="single" w:sz="8" w:color="auto"/>
              <w:bottom w:val="single" w:sz="8" w:color="CCEEFF"/>
            </w:tcBorders>
          </w:tcPr>
          <w:p>
            <w:pPr>
              <w:spacing w:after="0"/>
              <w:rPr>
                <w:sz w:val="20"/>
                <w:szCs w:val="20"/>
                <w:color w:val="auto"/>
              </w:rPr>
            </w:pPr>
          </w:p>
        </w:tc>
        <w:tc>
          <w:tcPr>
            <w:tcW w:w="120" w:type="dxa"/>
            <w:vAlign w:val="bottom"/>
            <w:tcBorders>
              <w:top w:val="single" w:sz="8" w:color="auto"/>
              <w:bottom w:val="single" w:sz="8" w:color="CCEEFF"/>
            </w:tcBorders>
          </w:tcPr>
          <w:p>
            <w:pPr>
              <w:spacing w:after="0"/>
              <w:rPr>
                <w:sz w:val="20"/>
                <w:szCs w:val="20"/>
                <w:color w:val="auto"/>
              </w:rPr>
            </w:pPr>
          </w:p>
        </w:tc>
        <w:tc>
          <w:tcPr>
            <w:tcW w:w="440" w:type="dxa"/>
            <w:vAlign w:val="bottom"/>
            <w:tcBorders>
              <w:top w:val="single" w:sz="8" w:color="auto"/>
              <w:bottom w:val="single" w:sz="8" w:color="auto"/>
            </w:tcBorders>
          </w:tcPr>
          <w:p>
            <w:pPr>
              <w:spacing w:after="0"/>
              <w:rPr>
                <w:sz w:val="20"/>
                <w:szCs w:val="20"/>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tcPr>
          <w:p>
            <w:pPr>
              <w:spacing w:after="0"/>
              <w:rPr>
                <w:sz w:val="20"/>
                <w:szCs w:val="20"/>
                <w:color w:val="auto"/>
              </w:rPr>
            </w:pP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7"/>
        </w:trPr>
        <w:tc>
          <w:tcPr>
            <w:tcW w:w="6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6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8,104,137</w:t>
            </w:r>
          </w:p>
        </w:tc>
        <w:tc>
          <w:tcPr>
            <w:tcW w:w="5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2,181,039</w:t>
            </w:r>
          </w:p>
        </w:tc>
      </w:tr>
      <w:tr>
        <w:trPr>
          <w:trHeight w:val="216"/>
        </w:trPr>
        <w:tc>
          <w:tcPr>
            <w:tcW w:w="68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fixed maturity securities</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(34,437,326)</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(28,549,767)</w:t>
            </w: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Sales, calls and maturities of fixed maturity securities</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65,265,141</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19,851,603</w:t>
            </w: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equity securities</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(2,658,514)</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(5,949,902)</w:t>
            </w: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Sales of equity securities</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1,996,963</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5,430,156</w:t>
            </w: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restricted assets</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(1,116,336)</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(1,148,199)</w:t>
            </w: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Sales, calls and maturities of restricted assets</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483,871</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64,746</w:t>
            </w: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cemetery perpetual care trust investments</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(49,443)</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(355,152)</w:t>
            </w: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Sales, calls and maturities of perpetual care trust investments</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122,773</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91,504</w:t>
            </w: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 loans held for investment, other investments and policy loans made</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(364,394,871)</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(326,286,179)</w:t>
            </w:r>
          </w:p>
        </w:tc>
      </w:tr>
      <w:tr>
        <w:trPr>
          <w:trHeight w:val="198"/>
        </w:trPr>
        <w:tc>
          <w:tcPr>
            <w:tcW w:w="68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Payments received for mortgage loans held for investment, other investments and policy</w:t>
            </w: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loans</w:t>
            </w: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352,904,166</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369,206,657</w:t>
            </w: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(423,139)</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(527,285)</w:t>
            </w: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Sales of property and equipment</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377,521</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10,973</w:t>
            </w: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real estate</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(27,823,031)</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(3,971,593)</w:t>
            </w:r>
          </w:p>
        </w:tc>
      </w:tr>
      <w:tr>
        <w:trPr>
          <w:trHeight w:val="237"/>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Sales of real estate</w:t>
            </w: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23,136,542</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20,684,319</w:t>
            </w:r>
          </w:p>
        </w:tc>
      </w:tr>
      <w:tr>
        <w:trPr>
          <w:trHeight w:val="223"/>
        </w:trPr>
        <w:tc>
          <w:tcPr>
            <w:tcW w:w="68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13,384,317</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48,551,881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6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Investment contract receipts</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6,775,570</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6,103,142</w:t>
            </w: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contract withdrawals</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(7,864,720)</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(7,663,735)</w:t>
            </w: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stock options exercised</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46,182</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38,879</w:t>
            </w: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treasury stock</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(1,629,135)</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(2,591,416)</w:t>
            </w: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Repayment of bank loans</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(939,619)</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(68,658,021)</w:t>
            </w: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bank loans</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66,000,000</w:t>
            </w:r>
          </w:p>
        </w:tc>
      </w:tr>
      <w:tr>
        <w:trPr>
          <w:trHeight w:val="237"/>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Net change in warehouse line borrowings for loans held for sale</w:t>
            </w: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(1,114,584)</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(55,805,126)</w:t>
            </w:r>
          </w:p>
        </w:tc>
      </w:tr>
      <w:tr>
        <w:trPr>
          <w:trHeight w:val="223"/>
        </w:trPr>
        <w:tc>
          <w:tcPr>
            <w:tcW w:w="68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(4,726,306</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(62,576,277</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6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change in cash, cash equivalents, restricted cash and restricted cash equivalents</w:t>
            </w:r>
          </w:p>
        </w:tc>
        <w:tc>
          <w:tcPr>
            <w:tcW w:w="1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16,762,148</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(11,843,357)</w:t>
            </w:r>
          </w:p>
        </w:tc>
      </w:tr>
      <w:tr>
        <w:trPr>
          <w:trHeight w:val="216"/>
        </w:trPr>
        <w:tc>
          <w:tcPr>
            <w:tcW w:w="68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7"/>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restricted cash and restricted cash equivalents at beginning of period</w:t>
            </w:r>
          </w:p>
        </w:tc>
        <w:tc>
          <w:tcPr>
            <w:tcW w:w="1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139,923,399</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133,483,817</w:t>
            </w:r>
          </w:p>
        </w:tc>
      </w:tr>
      <w:tr>
        <w:trPr>
          <w:trHeight w:val="216"/>
        </w:trPr>
        <w:tc>
          <w:tcPr>
            <w:tcW w:w="68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43"/>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restricted cash and restricted cash equivalents at end of period</w:t>
            </w:r>
          </w:p>
        </w:tc>
        <w:tc>
          <w:tcPr>
            <w:tcW w:w="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156,685,547</w:t>
            </w:r>
          </w:p>
        </w:tc>
        <w:tc>
          <w:tcPr>
            <w:tcW w:w="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121,640,460</w:t>
            </w: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6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Cash paid during the year for:</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w:t>
            </w:r>
          </w:p>
        </w:tc>
        <w:tc>
          <w:tcPr>
            <w:tcW w:w="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2,107,045</w:t>
            </w:r>
          </w:p>
        </w:tc>
        <w:tc>
          <w:tcPr>
            <w:tcW w:w="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3,056,099</w:t>
            </w: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Income taxes (net of refunds)</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3,024,742</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17,458,807</w:t>
            </w:r>
          </w:p>
        </w:tc>
      </w:tr>
      <w:tr>
        <w:trPr>
          <w:trHeight w:val="216"/>
        </w:trPr>
        <w:tc>
          <w:tcPr>
            <w:tcW w:w="6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 Cash Operating, Investing and Financing Activities:</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 of loans held for sale to mortgage loans held for investment</w:t>
            </w:r>
          </w:p>
        </w:tc>
        <w:tc>
          <w:tcPr>
            <w:tcW w:w="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1,867,552</w:t>
            </w:r>
          </w:p>
        </w:tc>
        <w:tc>
          <w:tcPr>
            <w:tcW w:w="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1,150,074</w:t>
            </w: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 obtained in exchange for operating lease liabilities</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1,130,610</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139,095</w:t>
            </w: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held for sale foreclosed into real estate held for sale</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858,977</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Benefit plans funded with treasury stock</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735,930</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1,145,864</w:t>
            </w: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 obtained in exchange for finance lease liabilities</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12,332</w:t>
            </w: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Transfer from mortgage loans held for investment to restricted assets</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1,625,961</w:t>
            </w:r>
          </w:p>
        </w:tc>
      </w:tr>
      <w:tr>
        <w:trPr>
          <w:trHeight w:val="198"/>
        </w:trPr>
        <w:tc>
          <w:tcPr>
            <w:tcW w:w="68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Transfer from mortgage loans held for investment to cemetery perpetual care trust</w:t>
            </w: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w:t>
            </w:r>
          </w:p>
        </w:tc>
        <w:tc>
          <w:tcPr>
            <w:tcW w:w="1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1,611,550</w:t>
            </w:r>
          </w:p>
        </w:tc>
      </w:tr>
      <w:tr>
        <w:trPr>
          <w:trHeight w:val="439"/>
        </w:trPr>
        <w:tc>
          <w:tcPr>
            <w:tcW w:w="6820" w:type="dxa"/>
            <w:vAlign w:val="bottom"/>
            <w:tcBorders>
              <w:bottom w:val="single" w:sz="8" w:color="auto"/>
            </w:tcBorders>
          </w:tcPr>
          <w:p>
            <w:pPr>
              <w:ind w:left="5580"/>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1"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STATEMENTS OF CASH FLOWS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Reconciliation of cash, cash equivalents, restricted cash and restricted cash equivalents as shown in the condensed consolidated statements of cash flows is presented in the table below:</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20" w:type="dxa"/>
            <w:vAlign w:val="bottom"/>
            <w:gridSpan w:val="6"/>
          </w:tcPr>
          <w:p>
            <w:pPr>
              <w:ind w:left="640"/>
              <w:spacing w:after="0"/>
              <w:rPr>
                <w:sz w:val="20"/>
                <w:szCs w:val="20"/>
                <w:color w:val="auto"/>
              </w:rPr>
            </w:pPr>
            <w:r>
              <w:rPr>
                <w:rFonts w:ascii="Times New Roman" w:cs="Times New Roman" w:eastAsia="Times New Roman" w:hAnsi="Times New Roman"/>
                <w:sz w:val="18"/>
                <w:szCs w:val="18"/>
                <w:color w:val="auto"/>
              </w:rPr>
              <w:t>Six Months Ended June 30,</w:t>
            </w:r>
          </w:p>
        </w:tc>
      </w:tr>
      <w:tr>
        <w:trPr>
          <w:trHeight w:val="237"/>
        </w:trPr>
        <w:tc>
          <w:tcPr>
            <w:tcW w:w="6180" w:type="dxa"/>
            <w:vAlign w:val="bottom"/>
            <w:tcBorders>
              <w:bottom w:val="single" w:sz="8" w:color="CCEEFF"/>
            </w:tcBorders>
          </w:tcPr>
          <w:p>
            <w:pPr>
              <w:spacing w:after="0"/>
              <w:rPr>
                <w:sz w:val="20"/>
                <w:szCs w:val="20"/>
                <w:color w:val="auto"/>
              </w:rPr>
            </w:pPr>
          </w:p>
        </w:tc>
        <w:tc>
          <w:tcPr>
            <w:tcW w:w="800" w:type="dxa"/>
            <w:vAlign w:val="bottom"/>
            <w:tcBorders>
              <w:bottom w:val="single" w:sz="8" w:color="CCEEFF"/>
            </w:tcBorders>
          </w:tcPr>
          <w:p>
            <w:pPr>
              <w:spacing w:after="0"/>
              <w:rPr>
                <w:sz w:val="20"/>
                <w:szCs w:val="20"/>
                <w:color w:val="auto"/>
              </w:rPr>
            </w:pPr>
          </w:p>
        </w:tc>
        <w:tc>
          <w:tcPr>
            <w:tcW w:w="440" w:type="dxa"/>
            <w:vAlign w:val="bottom"/>
            <w:tcBorders>
              <w:top w:val="single" w:sz="8" w:color="auto"/>
              <w:bottom w:val="single" w:sz="8" w:color="auto"/>
            </w:tcBorders>
          </w:tcPr>
          <w:p>
            <w:pPr>
              <w:spacing w:after="0"/>
              <w:rPr>
                <w:sz w:val="20"/>
                <w:szCs w:val="20"/>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rPr>
              <w:t>2024</w:t>
            </w:r>
          </w:p>
        </w:tc>
        <w:tc>
          <w:tcPr>
            <w:tcW w:w="160" w:type="dxa"/>
            <w:vAlign w:val="bottom"/>
            <w:tcBorders>
              <w:top w:val="single" w:sz="8" w:color="auto"/>
              <w:bottom w:val="single" w:sz="8" w:color="CCEEFF"/>
            </w:tcBorders>
          </w:tcPr>
          <w:p>
            <w:pPr>
              <w:spacing w:after="0"/>
              <w:rPr>
                <w:sz w:val="20"/>
                <w:szCs w:val="20"/>
                <w:color w:val="auto"/>
              </w:rPr>
            </w:pPr>
          </w:p>
        </w:tc>
        <w:tc>
          <w:tcPr>
            <w:tcW w:w="160" w:type="dxa"/>
            <w:vAlign w:val="bottom"/>
            <w:tcBorders>
              <w:top w:val="single" w:sz="8" w:color="auto"/>
              <w:bottom w:val="single" w:sz="8" w:color="CCEEFF"/>
            </w:tcBorders>
          </w:tcPr>
          <w:p>
            <w:pPr>
              <w:spacing w:after="0"/>
              <w:rPr>
                <w:sz w:val="20"/>
                <w:szCs w:val="20"/>
                <w:color w:val="auto"/>
              </w:rPr>
            </w:pPr>
          </w:p>
        </w:tc>
        <w:tc>
          <w:tcPr>
            <w:tcW w:w="440" w:type="dxa"/>
            <w:vAlign w:val="bottom"/>
            <w:tcBorders>
              <w:top w:val="single" w:sz="8" w:color="auto"/>
              <w:bottom w:val="single" w:sz="8" w:color="auto"/>
            </w:tcBorders>
          </w:tcPr>
          <w:p>
            <w:pPr>
              <w:spacing w:after="0"/>
              <w:rPr>
                <w:sz w:val="20"/>
                <w:szCs w:val="20"/>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tcPr>
          <w:p>
            <w:pPr>
              <w:spacing w:after="0"/>
              <w:rPr>
                <w:sz w:val="20"/>
                <w:szCs w:val="20"/>
                <w:color w:val="auto"/>
              </w:rPr>
            </w:pPr>
          </w:p>
        </w:tc>
      </w:tr>
      <w:tr>
        <w:trPr>
          <w:trHeight w:val="216"/>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143,632,984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110,285,941</w:t>
            </w:r>
          </w:p>
        </w:tc>
        <w:tc>
          <w:tcPr>
            <w:tcW w:w="100" w:type="dxa"/>
            <w:vAlign w:val="bottom"/>
            <w:shd w:val="clear" w:color="auto" w:fill="CCEEFF"/>
          </w:tcPr>
          <w:p>
            <w:pPr>
              <w:spacing w:after="0"/>
              <w:rPr>
                <w:sz w:val="18"/>
                <w:szCs w:val="18"/>
                <w:color w:val="auto"/>
              </w:rPr>
            </w:pP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Restricted assets</w:t>
            </w: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11,849,488</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10,276,918</w:t>
            </w:r>
          </w:p>
        </w:tc>
      </w:tr>
      <w:tr>
        <w:trPr>
          <w:trHeight w:val="237"/>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Cemetery perpetual care trust investments</w:t>
            </w:r>
          </w:p>
        </w:tc>
        <w:tc>
          <w:tcPr>
            <w:tcW w:w="8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1,203,075</w:t>
            </w:r>
          </w:p>
        </w:tc>
        <w:tc>
          <w:tcPr>
            <w:tcW w:w="1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1,077,601</w:t>
            </w:r>
          </w:p>
        </w:tc>
      </w:tr>
      <w:tr>
        <w:trPr>
          <w:trHeight w:val="216"/>
        </w:trPr>
        <w:tc>
          <w:tcPr>
            <w:tcW w:w="618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43"/>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cash, cash equivalents, restricted cash and restricted cash equivalents</w:t>
            </w:r>
          </w:p>
        </w:tc>
        <w:tc>
          <w:tcPr>
            <w:tcW w:w="124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156,685,547</w:t>
            </w:r>
          </w:p>
        </w:tc>
        <w:tc>
          <w:tcPr>
            <w:tcW w:w="60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121,640,460</w:t>
            </w:r>
          </w:p>
        </w:tc>
      </w:tr>
      <w:tr>
        <w:trPr>
          <w:trHeight w:val="20"/>
        </w:trPr>
        <w:tc>
          <w:tcPr>
            <w:tcW w:w="61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 (unaudited).</w:t>
      </w:r>
    </w:p>
    <w:p>
      <w:pPr>
        <w:spacing w:after="0" w:line="22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9" w:name="page10"/>
    <w:bookmarkEnd w:id="9"/>
    <w:p>
      <w:pPr>
        <w:ind w:left="2700"/>
        <w:spacing w:after="0"/>
        <w:rPr>
          <w:sz w:val="20"/>
          <w:szCs w:val="20"/>
          <w:color w:val="auto"/>
        </w:rPr>
      </w:pPr>
      <w:r>
        <w:rPr>
          <w:rFonts w:ascii="Times New Roman" w:cs="Times New Roman" w:eastAsia="Times New Roman" w:hAnsi="Times New Roman"/>
          <w:sz w:val="18"/>
          <w:szCs w:val="18"/>
          <w:color w:val="auto"/>
        </w:rPr>
        <w:t>SECURITY NATIONAL FINANCIAL CORPORATION AND SUBSIDIARIES</w:t>
      </w:r>
    </w:p>
    <w:p>
      <w:pPr>
        <w:spacing w:after="0" w:line="27"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p>
      <w:pPr>
        <w:spacing w:after="0" w:line="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June 30, 2024 (Unaudited)</w:t>
      </w:r>
    </w:p>
    <w:p>
      <w:pPr>
        <w:spacing w:after="0" w:line="207" w:lineRule="exact"/>
        <w:rPr>
          <w:sz w:val="20"/>
          <w:szCs w:val="20"/>
          <w:color w:val="auto"/>
        </w:rPr>
      </w:pPr>
    </w:p>
    <w:p>
      <w:pPr>
        <w:ind w:left="200" w:hanging="192"/>
        <w:spacing w:after="0"/>
        <w:tabs>
          <w:tab w:leader="none" w:pos="2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Basis of Presentation</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accounting principles generally accepted in the United States of America for interim financial information and with the instructions to Form 10-Q and Articles 8 and 10 of Regulation S-X. Accordingly, they do not include all the information and disclosures required by accounting principles generally accepted in the United States of America for complete financial statements. These financial statements should be read in conjunction with the consolidated financial statements of the Company and notes thereto for the year ended December 31, 2023, included in the Company’s Annual Report on Form 10-K (File Number 000-09341). In the opinion of management, all adjustments (consisting of normal recurring accruals) considered necessary for a fair presentation have been included. Operating results for the three and six month periods ended June 30, 2024 are not necessarily indicative of the results that may be expected for the year ending December 31, 2024.</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of America requires management to adopt policies and make estimates and assumptions that affect the amounts reported in the financial statements and accompanying notes. In applying these policies and estimates, the Company makes judgments that frequently require assumptions about matters that are inherently uncertain. Accordingly, significant estimates used in the preparation of the Company’s financial statements may be subject to significant adjustments in future periods. Actual results could differ from those estimates.</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Material estimates that are particularly susceptible to significant changes in the near term are those used in determining the value of derivative assets and liabilities; those used in determining deferred acquisition costs and the value of business acquired; those used in determining the value of mortgage loans foreclosed to real estate held for investment or sale; those used in determining the liability for future policy benefits and unearned revenue; those used in determining the estimated future costs for pre-need sales; those used in determining the value of mortgage servicing rights; those used in determining the value of loans held for sale; those used in determining allowances for credit losses; those used in determining loan loss reserve; and those used in determining deferred tax assets and liabilities. Although some variability is inherent in these estimates, management believes the amounts provided are fairly stated in all material respects.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0" w:name="page11"/>
    <w:bookmarkEnd w:id="10"/>
    <w:p>
      <w:pPr>
        <w:ind w:left="2700"/>
        <w:spacing w:after="0"/>
        <w:rPr>
          <w:sz w:val="20"/>
          <w:szCs w:val="20"/>
          <w:color w:val="auto"/>
        </w:rPr>
      </w:pPr>
      <w:r>
        <w:rPr>
          <w:rFonts w:ascii="Times New Roman" w:cs="Times New Roman" w:eastAsia="Times New Roman" w:hAnsi="Times New Roman"/>
          <w:sz w:val="18"/>
          <w:szCs w:val="18"/>
          <w:color w:val="auto"/>
        </w:rPr>
        <w:t>SECURITY NATIONAL FINANCIAL CORPORATION AND SUBSIDIARIES</w:t>
      </w:r>
    </w:p>
    <w:p>
      <w:pPr>
        <w:spacing w:after="0" w:line="27"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p>
      <w:pPr>
        <w:spacing w:after="0" w:line="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June 30, 2024 (Unaudited)</w:t>
      </w:r>
    </w:p>
    <w:p>
      <w:pPr>
        <w:spacing w:after="0" w:line="207" w:lineRule="exact"/>
        <w:rPr>
          <w:sz w:val="20"/>
          <w:szCs w:val="20"/>
          <w:color w:val="auto"/>
        </w:rPr>
      </w:pPr>
    </w:p>
    <w:p>
      <w:pPr>
        <w:ind w:left="200" w:hanging="192"/>
        <w:spacing w:after="0"/>
        <w:tabs>
          <w:tab w:leader="none" w:pos="2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Recent Accounting Pronouncements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Standards Adopted in 2023</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u w:val="single" w:color="auto"/>
          <w:color w:val="auto"/>
        </w:rPr>
        <w:t>ASU No. 2016-13: “Financial Instruments – Credit Losses (Topic 326)”</w:t>
      </w:r>
      <w:r>
        <w:rPr>
          <w:rFonts w:ascii="Times New Roman" w:cs="Times New Roman" w:eastAsia="Times New Roman" w:hAnsi="Times New Roman"/>
          <w:sz w:val="18"/>
          <w:szCs w:val="18"/>
          <w:color w:val="auto"/>
        </w:rPr>
        <w:t xml:space="preserve"> — Issued in September 2016, ASU 2016-13 amends guidance on reporting credit losses for assets held at amortized cost basis (such as mortgage loans held for investment and held to maturity debt securities) and available for sale debt securities. For assets held at an amortized cost basis, Topic 326 eliminates the probable initial recognition threshold and, instead, requires an entity to reflect its current estimate of all expected credit losses. The allowance for credit losses is a valuation account that is deducted from the amortized cost basis of the financial assets to present the net amount expected to be collected. For available for sale debt securities Topic 326 requires that credit losses be presented as an allowance rather than as a write-down. The Company adopted this standard on January 1, 2023, and after a review of the affected assets, decreased the opening balance of retained earnings in stockholders’ equity by $671,506 on January 1, 2023. The allowances for credit losses increased (decreased) by the following amounts.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Amount</w:t>
            </w:r>
          </w:p>
        </w:tc>
      </w:tr>
      <w:tr>
        <w:trPr>
          <w:trHeight w:val="216"/>
        </w:trPr>
        <w:tc>
          <w:tcPr>
            <w:tcW w:w="7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 loans held for investment:</w:t>
            </w:r>
          </w:p>
        </w:tc>
        <w:tc>
          <w:tcPr>
            <w:tcW w:w="28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7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Residential</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(192,607)</w:t>
            </w:r>
          </w:p>
        </w:tc>
      </w:tr>
      <w:tr>
        <w:trPr>
          <w:trHeight w:val="216"/>
        </w:trPr>
        <w:tc>
          <w:tcPr>
            <w:tcW w:w="7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Residential construction</w:t>
            </w:r>
          </w:p>
        </w:tc>
        <w:tc>
          <w:tcPr>
            <w:tcW w:w="2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301,830</w:t>
            </w:r>
          </w:p>
        </w:tc>
      </w:tr>
      <w:tr>
        <w:trPr>
          <w:trHeight w:val="236"/>
        </w:trPr>
        <w:tc>
          <w:tcPr>
            <w:tcW w:w="7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280" w:type="dxa"/>
            <w:vAlign w:val="bottom"/>
          </w:tcPr>
          <w:p>
            <w:pPr>
              <w:spacing w:after="0"/>
              <w:rPr>
                <w:sz w:val="20"/>
                <w:szCs w:val="20"/>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555,807</w:t>
            </w:r>
          </w:p>
        </w:tc>
      </w:tr>
      <w:tr>
        <w:trPr>
          <w:trHeight w:val="223"/>
        </w:trPr>
        <w:tc>
          <w:tcPr>
            <w:tcW w:w="73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665,030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7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Restriced assets - mortgage loans held for investment:</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7"/>
        </w:trPr>
        <w:tc>
          <w:tcPr>
            <w:tcW w:w="7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Residential construction</w:t>
            </w:r>
          </w:p>
        </w:tc>
        <w:tc>
          <w:tcPr>
            <w:tcW w:w="280" w:type="dxa"/>
            <w:vAlign w:val="bottom"/>
          </w:tcPr>
          <w:p>
            <w:pPr>
              <w:spacing w:after="0"/>
              <w:rPr>
                <w:sz w:val="20"/>
                <w:szCs w:val="20"/>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3,463</w:t>
            </w:r>
          </w:p>
        </w:tc>
      </w:tr>
      <w:tr>
        <w:trPr>
          <w:trHeight w:val="216"/>
        </w:trPr>
        <w:tc>
          <w:tcPr>
            <w:tcW w:w="73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Cemetery perpetual care trust investments - mortgage loans held for investment:</w:t>
            </w: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7"/>
        </w:trPr>
        <w:tc>
          <w:tcPr>
            <w:tcW w:w="7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Residential construction</w:t>
            </w:r>
          </w:p>
        </w:tc>
        <w:tc>
          <w:tcPr>
            <w:tcW w:w="28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3,013</w:t>
            </w:r>
          </w:p>
        </w:tc>
      </w:tr>
      <w:tr>
        <w:trPr>
          <w:trHeight w:val="216"/>
        </w:trPr>
        <w:tc>
          <w:tcPr>
            <w:tcW w:w="738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43"/>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Grand Total</w:t>
            </w:r>
          </w:p>
        </w:tc>
        <w:tc>
          <w:tcPr>
            <w:tcW w:w="28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671,506</w:t>
            </w: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Standards Issued But Not Yet Adopted</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u w:val="single" w:color="auto"/>
          <w:color w:val="auto"/>
        </w:rPr>
        <w:t>ASU No. 2018-12: “Financial Services – Insurance (Topic 944): Targeted Improvements to the Accounting for Long-Duration Contracts”</w:t>
      </w:r>
      <w:r>
        <w:rPr>
          <w:rFonts w:ascii="Times New Roman" w:cs="Times New Roman" w:eastAsia="Times New Roman" w:hAnsi="Times New Roman"/>
          <w:sz w:val="18"/>
          <w:szCs w:val="18"/>
          <w:color w:val="auto"/>
        </w:rPr>
        <w:t xml:space="preserve"> — Issued in August 2018, ASU 2018-12 is intended to improve the timeliness of recognizing changes in the liability for future policy benefits on traditional long-duration contracts by requiring that assumptions be updated after contract inception and by modifying the rate used to discount future cash flows. The standard is aimed at improving the accounting for certain market-based options or guarantees associated with deposit or account balance contracts, simplifying amortization of deferred acquisition costs while improving and expanding required disclosures. In November 2020, the FASB issued an update to ASU No. 2018-12 that requires the standard to be adopted by the Company commencing on January 1, 2025. The Company is nearing completion of its analysis and implementation of the new standard, including the identification of cohorts, system updates, and design. The Company has engaged its team of actuaries, accountants, and systems specialists and consulted external system providers as part of the implementation. The Company is in the process of estimating the impact of the new guidance on the consolidated financial statements.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1" w:name="page12"/>
    <w:bookmarkEnd w:id="11"/>
    <w:p>
      <w:pPr>
        <w:ind w:left="2700"/>
        <w:spacing w:after="0"/>
        <w:rPr>
          <w:sz w:val="20"/>
          <w:szCs w:val="20"/>
          <w:color w:val="auto"/>
        </w:rPr>
      </w:pPr>
      <w:r>
        <w:rPr>
          <w:rFonts w:ascii="Times New Roman" w:cs="Times New Roman" w:eastAsia="Times New Roman" w:hAnsi="Times New Roman"/>
          <w:sz w:val="18"/>
          <w:szCs w:val="18"/>
          <w:color w:val="auto"/>
        </w:rPr>
        <w:t>SECURITY NATIONAL FINANCIAL CORPORATION AND SUBSIDIARIES</w:t>
      </w:r>
    </w:p>
    <w:p>
      <w:pPr>
        <w:spacing w:after="0" w:line="27"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p>
      <w:pPr>
        <w:spacing w:after="0" w:line="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June 30, 2024 (Unaudited)</w:t>
      </w:r>
    </w:p>
    <w:p>
      <w:pPr>
        <w:spacing w:after="0" w:line="207" w:lineRule="exact"/>
        <w:rPr>
          <w:sz w:val="20"/>
          <w:szCs w:val="20"/>
          <w:color w:val="auto"/>
        </w:rPr>
      </w:pPr>
    </w:p>
    <w:p>
      <w:pPr>
        <w:ind w:left="200" w:hanging="192"/>
        <w:spacing w:after="0"/>
        <w:tabs>
          <w:tab w:leader="none" w:pos="2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Recent Accounting Pronouncements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u w:val="single" w:color="auto"/>
          <w:color w:val="auto"/>
        </w:rPr>
        <w:t>ASU No. 2023-09: “Income Taxes (Topic 740): Improvements to Income Tax Disclosures”</w:t>
      </w:r>
      <w:r>
        <w:rPr>
          <w:rFonts w:ascii="Times New Roman" w:cs="Times New Roman" w:eastAsia="Times New Roman" w:hAnsi="Times New Roman"/>
          <w:sz w:val="18"/>
          <w:szCs w:val="18"/>
          <w:color w:val="auto"/>
        </w:rPr>
        <w:t xml:space="preserve"> — Issued in December 2023, ASU 2023-09 requires that public business entities, on an annual basis: (i) disclose specific categories in the rate reconciliation and (ii) provide additional information for reconciling items that meet a quantitative threshold. In addition, the amendments in this update require that all entities disclose on an annual basis the following information about income taxes paid: (i) the amount of income taxes paid (net of refunds received) disaggregated by federal (national), state, and foreign taxes and (ii) the amount of income taxes paid (net of refunds received) disaggregated by individual jurisdictions in which income taxes paid (net of refunds received) is equal to or greater than 5 percent of total income taxes paid (net of refunds received). ASU 2023-09 is effective for the Company beginning on January 1, 2025. The Company is in the process of estimating the impact of the new guidance on the consolidated financial statements.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u w:val="single" w:color="auto"/>
          <w:color w:val="auto"/>
        </w:rPr>
        <w:t>ASU No. 2023-07: “Segment Reporting (Topic 280): Improvements to Reportable Segment Disclosures”</w:t>
      </w:r>
      <w:r>
        <w:rPr>
          <w:rFonts w:ascii="Times New Roman" w:cs="Times New Roman" w:eastAsia="Times New Roman" w:hAnsi="Times New Roman"/>
          <w:sz w:val="18"/>
          <w:szCs w:val="18"/>
          <w:color w:val="auto"/>
        </w:rPr>
        <w:t xml:space="preserve"> — Issued in November 2023, ASU 2023-07 requires enhanced disclosures about significant segment expenses. The key amendments include: (i) disclosures on significant segment expenses that are regularly provided to the chief operating decision maker (CODM) and included within each reported measure of segment profit or loss on an annual and interim basis; (ii) disclosures on an amount for other segment items by reportable segment and a description of its composition on an annual and interim basis. The other segment items category is the difference between segment revenue less the significant expenses disclosed and each reported measure of segment profit or loss; (iii) providing all annual disclosures on a reportable segment’s profit or loss and assets currently required by FASB ASC Topic 280, Segment Reporting in interim periods; and (iv) specifying the title and position of the CODM. ASU 2023-07 is effective for the Company for annual periods beginning January 1, 2024 and interim periods beginning January 1, 2025. The Company is in the process of estimating the impact of the new guidance on the consolidated financial statements.</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reviewed other recent accounting pronouncements and has determined that they will not significantly impact the Company’s results of operations or financial position.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2" w:name="page13"/>
    <w:bookmarkEnd w:id="12"/>
    <w:p>
      <w:pPr>
        <w:ind w:left="2700"/>
        <w:spacing w:after="0"/>
        <w:rPr>
          <w:sz w:val="20"/>
          <w:szCs w:val="20"/>
          <w:color w:val="auto"/>
        </w:rPr>
      </w:pPr>
      <w:r>
        <w:rPr>
          <w:rFonts w:ascii="Times New Roman" w:cs="Times New Roman" w:eastAsia="Times New Roman" w:hAnsi="Times New Roman"/>
          <w:sz w:val="18"/>
          <w:szCs w:val="18"/>
          <w:color w:val="auto"/>
        </w:rPr>
        <w:t>SECURITY NATIONAL FINANCIAL CORPORATION AND SUBSIDIARIES</w:t>
      </w:r>
    </w:p>
    <w:p>
      <w:pPr>
        <w:spacing w:after="0" w:line="27"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p>
      <w:pPr>
        <w:spacing w:after="0" w:line="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June 30, 2024 (Unaudited)</w:t>
      </w:r>
    </w:p>
    <w:p>
      <w:pPr>
        <w:spacing w:after="0" w:line="207" w:lineRule="exact"/>
        <w:rPr>
          <w:sz w:val="20"/>
          <w:szCs w:val="20"/>
          <w:color w:val="auto"/>
        </w:rPr>
      </w:pPr>
    </w:p>
    <w:p>
      <w:pPr>
        <w:ind w:left="200" w:hanging="192"/>
        <w:spacing w:after="0"/>
        <w:tabs>
          <w:tab w:leader="none" w:pos="2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investments as of June 30, 2024 are summarized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6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Gross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9"/>
              </w:rPr>
              <w:t>Gross</w:t>
            </w: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6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Amortized</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8"/>
              </w:rPr>
              <w:t>Unrealized</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8"/>
              </w:rPr>
              <w:t>Unrealized</w:t>
            </w:r>
          </w:p>
        </w:tc>
        <w:tc>
          <w:tcPr>
            <w:tcW w:w="142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Allowance for</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8"/>
              </w:rPr>
              <w:t>Estimated Fair</w:t>
            </w:r>
          </w:p>
        </w:tc>
      </w:tr>
      <w:tr>
        <w:trPr>
          <w:trHeight w:val="241"/>
        </w:trPr>
        <w:tc>
          <w:tcPr>
            <w:tcW w:w="106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Cost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Gains</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9"/>
              </w:rPr>
              <w:t>Losses (1)</w:t>
            </w:r>
          </w:p>
        </w:tc>
        <w:tc>
          <w:tcPr>
            <w:tcW w:w="142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Credit Losses</w:t>
            </w:r>
          </w:p>
        </w:tc>
        <w:tc>
          <w:tcPr>
            <w:tcW w:w="160" w:type="dxa"/>
            <w:vAlign w:val="bottom"/>
          </w:tcPr>
          <w:p>
            <w:pPr>
              <w:spacing w:after="0"/>
              <w:rPr>
                <w:sz w:val="20"/>
                <w:szCs w:val="20"/>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2"/>
              </w:rPr>
              <w:t>Value</w:t>
            </w:r>
          </w:p>
        </w:tc>
      </w:tr>
      <w:tr>
        <w:trPr>
          <w:trHeight w:val="175"/>
        </w:trPr>
        <w:tc>
          <w:tcPr>
            <w:tcW w:w="4040" w:type="dxa"/>
            <w:vAlign w:val="bottom"/>
            <w:tcBorders>
              <w:top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June 30, 2024:</w:t>
            </w:r>
          </w:p>
        </w:tc>
        <w:tc>
          <w:tcPr>
            <w:tcW w:w="1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1"/>
        </w:trPr>
        <w:tc>
          <w:tcPr>
            <w:tcW w:w="1060" w:type="dxa"/>
            <w:vAlign w:val="bottom"/>
            <w:tcBorders>
              <w:top w:val="single" w:sz="8" w:color="auto"/>
            </w:tcBorders>
            <w:shd w:val="clear" w:color="auto" w:fill="CCEEFF"/>
          </w:tcPr>
          <w:p>
            <w:pPr>
              <w:spacing w:after="0" w:line="20" w:lineRule="exact"/>
              <w:rPr>
                <w:sz w:val="1"/>
                <w:szCs w:val="1"/>
                <w:color w:val="auto"/>
              </w:rPr>
            </w:pPr>
          </w:p>
        </w:tc>
        <w:tc>
          <w:tcPr>
            <w:tcW w:w="29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98"/>
        </w:trPr>
        <w:tc>
          <w:tcPr>
            <w:tcW w:w="40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Fixed maturity securities, available for sale, at</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estimated fair value:</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4040" w:type="dxa"/>
            <w:vAlign w:val="bottom"/>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U.S. Treasury securities and obligations of U.S.</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40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Government agencies</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84,577,137</w:t>
            </w: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92,975</w:t>
            </w:r>
          </w:p>
        </w:tc>
        <w:tc>
          <w:tcPr>
            <w:tcW w:w="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(961,257)</w:t>
            </w:r>
          </w:p>
        </w:tc>
        <w:tc>
          <w:tcPr>
            <w:tcW w:w="28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83,708,855</w:t>
            </w:r>
          </w:p>
        </w:tc>
      </w:tr>
      <w:tr>
        <w:trPr>
          <w:trHeight w:val="216"/>
        </w:trPr>
        <w:tc>
          <w:tcPr>
            <w:tcW w:w="106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6,030,338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348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(289,225)</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5,741,461</w:t>
            </w:r>
          </w:p>
        </w:tc>
      </w:tr>
      <w:tr>
        <w:trPr>
          <w:trHeight w:val="216"/>
        </w:trPr>
        <w:tc>
          <w:tcPr>
            <w:tcW w:w="106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 securities including public utilities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232,747,782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2,272,483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(7,783,014)</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(382,211)</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226,855,040</w:t>
            </w:r>
          </w:p>
        </w:tc>
      </w:tr>
      <w:tr>
        <w:trPr>
          <w:trHeight w:val="216"/>
        </w:trPr>
        <w:tc>
          <w:tcPr>
            <w:tcW w:w="106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36,994,344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260,021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(4,449,645)</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(12,049)</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32,792,671</w:t>
            </w:r>
          </w:p>
        </w:tc>
      </w:tr>
      <w:tr>
        <w:trPr>
          <w:trHeight w:val="216"/>
        </w:trPr>
        <w:tc>
          <w:tcPr>
            <w:tcW w:w="106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40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Redeemable preferred stock</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250,000</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10,000</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260,000</w:t>
            </w:r>
          </w:p>
        </w:tc>
      </w:tr>
      <w:tr>
        <w:trPr>
          <w:trHeight w:val="243"/>
        </w:trPr>
        <w:tc>
          <w:tcPr>
            <w:tcW w:w="1060" w:type="dxa"/>
            <w:vAlign w:val="bottom"/>
            <w:tcBorders>
              <w:top w:val="single" w:sz="8" w:color="CCEEFF"/>
            </w:tcBorders>
          </w:tcPr>
          <w:p>
            <w:pPr>
              <w:spacing w:after="0"/>
              <w:rPr>
                <w:sz w:val="21"/>
                <w:szCs w:val="21"/>
                <w:color w:val="auto"/>
              </w:rPr>
            </w:pPr>
          </w:p>
        </w:tc>
        <w:tc>
          <w:tcPr>
            <w:tcW w:w="298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340" w:type="dxa"/>
            <w:vAlign w:val="bottom"/>
            <w:tcBorders>
              <w:top w:val="single" w:sz="8" w:color="CCEEFF"/>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320" w:type="dxa"/>
            <w:vAlign w:val="bottom"/>
            <w:tcBorders>
              <w:top w:val="single" w:sz="8" w:color="CCEEFF"/>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r>
      <w:tr>
        <w:trPr>
          <w:trHeight w:val="243"/>
        </w:trPr>
        <w:tc>
          <w:tcPr>
            <w:tcW w:w="40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fixed maturity securities available for sale</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360,599,601</w:t>
            </w: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2,635,827</w:t>
            </w:r>
          </w:p>
        </w:tc>
        <w:tc>
          <w:tcPr>
            <w:tcW w:w="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(13,483,141)</w:t>
            </w:r>
          </w:p>
        </w:tc>
        <w:tc>
          <w:tcPr>
            <w:tcW w:w="28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(394,260)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349,358,027</w:t>
            </w:r>
          </w:p>
        </w:tc>
      </w:tr>
      <w:tr>
        <w:trPr>
          <w:trHeight w:val="20"/>
        </w:trPr>
        <w:tc>
          <w:tcPr>
            <w:tcW w:w="1060" w:type="dxa"/>
            <w:vAlign w:val="bottom"/>
            <w:tcBorders>
              <w:top w:val="single" w:sz="8" w:color="CCEEFF"/>
            </w:tcBorders>
          </w:tcPr>
          <w:p>
            <w:pPr>
              <w:spacing w:after="0" w:line="20" w:lineRule="exact"/>
              <w:rPr>
                <w:sz w:val="1"/>
                <w:szCs w:val="1"/>
                <w:color w:val="auto"/>
              </w:rPr>
            </w:pPr>
          </w:p>
        </w:tc>
        <w:tc>
          <w:tcPr>
            <w:tcW w:w="29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securities at estimated fair value:</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06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06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Industrial, miscellaneous and all other</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11,266,705</w:t>
            </w: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4,219,352</w:t>
            </w:r>
          </w:p>
        </w:tc>
        <w:tc>
          <w:tcPr>
            <w:tcW w:w="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(466,878)</w:t>
            </w:r>
          </w:p>
        </w:tc>
        <w:tc>
          <w:tcPr>
            <w:tcW w:w="2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15,019,179</w:t>
            </w:r>
          </w:p>
        </w:tc>
      </w:tr>
      <w:tr>
        <w:trPr>
          <w:trHeight w:val="216"/>
        </w:trPr>
        <w:tc>
          <w:tcPr>
            <w:tcW w:w="1060" w:type="dxa"/>
            <w:vAlign w:val="bottom"/>
            <w:tcBorders>
              <w:top w:val="single" w:sz="8" w:color="CCEEFF"/>
            </w:tcBorders>
          </w:tcPr>
          <w:p>
            <w:pPr>
              <w:spacing w:after="0"/>
              <w:rPr>
                <w:sz w:val="18"/>
                <w:szCs w:val="18"/>
                <w:color w:val="auto"/>
              </w:rPr>
            </w:pPr>
          </w:p>
        </w:tc>
        <w:tc>
          <w:tcPr>
            <w:tcW w:w="29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43"/>
        </w:trPr>
        <w:tc>
          <w:tcPr>
            <w:tcW w:w="40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equity securities at estimated fair value</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11,266,705</w:t>
            </w: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4,219,352</w:t>
            </w:r>
          </w:p>
        </w:tc>
        <w:tc>
          <w:tcPr>
            <w:tcW w:w="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(466,878)</w:t>
            </w:r>
          </w:p>
        </w:tc>
        <w:tc>
          <w:tcPr>
            <w:tcW w:w="28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15,019,179</w:t>
            </w:r>
          </w:p>
        </w:tc>
      </w:tr>
      <w:tr>
        <w:trPr>
          <w:trHeight w:val="20"/>
        </w:trPr>
        <w:tc>
          <w:tcPr>
            <w:tcW w:w="1060" w:type="dxa"/>
            <w:vAlign w:val="bottom"/>
            <w:tcBorders>
              <w:top w:val="single" w:sz="8" w:color="CCEEFF"/>
            </w:tcBorders>
          </w:tcPr>
          <w:p>
            <w:pPr>
              <w:spacing w:after="0" w:line="20" w:lineRule="exact"/>
              <w:rPr>
                <w:sz w:val="1"/>
                <w:szCs w:val="1"/>
                <w:color w:val="auto"/>
              </w:rPr>
            </w:pPr>
          </w:p>
        </w:tc>
        <w:tc>
          <w:tcPr>
            <w:tcW w:w="29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 loans held for investment at amortized cost: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Residential</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103,667,890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Residential construction</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112,571,713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Commercial</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73,221,774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Less: Unamortized deferred loan fees, net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(1,952,616)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(2,853,852)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40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Less: Net discounts</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(311,378)</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1060" w:type="dxa"/>
            <w:vAlign w:val="bottom"/>
            <w:tcBorders>
              <w:top w:val="single" w:sz="8" w:color="CCEEFF"/>
            </w:tcBorders>
          </w:tcPr>
          <w:p>
            <w:pPr>
              <w:spacing w:after="0"/>
              <w:rPr>
                <w:sz w:val="18"/>
                <w:szCs w:val="18"/>
                <w:color w:val="auto"/>
              </w:rPr>
            </w:pPr>
          </w:p>
        </w:tc>
        <w:tc>
          <w:tcPr>
            <w:tcW w:w="29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43"/>
        </w:trPr>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mortgage loans held for investment</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284,343,531</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0"/>
        </w:trPr>
        <w:tc>
          <w:tcPr>
            <w:tcW w:w="1060" w:type="dxa"/>
            <w:vAlign w:val="bottom"/>
            <w:tcBorders>
              <w:top w:val="single" w:sz="8" w:color="CCEEFF"/>
            </w:tcBorders>
          </w:tcPr>
          <w:p>
            <w:pPr>
              <w:spacing w:after="0" w:line="20" w:lineRule="exact"/>
              <w:rPr>
                <w:sz w:val="1"/>
                <w:szCs w:val="1"/>
                <w:color w:val="auto"/>
              </w:rPr>
            </w:pPr>
          </w:p>
        </w:tc>
        <w:tc>
          <w:tcPr>
            <w:tcW w:w="29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8"/>
        </w:trPr>
        <w:tc>
          <w:tcPr>
            <w:tcW w:w="40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Real estate held for investment - net of accumulated</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40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Residential</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60,200,289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40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Commercial</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128,120,364</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1060" w:type="dxa"/>
            <w:vAlign w:val="bottom"/>
            <w:tcBorders>
              <w:top w:val="single" w:sz="8" w:color="CCEEFF"/>
            </w:tcBorders>
          </w:tcPr>
          <w:p>
            <w:pPr>
              <w:spacing w:after="0"/>
              <w:rPr>
                <w:sz w:val="18"/>
                <w:szCs w:val="18"/>
                <w:color w:val="auto"/>
              </w:rPr>
            </w:pPr>
          </w:p>
        </w:tc>
        <w:tc>
          <w:tcPr>
            <w:tcW w:w="29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43"/>
        </w:trPr>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real estate held for investment</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188,320,653</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0"/>
        </w:trPr>
        <w:tc>
          <w:tcPr>
            <w:tcW w:w="1060" w:type="dxa"/>
            <w:vAlign w:val="bottom"/>
            <w:tcBorders>
              <w:top w:val="single" w:sz="8" w:color="CCEEFF"/>
            </w:tcBorders>
          </w:tcPr>
          <w:p>
            <w:pPr>
              <w:spacing w:after="0" w:line="20" w:lineRule="exact"/>
              <w:rPr>
                <w:sz w:val="1"/>
                <w:szCs w:val="1"/>
                <w:color w:val="auto"/>
              </w:rPr>
            </w:pPr>
          </w:p>
        </w:tc>
        <w:tc>
          <w:tcPr>
            <w:tcW w:w="29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106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 estate held for sale:</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Residential</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858,977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40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Commercial</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151,553</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1060" w:type="dxa"/>
            <w:vAlign w:val="bottom"/>
            <w:tcBorders>
              <w:top w:val="single" w:sz="8" w:color="CCEEFF"/>
            </w:tcBorders>
          </w:tcPr>
          <w:p>
            <w:pPr>
              <w:spacing w:after="0"/>
              <w:rPr>
                <w:sz w:val="18"/>
                <w:szCs w:val="18"/>
                <w:color w:val="auto"/>
              </w:rPr>
            </w:pPr>
          </w:p>
        </w:tc>
        <w:tc>
          <w:tcPr>
            <w:tcW w:w="29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43"/>
        </w:trPr>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real estate held for sale</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1,010,530</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0"/>
        </w:trPr>
        <w:tc>
          <w:tcPr>
            <w:tcW w:w="1060" w:type="dxa"/>
            <w:vAlign w:val="bottom"/>
            <w:tcBorders>
              <w:top w:val="single" w:sz="8" w:color="CCEEFF"/>
            </w:tcBorders>
          </w:tcPr>
          <w:p>
            <w:pPr>
              <w:spacing w:after="0" w:line="20" w:lineRule="exact"/>
              <w:rPr>
                <w:sz w:val="1"/>
                <w:szCs w:val="1"/>
                <w:color w:val="auto"/>
              </w:rPr>
            </w:pPr>
          </w:p>
        </w:tc>
        <w:tc>
          <w:tcPr>
            <w:tcW w:w="29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investments and policy loans at amortized cost: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Policy loans</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13,472,198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Insurance assignments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48,406,690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Federal Home Loan Bank stock (2)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2,350,500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investments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9,826,523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4040" w:type="dxa"/>
            <w:vAlign w:val="bottom"/>
            <w:gridSpan w:val="2"/>
          </w:tcPr>
          <w:p>
            <w:pPr>
              <w:ind w:left="360"/>
              <w:spacing w:after="0" w:line="198" w:lineRule="exact"/>
              <w:rPr>
                <w:sz w:val="20"/>
                <w:szCs w:val="20"/>
                <w:color w:val="auto"/>
              </w:rPr>
            </w:pPr>
            <w:r>
              <w:rPr>
                <w:rFonts w:ascii="Times New Roman" w:cs="Times New Roman" w:eastAsia="Times New Roman" w:hAnsi="Times New Roman"/>
                <w:sz w:val="18"/>
                <w:szCs w:val="18"/>
                <w:color w:val="auto"/>
              </w:rPr>
              <w:t>Less: Allowance for credit losses for insurance</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55"/>
        </w:trPr>
        <w:tc>
          <w:tcPr>
            <w:tcW w:w="40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assignments</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(1,535,324)</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16"/>
        </w:trPr>
        <w:tc>
          <w:tcPr>
            <w:tcW w:w="1060" w:type="dxa"/>
            <w:vAlign w:val="bottom"/>
            <w:tcBorders>
              <w:top w:val="single" w:sz="8" w:color="CCEEFF"/>
            </w:tcBorders>
            <w:shd w:val="clear" w:color="auto" w:fill="CCEEFF"/>
          </w:tcPr>
          <w:p>
            <w:pPr>
              <w:spacing w:after="0"/>
              <w:rPr>
                <w:sz w:val="18"/>
                <w:szCs w:val="18"/>
                <w:color w:val="auto"/>
              </w:rPr>
            </w:pPr>
          </w:p>
        </w:tc>
        <w:tc>
          <w:tcPr>
            <w:tcW w:w="29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83"/>
        </w:trPr>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other investments and policy loans</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72,520,587</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1060" w:type="dxa"/>
            <w:vAlign w:val="bottom"/>
            <w:tcBorders>
              <w:top w:val="single" w:sz="8" w:color="CCEEFF"/>
            </w:tcBorders>
            <w:shd w:val="clear" w:color="auto" w:fill="CCEEFF"/>
          </w:tcPr>
          <w:p>
            <w:pPr>
              <w:spacing w:after="0"/>
              <w:rPr>
                <w:sz w:val="17"/>
                <w:szCs w:val="17"/>
                <w:color w:val="auto"/>
              </w:rPr>
            </w:pPr>
          </w:p>
        </w:tc>
        <w:tc>
          <w:tcPr>
            <w:tcW w:w="29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83"/>
        </w:trPr>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investment income</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8,838,006</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1060" w:type="dxa"/>
            <w:vAlign w:val="bottom"/>
            <w:tcBorders>
              <w:top w:val="single" w:sz="8" w:color="CCEEFF"/>
            </w:tcBorders>
            <w:shd w:val="clear" w:color="auto" w:fill="CCEEFF"/>
          </w:tcPr>
          <w:p>
            <w:pPr>
              <w:spacing w:after="0"/>
              <w:rPr>
                <w:sz w:val="17"/>
                <w:szCs w:val="17"/>
                <w:color w:val="auto"/>
              </w:rPr>
            </w:pPr>
          </w:p>
        </w:tc>
        <w:tc>
          <w:tcPr>
            <w:tcW w:w="29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bl>
    <w:p>
      <w:pPr>
        <w:sectPr>
          <w:pgSz w:w="11900" w:h="16838" w:orient="portrait"/>
          <w:cols w:equalWidth="0" w:num="1">
            <w:col w:w="11240"/>
          </w:cols>
          <w:pgMar w:left="320" w:top="661" w:right="339" w:bottom="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Total investments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919,410,513</w:t>
            </w:r>
          </w:p>
        </w:tc>
      </w:tr>
      <w:tr>
        <w:trPr>
          <w:trHeight w:val="27"/>
        </w:trPr>
        <w:tc>
          <w:tcPr>
            <w:tcW w:w="418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41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ind w:left="660" w:hanging="652"/>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unrealized losses are net of allowance for credit losses</w:t>
      </w:r>
    </w:p>
    <w:p>
      <w:pPr>
        <w:spacing w:after="0" w:line="2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$553,900 of Membership stock and $1,796,600 of Activity stock attributable to short-term borrowings and letters of credit.</w:t>
      </w:r>
    </w:p>
    <w:p>
      <w:pPr>
        <w:spacing w:after="0" w:line="32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60"/>
          </w:cols>
          <w:pgMar w:left="320" w:top="121" w:right="1419" w:bottom="1440" w:gutter="0" w:footer="0" w:header="0"/>
        </w:sectPr>
      </w:pPr>
    </w:p>
    <w:bookmarkStart w:id="14" w:name="page15"/>
    <w:bookmarkEnd w:id="14"/>
    <w:p>
      <w:pPr>
        <w:ind w:left="2700"/>
        <w:spacing w:after="0"/>
        <w:rPr>
          <w:sz w:val="20"/>
          <w:szCs w:val="20"/>
          <w:color w:val="auto"/>
        </w:rPr>
      </w:pPr>
      <w:r>
        <w:rPr>
          <w:rFonts w:ascii="Times New Roman" w:cs="Times New Roman" w:eastAsia="Times New Roman" w:hAnsi="Times New Roman"/>
          <w:sz w:val="18"/>
          <w:szCs w:val="18"/>
          <w:color w:val="auto"/>
        </w:rPr>
        <w:t>SECURITY NATIONAL FINANCIAL CORPORATION AND SUBSIDIARIES</w:t>
      </w:r>
    </w:p>
    <w:p>
      <w:pPr>
        <w:spacing w:after="0" w:line="27"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p>
      <w:pPr>
        <w:spacing w:after="0" w:line="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June 30, 2024 (Unaudited)</w:t>
      </w:r>
    </w:p>
    <w:p>
      <w:pPr>
        <w:spacing w:after="0" w:line="207" w:lineRule="exact"/>
        <w:rPr>
          <w:sz w:val="20"/>
          <w:szCs w:val="20"/>
          <w:color w:val="auto"/>
        </w:rPr>
      </w:pPr>
    </w:p>
    <w:p>
      <w:pPr>
        <w:ind w:left="200" w:hanging="192"/>
        <w:spacing w:after="0"/>
        <w:tabs>
          <w:tab w:leader="none" w:pos="2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investments as of December 31, 2023 are summarized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Gross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9"/>
              </w:rPr>
              <w:t>Gross</w:t>
            </w: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4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Amortized</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8"/>
              </w:rPr>
              <w:t>Unrealized</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8"/>
              </w:rPr>
              <w:t>Unrealized</w:t>
            </w:r>
          </w:p>
        </w:tc>
        <w:tc>
          <w:tcPr>
            <w:tcW w:w="142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Allowance for</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8"/>
              </w:rPr>
              <w:t>Estimated Fair</w:t>
            </w:r>
          </w:p>
        </w:tc>
      </w:tr>
      <w:tr>
        <w:trPr>
          <w:trHeight w:val="241"/>
        </w:trPr>
        <w:tc>
          <w:tcPr>
            <w:tcW w:w="148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Cost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Gains</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9"/>
              </w:rPr>
              <w:t>Losses (1)</w:t>
            </w:r>
          </w:p>
        </w:tc>
        <w:tc>
          <w:tcPr>
            <w:tcW w:w="142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Credit Losses</w:t>
            </w:r>
          </w:p>
        </w:tc>
        <w:tc>
          <w:tcPr>
            <w:tcW w:w="160" w:type="dxa"/>
            <w:vAlign w:val="bottom"/>
          </w:tcPr>
          <w:p>
            <w:pPr>
              <w:spacing w:after="0"/>
              <w:rPr>
                <w:sz w:val="20"/>
                <w:szCs w:val="20"/>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2"/>
              </w:rPr>
              <w:t>Value</w:t>
            </w:r>
          </w:p>
        </w:tc>
      </w:tr>
      <w:tr>
        <w:trPr>
          <w:trHeight w:val="196"/>
        </w:trPr>
        <w:tc>
          <w:tcPr>
            <w:tcW w:w="1480" w:type="dxa"/>
            <w:vAlign w:val="bottom"/>
            <w:tcBorders>
              <w:top w:val="single" w:sz="8" w:color="CCEEFF"/>
              <w:bottom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w w:val="99"/>
              </w:rPr>
              <w:t>December 31, 2023:</w:t>
            </w:r>
          </w:p>
        </w:tc>
        <w:tc>
          <w:tcPr>
            <w:tcW w:w="25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CCEEFF"/>
            </w:tcBorders>
            <w:shd w:val="clear" w:color="auto" w:fill="CCEEFF"/>
          </w:tcPr>
          <w:p>
            <w:pPr>
              <w:spacing w:after="0"/>
              <w:rPr>
                <w:sz w:val="17"/>
                <w:szCs w:val="17"/>
                <w:color w:val="auto"/>
              </w:rPr>
            </w:pPr>
          </w:p>
        </w:tc>
        <w:tc>
          <w:tcPr>
            <w:tcW w:w="1000" w:type="dxa"/>
            <w:vAlign w:val="bottom"/>
            <w:tcBorders>
              <w:top w:val="single" w:sz="8" w:color="auto"/>
              <w:bottom w:val="single" w:sz="8" w:color="CCEEFF"/>
            </w:tcBorders>
            <w:shd w:val="clear" w:color="auto" w:fill="CCEEFF"/>
          </w:tcPr>
          <w:p>
            <w:pPr>
              <w:spacing w:after="0"/>
              <w:rPr>
                <w:sz w:val="17"/>
                <w:szCs w:val="17"/>
                <w:color w:val="auto"/>
              </w:rPr>
            </w:pP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CCEEFF"/>
            </w:tcBorders>
            <w:shd w:val="clear" w:color="auto" w:fill="CCEEFF"/>
          </w:tcPr>
          <w:p>
            <w:pPr>
              <w:spacing w:after="0"/>
              <w:rPr>
                <w:sz w:val="17"/>
                <w:szCs w:val="17"/>
                <w:color w:val="auto"/>
              </w:rPr>
            </w:pPr>
          </w:p>
        </w:tc>
        <w:tc>
          <w:tcPr>
            <w:tcW w:w="1000" w:type="dxa"/>
            <w:vAlign w:val="bottom"/>
            <w:tcBorders>
              <w:top w:val="single" w:sz="8" w:color="auto"/>
              <w:bottom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CCEEFF"/>
            </w:tcBorders>
            <w:shd w:val="clear" w:color="auto" w:fill="CCEEFF"/>
          </w:tcPr>
          <w:p>
            <w:pPr>
              <w:spacing w:after="0"/>
              <w:rPr>
                <w:sz w:val="17"/>
                <w:szCs w:val="17"/>
                <w:color w:val="auto"/>
              </w:rPr>
            </w:pPr>
          </w:p>
        </w:tc>
        <w:tc>
          <w:tcPr>
            <w:tcW w:w="980" w:type="dxa"/>
            <w:vAlign w:val="bottom"/>
            <w:tcBorders>
              <w:top w:val="single" w:sz="8" w:color="auto"/>
              <w:bottom w:val="single" w:sz="8" w:color="CCEEFF"/>
            </w:tcBorders>
            <w:shd w:val="clear" w:color="auto" w:fill="CCEEFF"/>
          </w:tcPr>
          <w:p>
            <w:pPr>
              <w:spacing w:after="0"/>
              <w:rPr>
                <w:sz w:val="17"/>
                <w:szCs w:val="17"/>
                <w:color w:val="auto"/>
              </w:rPr>
            </w:pP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CCEEFF"/>
            </w:tcBorders>
            <w:shd w:val="clear" w:color="auto" w:fill="CCEEFF"/>
          </w:tcPr>
          <w:p>
            <w:pPr>
              <w:spacing w:after="0"/>
              <w:rPr>
                <w:sz w:val="17"/>
                <w:szCs w:val="17"/>
                <w:color w:val="auto"/>
              </w:rPr>
            </w:pPr>
          </w:p>
        </w:tc>
        <w:tc>
          <w:tcPr>
            <w:tcW w:w="820" w:type="dxa"/>
            <w:vAlign w:val="bottom"/>
            <w:tcBorders>
              <w:top w:val="single" w:sz="8" w:color="auto"/>
              <w:bottom w:val="single" w:sz="8" w:color="CCEEFF"/>
            </w:tcBorders>
            <w:shd w:val="clear" w:color="auto" w:fill="CCEEFF"/>
          </w:tcPr>
          <w:p>
            <w:pPr>
              <w:spacing w:after="0"/>
              <w:rPr>
                <w:sz w:val="17"/>
                <w:szCs w:val="17"/>
                <w:color w:val="auto"/>
              </w:rPr>
            </w:pPr>
          </w:p>
        </w:tc>
        <w:tc>
          <w:tcPr>
            <w:tcW w:w="32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CCEEFF"/>
            </w:tcBorders>
            <w:shd w:val="clear" w:color="auto" w:fill="CCEEFF"/>
          </w:tcPr>
          <w:p>
            <w:pPr>
              <w:spacing w:after="0"/>
              <w:rPr>
                <w:sz w:val="17"/>
                <w:szCs w:val="17"/>
                <w:color w:val="auto"/>
              </w:rPr>
            </w:pPr>
          </w:p>
        </w:tc>
        <w:tc>
          <w:tcPr>
            <w:tcW w:w="960" w:type="dxa"/>
            <w:vAlign w:val="bottom"/>
            <w:tcBorders>
              <w:top w:val="single" w:sz="8" w:color="auto"/>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198"/>
        </w:trPr>
        <w:tc>
          <w:tcPr>
            <w:tcW w:w="40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Fixed maturity securities, available for sale, at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estimated fair value:</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4060" w:type="dxa"/>
            <w:vAlign w:val="bottom"/>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U.S. Treasury securities and obligations of U.S.</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40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Government agencies</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111,450,753</w:t>
            </w: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344,425</w:t>
            </w:r>
          </w:p>
        </w:tc>
        <w:tc>
          <w:tcPr>
            <w:tcW w:w="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(1,416,448)</w:t>
            </w:r>
          </w:p>
        </w:tc>
        <w:tc>
          <w:tcPr>
            <w:tcW w:w="28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110,378,730</w:t>
            </w:r>
          </w:p>
        </w:tc>
      </w:tr>
      <w:tr>
        <w:trPr>
          <w:trHeight w:val="216"/>
        </w:trPr>
        <w:tc>
          <w:tcPr>
            <w:tcW w:w="14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6,524,083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500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(319,260)</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6,205,323</w:t>
            </w:r>
          </w:p>
        </w:tc>
      </w:tr>
      <w:tr>
        <w:trPr>
          <w:trHeight w:val="216"/>
        </w:trPr>
        <w:tc>
          <w:tcPr>
            <w:tcW w:w="14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 securities including public utilities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232,299,727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3,688,642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(7,145,507)</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(308,500)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228,534,362</w:t>
            </w:r>
          </w:p>
        </w:tc>
      </w:tr>
      <w:tr>
        <w:trPr>
          <w:trHeight w:val="216"/>
        </w:trPr>
        <w:tc>
          <w:tcPr>
            <w:tcW w:w="14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40,359,878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506,647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(4,702,905)</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(6,049)</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36,157,571</w:t>
            </w:r>
          </w:p>
        </w:tc>
      </w:tr>
      <w:tr>
        <w:trPr>
          <w:trHeight w:val="216"/>
        </w:trPr>
        <w:tc>
          <w:tcPr>
            <w:tcW w:w="14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40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Redeemable preferred stock</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250,000</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10,000</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260,000</w:t>
            </w:r>
          </w:p>
        </w:tc>
      </w:tr>
      <w:tr>
        <w:trPr>
          <w:trHeight w:val="243"/>
        </w:trPr>
        <w:tc>
          <w:tcPr>
            <w:tcW w:w="1480" w:type="dxa"/>
            <w:vAlign w:val="bottom"/>
            <w:tcBorders>
              <w:top w:val="single" w:sz="8" w:color="CCEEFF"/>
            </w:tcBorders>
          </w:tcPr>
          <w:p>
            <w:pPr>
              <w:spacing w:after="0"/>
              <w:rPr>
                <w:sz w:val="21"/>
                <w:szCs w:val="21"/>
                <w:color w:val="auto"/>
              </w:rPr>
            </w:pPr>
          </w:p>
        </w:tc>
        <w:tc>
          <w:tcPr>
            <w:tcW w:w="258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340" w:type="dxa"/>
            <w:vAlign w:val="bottom"/>
            <w:tcBorders>
              <w:top w:val="single" w:sz="8" w:color="CCEEFF"/>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320" w:type="dxa"/>
            <w:vAlign w:val="bottom"/>
            <w:tcBorders>
              <w:top w:val="single" w:sz="8" w:color="CCEEFF"/>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r>
      <w:tr>
        <w:trPr>
          <w:trHeight w:val="243"/>
        </w:trPr>
        <w:tc>
          <w:tcPr>
            <w:tcW w:w="40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fixed maturity securities available for sale</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390,884,441</w:t>
            </w: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4,550,214</w:t>
            </w:r>
          </w:p>
        </w:tc>
        <w:tc>
          <w:tcPr>
            <w:tcW w:w="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(13,584,120)</w:t>
            </w:r>
          </w:p>
        </w:tc>
        <w:tc>
          <w:tcPr>
            <w:tcW w:w="28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(314,549)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381,535,986</w:t>
            </w:r>
          </w:p>
        </w:tc>
      </w:tr>
      <w:tr>
        <w:trPr>
          <w:trHeight w:val="20"/>
        </w:trPr>
        <w:tc>
          <w:tcPr>
            <w:tcW w:w="1480" w:type="dxa"/>
            <w:vAlign w:val="bottom"/>
            <w:tcBorders>
              <w:top w:val="single" w:sz="8" w:color="CCEEFF"/>
            </w:tcBorders>
          </w:tcPr>
          <w:p>
            <w:pPr>
              <w:spacing w:after="0" w:line="20" w:lineRule="exact"/>
              <w:rPr>
                <w:sz w:val="1"/>
                <w:szCs w:val="1"/>
                <w:color w:val="auto"/>
              </w:rPr>
            </w:pPr>
          </w:p>
        </w:tc>
        <w:tc>
          <w:tcPr>
            <w:tcW w:w="2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6"/>
        </w:trPr>
        <w:tc>
          <w:tcPr>
            <w:tcW w:w="148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securities at estimated fair value:</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4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4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Industrial, miscellaneous and all other</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10,571,505</w:t>
            </w: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3,504,141</w:t>
            </w:r>
          </w:p>
        </w:tc>
        <w:tc>
          <w:tcPr>
            <w:tcW w:w="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(439,575)</w:t>
            </w:r>
          </w:p>
        </w:tc>
        <w:tc>
          <w:tcPr>
            <w:tcW w:w="2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13,636,071</w:t>
            </w:r>
          </w:p>
        </w:tc>
      </w:tr>
      <w:tr>
        <w:trPr>
          <w:trHeight w:val="216"/>
        </w:trPr>
        <w:tc>
          <w:tcPr>
            <w:tcW w:w="1480" w:type="dxa"/>
            <w:vAlign w:val="bottom"/>
            <w:tcBorders>
              <w:top w:val="single" w:sz="8" w:color="CCEEFF"/>
            </w:tcBorders>
          </w:tcPr>
          <w:p>
            <w:pPr>
              <w:spacing w:after="0"/>
              <w:rPr>
                <w:sz w:val="18"/>
                <w:szCs w:val="18"/>
                <w:color w:val="auto"/>
              </w:rPr>
            </w:pPr>
          </w:p>
        </w:tc>
        <w:tc>
          <w:tcPr>
            <w:tcW w:w="25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43"/>
        </w:trPr>
        <w:tc>
          <w:tcPr>
            <w:tcW w:w="40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equity securities at estimated fair value</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10,571,505</w:t>
            </w: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3,504,141</w:t>
            </w:r>
          </w:p>
        </w:tc>
        <w:tc>
          <w:tcPr>
            <w:tcW w:w="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(439,575)</w:t>
            </w:r>
          </w:p>
        </w:tc>
        <w:tc>
          <w:tcPr>
            <w:tcW w:w="28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13,636,071</w:t>
            </w:r>
          </w:p>
        </w:tc>
      </w:tr>
      <w:tr>
        <w:trPr>
          <w:trHeight w:val="20"/>
        </w:trPr>
        <w:tc>
          <w:tcPr>
            <w:tcW w:w="1480" w:type="dxa"/>
            <w:vAlign w:val="bottom"/>
            <w:tcBorders>
              <w:top w:val="single" w:sz="8" w:color="CCEEFF"/>
            </w:tcBorders>
          </w:tcPr>
          <w:p>
            <w:pPr>
              <w:spacing w:after="0" w:line="20" w:lineRule="exact"/>
              <w:rPr>
                <w:sz w:val="1"/>
                <w:szCs w:val="1"/>
                <w:color w:val="auto"/>
              </w:rPr>
            </w:pPr>
          </w:p>
        </w:tc>
        <w:tc>
          <w:tcPr>
            <w:tcW w:w="2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6"/>
        </w:trPr>
        <w:tc>
          <w:tcPr>
            <w:tcW w:w="148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 loans held for investment at amortized cost: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Residential</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103,153,587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Residential construction</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104,052,748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Commercial</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74,176,538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Less: Unamortized deferred loan fees, net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(1,623,226)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(3,818,653)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40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Less: Net discounts</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(324,157)</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1480" w:type="dxa"/>
            <w:vAlign w:val="bottom"/>
            <w:tcBorders>
              <w:top w:val="single" w:sz="8" w:color="CCEEFF"/>
            </w:tcBorders>
          </w:tcPr>
          <w:p>
            <w:pPr>
              <w:spacing w:after="0"/>
              <w:rPr>
                <w:sz w:val="18"/>
                <w:szCs w:val="18"/>
                <w:color w:val="auto"/>
              </w:rPr>
            </w:pPr>
          </w:p>
        </w:tc>
        <w:tc>
          <w:tcPr>
            <w:tcW w:w="25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43"/>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mortgage loans held for investment</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275,616,837</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0"/>
        </w:trPr>
        <w:tc>
          <w:tcPr>
            <w:tcW w:w="1480" w:type="dxa"/>
            <w:vAlign w:val="bottom"/>
            <w:tcBorders>
              <w:top w:val="single" w:sz="8" w:color="CCEEFF"/>
            </w:tcBorders>
          </w:tcPr>
          <w:p>
            <w:pPr>
              <w:spacing w:after="0" w:line="20" w:lineRule="exact"/>
              <w:rPr>
                <w:sz w:val="1"/>
                <w:szCs w:val="1"/>
                <w:color w:val="auto"/>
              </w:rPr>
            </w:pPr>
          </w:p>
        </w:tc>
        <w:tc>
          <w:tcPr>
            <w:tcW w:w="2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6"/>
        </w:trPr>
        <w:tc>
          <w:tcPr>
            <w:tcW w:w="148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8"/>
        </w:trPr>
        <w:tc>
          <w:tcPr>
            <w:tcW w:w="40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Real estate held for investment - net of accumulated</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40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Residential</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40,924,865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40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Commercial</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142,494,427</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1480" w:type="dxa"/>
            <w:vAlign w:val="bottom"/>
            <w:tcBorders>
              <w:top w:val="single" w:sz="8" w:color="CCEEFF"/>
            </w:tcBorders>
          </w:tcPr>
          <w:p>
            <w:pPr>
              <w:spacing w:after="0"/>
              <w:rPr>
                <w:sz w:val="18"/>
                <w:szCs w:val="18"/>
                <w:color w:val="auto"/>
              </w:rPr>
            </w:pPr>
          </w:p>
        </w:tc>
        <w:tc>
          <w:tcPr>
            <w:tcW w:w="25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43"/>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real estate held for investment</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183,419,292</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0"/>
        </w:trPr>
        <w:tc>
          <w:tcPr>
            <w:tcW w:w="1480" w:type="dxa"/>
            <w:vAlign w:val="bottom"/>
            <w:tcBorders>
              <w:top w:val="single" w:sz="8" w:color="CCEEFF"/>
            </w:tcBorders>
          </w:tcPr>
          <w:p>
            <w:pPr>
              <w:spacing w:after="0" w:line="20" w:lineRule="exact"/>
              <w:rPr>
                <w:sz w:val="1"/>
                <w:szCs w:val="1"/>
                <w:color w:val="auto"/>
              </w:rPr>
            </w:pPr>
          </w:p>
        </w:tc>
        <w:tc>
          <w:tcPr>
            <w:tcW w:w="2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6"/>
        </w:trPr>
        <w:tc>
          <w:tcPr>
            <w:tcW w:w="148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 estate held for sale:</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Residential</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40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Commercial</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3,028,973</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1480" w:type="dxa"/>
            <w:vAlign w:val="bottom"/>
            <w:tcBorders>
              <w:top w:val="single" w:sz="8" w:color="CCEEFF"/>
            </w:tcBorders>
          </w:tcPr>
          <w:p>
            <w:pPr>
              <w:spacing w:after="0"/>
              <w:rPr>
                <w:sz w:val="18"/>
                <w:szCs w:val="18"/>
                <w:color w:val="auto"/>
              </w:rPr>
            </w:pPr>
          </w:p>
        </w:tc>
        <w:tc>
          <w:tcPr>
            <w:tcW w:w="25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43"/>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real estate held for sale</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3,028,973</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0"/>
        </w:trPr>
        <w:tc>
          <w:tcPr>
            <w:tcW w:w="1480" w:type="dxa"/>
            <w:vAlign w:val="bottom"/>
            <w:tcBorders>
              <w:top w:val="single" w:sz="8" w:color="CCEEFF"/>
            </w:tcBorders>
          </w:tcPr>
          <w:p>
            <w:pPr>
              <w:spacing w:after="0" w:line="20" w:lineRule="exact"/>
              <w:rPr>
                <w:sz w:val="1"/>
                <w:szCs w:val="1"/>
                <w:color w:val="auto"/>
              </w:rPr>
            </w:pPr>
          </w:p>
        </w:tc>
        <w:tc>
          <w:tcPr>
            <w:tcW w:w="2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148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investments and policy loans at amortized cost: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Policy loans</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13,264,183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Insurance assignments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45,605,322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Federal Home Loan Bank stock (2)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2,279,800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investments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9,809,148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4060" w:type="dxa"/>
            <w:vAlign w:val="bottom"/>
            <w:gridSpan w:val="2"/>
          </w:tcPr>
          <w:p>
            <w:pPr>
              <w:ind w:left="360"/>
              <w:spacing w:after="0" w:line="198" w:lineRule="exact"/>
              <w:rPr>
                <w:sz w:val="20"/>
                <w:szCs w:val="20"/>
                <w:color w:val="auto"/>
              </w:rPr>
            </w:pPr>
            <w:r>
              <w:rPr>
                <w:rFonts w:ascii="Times New Roman" w:cs="Times New Roman" w:eastAsia="Times New Roman" w:hAnsi="Times New Roman"/>
                <w:sz w:val="18"/>
                <w:szCs w:val="18"/>
                <w:color w:val="auto"/>
              </w:rPr>
              <w:t>Less: Allowance for credit losses for insurance</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55"/>
        </w:trPr>
        <w:tc>
          <w:tcPr>
            <w:tcW w:w="40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assignments</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(1,553,836)</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16"/>
        </w:trPr>
        <w:tc>
          <w:tcPr>
            <w:tcW w:w="148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83"/>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policy loans and other investments</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69,404,617</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1480" w:type="dxa"/>
            <w:vAlign w:val="bottom"/>
            <w:tcBorders>
              <w:top w:val="single" w:sz="8" w:color="CCEEFF"/>
            </w:tcBorders>
            <w:shd w:val="clear" w:color="auto" w:fill="CCEEFF"/>
          </w:tcPr>
          <w:p>
            <w:pPr>
              <w:spacing w:after="0"/>
              <w:rPr>
                <w:sz w:val="17"/>
                <w:szCs w:val="17"/>
                <w:color w:val="auto"/>
              </w:rPr>
            </w:pPr>
          </w:p>
        </w:tc>
        <w:tc>
          <w:tcPr>
            <w:tcW w:w="25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83"/>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investment income</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10,170,790</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1480" w:type="dxa"/>
            <w:vAlign w:val="bottom"/>
            <w:tcBorders>
              <w:top w:val="single" w:sz="8" w:color="CCEEFF"/>
            </w:tcBorders>
            <w:shd w:val="clear" w:color="auto" w:fill="CCEEFF"/>
          </w:tcPr>
          <w:p>
            <w:pPr>
              <w:spacing w:after="0"/>
              <w:rPr>
                <w:sz w:val="17"/>
                <w:szCs w:val="17"/>
                <w:color w:val="auto"/>
              </w:rPr>
            </w:pPr>
          </w:p>
        </w:tc>
        <w:tc>
          <w:tcPr>
            <w:tcW w:w="25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bl>
    <w:p>
      <w:pPr>
        <w:sectPr>
          <w:pgSz w:w="11900" w:h="16838" w:orient="portrait"/>
          <w:cols w:equalWidth="0" w:num="1">
            <w:col w:w="11240"/>
          </w:cols>
          <w:pgMar w:left="320" w:top="661" w:right="339" w:bottom="0"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Total investments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936,812,566</w:t>
            </w:r>
          </w:p>
        </w:tc>
      </w:tr>
      <w:tr>
        <w:trPr>
          <w:trHeight w:val="27"/>
        </w:trPr>
        <w:tc>
          <w:tcPr>
            <w:tcW w:w="418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41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ind w:left="360" w:hanging="292"/>
        <w:spacing w:after="0"/>
        <w:tabs>
          <w:tab w:leader="none" w:pos="3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unrealized losses are net of allowance for credit losses</w:t>
      </w:r>
    </w:p>
    <w:p>
      <w:pPr>
        <w:spacing w:after="0" w:line="117" w:lineRule="exact"/>
        <w:rPr>
          <w:rFonts w:ascii="Times New Roman" w:cs="Times New Roman" w:eastAsia="Times New Roman" w:hAnsi="Times New Roman"/>
          <w:sz w:val="18"/>
          <w:szCs w:val="18"/>
          <w:color w:val="auto"/>
        </w:rPr>
      </w:pPr>
    </w:p>
    <w:p>
      <w:pPr>
        <w:ind w:left="360" w:hanging="292"/>
        <w:spacing w:after="0"/>
        <w:tabs>
          <w:tab w:leader="none" w:pos="36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$530,900 of Membership stock and $1,748,900 of Activity stock due to short-term advances and letters of credit.</w:t>
      </w:r>
    </w:p>
    <w:p>
      <w:pPr>
        <w:spacing w:after="0" w:line="34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16" w:name="page17"/>
    <w:bookmarkEnd w:id="16"/>
    <w:p>
      <w:pPr>
        <w:ind w:left="2700"/>
        <w:spacing w:after="0"/>
        <w:rPr>
          <w:sz w:val="20"/>
          <w:szCs w:val="20"/>
          <w:color w:val="auto"/>
        </w:rPr>
      </w:pPr>
      <w:r>
        <w:rPr>
          <w:rFonts w:ascii="Times New Roman" w:cs="Times New Roman" w:eastAsia="Times New Roman" w:hAnsi="Times New Roman"/>
          <w:sz w:val="18"/>
          <w:szCs w:val="18"/>
          <w:color w:val="auto"/>
        </w:rPr>
        <w:t>SECURITY NATIONAL FINANCIAL CORPORATION AND SUBSIDIARIES</w:t>
      </w:r>
    </w:p>
    <w:p>
      <w:pPr>
        <w:spacing w:after="0" w:line="27"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p>
      <w:pPr>
        <w:spacing w:after="0" w:line="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June 30, 2024 (Unaudited)</w:t>
      </w:r>
    </w:p>
    <w:p>
      <w:pPr>
        <w:spacing w:after="0" w:line="207" w:lineRule="exact"/>
        <w:rPr>
          <w:sz w:val="20"/>
          <w:szCs w:val="20"/>
          <w:color w:val="auto"/>
        </w:rPr>
      </w:pPr>
    </w:p>
    <w:p>
      <w:pPr>
        <w:ind w:left="200" w:hanging="192"/>
        <w:spacing w:after="0"/>
        <w:tabs>
          <w:tab w:leader="none" w:pos="2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no investments, aggregated by issuer, of more than 10% of shareholders’ equity (before net unrealized gains and losses on equity securities and fixed maturity securities) as of June 30, 2024, other than investments issued or guaranteed by the United States Government.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Fixed Maturity Securities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table below summarizes unrealized losses on fixed maturity securities available for sale that were carried at estimated fair value as of June 30, 2024 and December 31, 2023. The fair values of fixed maturity securities are based on quoted market prices, when available. For fixed maturity securities not actively traded, fair values are estimated using values obtained from independent pricing services, or in the case of private placements, are estimated by discounting expected future cash flows using a current market value applicable to the coupon rate, credit and maturity of the investments. The table below sets forth unrealized losses by duration with the fair value of the related fixed maturity securities.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240" w:type="dxa"/>
            <w:vAlign w:val="bottom"/>
            <w:gridSpan w:val="4"/>
          </w:tcPr>
          <w:p>
            <w:pPr>
              <w:ind w:left="300"/>
              <w:spacing w:after="0"/>
              <w:rPr>
                <w:sz w:val="20"/>
                <w:szCs w:val="20"/>
                <w:color w:val="auto"/>
              </w:rPr>
            </w:pPr>
            <w:r>
              <w:rPr>
                <w:rFonts w:ascii="Times New Roman" w:cs="Times New Roman" w:eastAsia="Times New Roman" w:hAnsi="Times New Roman"/>
                <w:sz w:val="18"/>
                <w:szCs w:val="18"/>
                <w:color w:val="auto"/>
              </w:rPr>
              <w:t>Unrealized</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color w:val="auto"/>
              </w:rPr>
              <w:t>Unrealized</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Losses for</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color w:val="auto"/>
              </w:rPr>
              <w:t>Losses for</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w w:val="99"/>
              </w:rPr>
              <w:t>Less than</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color w:val="auto"/>
              </w:rPr>
              <w:t>More than</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Total</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6"/>
              </w:rPr>
              <w:t>Twelve</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6"/>
              </w:rPr>
              <w:t>Twelve</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w w:val="98"/>
              </w:rPr>
              <w:t>Unrealized</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Combined</w:t>
            </w:r>
          </w:p>
        </w:tc>
      </w:tr>
      <w:tr>
        <w:trPr>
          <w:trHeight w:val="241"/>
        </w:trPr>
        <w:tc>
          <w:tcPr>
            <w:tcW w:w="10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Months</w:t>
            </w:r>
          </w:p>
        </w:tc>
        <w:tc>
          <w:tcPr>
            <w:tcW w:w="140" w:type="dxa"/>
            <w:vAlign w:val="bottom"/>
          </w:tcPr>
          <w:p>
            <w:pPr>
              <w:spacing w:after="0"/>
              <w:rPr>
                <w:sz w:val="20"/>
                <w:szCs w:val="20"/>
                <w:color w:val="auto"/>
              </w:rPr>
            </w:pPr>
          </w:p>
        </w:tc>
        <w:tc>
          <w:tcPr>
            <w:tcW w:w="10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Fair Value</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rPr>
              <w:t>Months</w:t>
            </w:r>
          </w:p>
        </w:tc>
        <w:tc>
          <w:tcPr>
            <w:tcW w:w="100" w:type="dxa"/>
            <w:vAlign w:val="bottom"/>
          </w:tcPr>
          <w:p>
            <w:pPr>
              <w:spacing w:after="0"/>
              <w:rPr>
                <w:sz w:val="20"/>
                <w:szCs w:val="20"/>
                <w:color w:val="auto"/>
              </w:rPr>
            </w:pPr>
          </w:p>
        </w:tc>
        <w:tc>
          <w:tcPr>
            <w:tcW w:w="12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w w:val="99"/>
              </w:rPr>
              <w:t>Fair Value</w:t>
            </w:r>
          </w:p>
        </w:tc>
        <w:tc>
          <w:tcPr>
            <w:tcW w:w="100" w:type="dxa"/>
            <w:vAlign w:val="bottom"/>
          </w:tcPr>
          <w:p>
            <w:pPr>
              <w:spacing w:after="0"/>
              <w:rPr>
                <w:sz w:val="20"/>
                <w:szCs w:val="20"/>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Loss</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Fair Value</w:t>
            </w:r>
          </w:p>
        </w:tc>
      </w:tr>
      <w:tr>
        <w:trPr>
          <w:trHeight w:val="196"/>
        </w:trPr>
        <w:tc>
          <w:tcPr>
            <w:tcW w:w="1020" w:type="dxa"/>
            <w:vAlign w:val="bottom"/>
            <w:tcBorders>
              <w:top w:val="single" w:sz="8" w:color="CCEEFF"/>
              <w:bottom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w w:val="99"/>
              </w:rPr>
              <w:t>June 30, 2024</w:t>
            </w:r>
          </w:p>
        </w:tc>
        <w:tc>
          <w:tcPr>
            <w:tcW w:w="272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CCEEFF"/>
            </w:tcBorders>
            <w:shd w:val="clear" w:color="auto" w:fill="CCEEFF"/>
          </w:tcPr>
          <w:p>
            <w:pPr>
              <w:spacing w:after="0"/>
              <w:rPr>
                <w:sz w:val="17"/>
                <w:szCs w:val="17"/>
                <w:color w:val="auto"/>
              </w:rPr>
            </w:pPr>
          </w:p>
        </w:tc>
        <w:tc>
          <w:tcPr>
            <w:tcW w:w="680" w:type="dxa"/>
            <w:vAlign w:val="bottom"/>
            <w:tcBorders>
              <w:top w:val="single" w:sz="8" w:color="auto"/>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CCEEFF"/>
            </w:tcBorders>
            <w:shd w:val="clear" w:color="auto" w:fill="CCEEFF"/>
          </w:tcPr>
          <w:p>
            <w:pPr>
              <w:spacing w:after="0"/>
              <w:rPr>
                <w:sz w:val="17"/>
                <w:szCs w:val="17"/>
                <w:color w:val="auto"/>
              </w:rPr>
            </w:pPr>
          </w:p>
        </w:tc>
        <w:tc>
          <w:tcPr>
            <w:tcW w:w="820" w:type="dxa"/>
            <w:vAlign w:val="bottom"/>
            <w:tcBorders>
              <w:top w:val="single" w:sz="8" w:color="auto"/>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CCEEFF"/>
            </w:tcBorders>
            <w:shd w:val="clear" w:color="auto" w:fill="CCEEFF"/>
          </w:tcPr>
          <w:p>
            <w:pPr>
              <w:spacing w:after="0"/>
              <w:rPr>
                <w:sz w:val="17"/>
                <w:szCs w:val="17"/>
                <w:color w:val="auto"/>
              </w:rPr>
            </w:pPr>
          </w:p>
        </w:tc>
        <w:tc>
          <w:tcPr>
            <w:tcW w:w="820" w:type="dxa"/>
            <w:vAlign w:val="bottom"/>
            <w:tcBorders>
              <w:top w:val="single" w:sz="8" w:color="auto"/>
              <w:bottom w:val="single" w:sz="8" w:color="CCEEFF"/>
            </w:tcBorders>
            <w:shd w:val="clear" w:color="auto" w:fill="CCEEFF"/>
          </w:tcPr>
          <w:p>
            <w:pPr>
              <w:spacing w:after="0"/>
              <w:rPr>
                <w:sz w:val="17"/>
                <w:szCs w:val="17"/>
                <w:color w:val="auto"/>
              </w:rPr>
            </w:pP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CCEEFF"/>
            </w:tcBorders>
            <w:shd w:val="clear" w:color="auto" w:fill="CCEEFF"/>
          </w:tcPr>
          <w:p>
            <w:pPr>
              <w:spacing w:after="0"/>
              <w:rPr>
                <w:sz w:val="17"/>
                <w:szCs w:val="17"/>
                <w:color w:val="auto"/>
              </w:rPr>
            </w:pPr>
          </w:p>
        </w:tc>
        <w:tc>
          <w:tcPr>
            <w:tcW w:w="920" w:type="dxa"/>
            <w:vAlign w:val="bottom"/>
            <w:tcBorders>
              <w:top w:val="single" w:sz="8" w:color="auto"/>
              <w:bottom w:val="single" w:sz="8" w:color="CCEEFF"/>
            </w:tcBorders>
            <w:shd w:val="clear" w:color="auto" w:fill="CCEEFF"/>
          </w:tcPr>
          <w:p>
            <w:pPr>
              <w:spacing w:after="0"/>
              <w:rPr>
                <w:sz w:val="17"/>
                <w:szCs w:val="17"/>
                <w:color w:val="auto"/>
              </w:rPr>
            </w:pPr>
          </w:p>
        </w:tc>
        <w:tc>
          <w:tcPr>
            <w:tcW w:w="3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CCEEFF"/>
            </w:tcBorders>
            <w:shd w:val="clear" w:color="auto" w:fill="CCEEFF"/>
          </w:tcPr>
          <w:p>
            <w:pPr>
              <w:spacing w:after="0"/>
              <w:rPr>
                <w:sz w:val="17"/>
                <w:szCs w:val="17"/>
                <w:color w:val="auto"/>
              </w:rPr>
            </w:pPr>
          </w:p>
        </w:tc>
        <w:tc>
          <w:tcPr>
            <w:tcW w:w="800" w:type="dxa"/>
            <w:vAlign w:val="bottom"/>
            <w:tcBorders>
              <w:top w:val="single" w:sz="8" w:color="auto"/>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CCEEFF"/>
            </w:tcBorders>
            <w:shd w:val="clear" w:color="auto" w:fill="CCEEFF"/>
          </w:tcPr>
          <w:p>
            <w:pPr>
              <w:spacing w:after="0"/>
              <w:rPr>
                <w:sz w:val="17"/>
                <w:szCs w:val="17"/>
                <w:color w:val="auto"/>
              </w:rPr>
            </w:pPr>
          </w:p>
        </w:tc>
        <w:tc>
          <w:tcPr>
            <w:tcW w:w="920" w:type="dxa"/>
            <w:vAlign w:val="bottom"/>
            <w:tcBorders>
              <w:top w:val="single" w:sz="8" w:color="auto"/>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198"/>
        </w:trPr>
        <w:tc>
          <w:tcPr>
            <w:tcW w:w="374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U.S. Treasury securities and obligations of U.S.</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3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Government agencies</w:t>
            </w:r>
          </w:p>
        </w:tc>
        <w:tc>
          <w:tcPr>
            <w:tcW w:w="4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112,212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8"/>
              </w:rPr>
              <w:t>42,279,344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849,045</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22,526,803</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961,257</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64,806,147</w:t>
            </w:r>
          </w:p>
        </w:tc>
      </w:tr>
      <w:tr>
        <w:trPr>
          <w:trHeight w:val="216"/>
        </w:trPr>
        <w:tc>
          <w:tcPr>
            <w:tcW w:w="37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289,225</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5,291,113</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289,225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5,291,113</w:t>
            </w:r>
          </w:p>
        </w:tc>
      </w:tr>
      <w:tr>
        <w:trPr>
          <w:trHeight w:val="216"/>
        </w:trPr>
        <w:tc>
          <w:tcPr>
            <w:tcW w:w="3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Corporate securities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593,138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8"/>
              </w:rPr>
              <w:t>31,797,535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7,189,876</w:t>
            </w:r>
          </w:p>
        </w:tc>
        <w:tc>
          <w:tcPr>
            <w:tcW w:w="10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9"/>
              </w:rPr>
              <w:t>117,820,419</w:t>
            </w:r>
          </w:p>
        </w:tc>
        <w:tc>
          <w:tcPr>
            <w:tcW w:w="1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7,783,014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149,617,954</w:t>
            </w:r>
          </w:p>
        </w:tc>
      </w:tr>
      <w:tr>
        <w:trPr>
          <w:trHeight w:val="249"/>
        </w:trPr>
        <w:tc>
          <w:tcPr>
            <w:tcW w:w="37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9,481</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2,816,918</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4,440,164</w:t>
            </w: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22,812,836</w:t>
            </w:r>
          </w:p>
        </w:tc>
        <w:tc>
          <w:tcPr>
            <w:tcW w:w="10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4,449,645</w:t>
            </w: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25,629,754</w:t>
            </w:r>
          </w:p>
        </w:tc>
      </w:tr>
      <w:tr>
        <w:trPr>
          <w:trHeight w:val="257"/>
        </w:trPr>
        <w:tc>
          <w:tcPr>
            <w:tcW w:w="3740" w:type="dxa"/>
            <w:vAlign w:val="bottom"/>
            <w:tcBorders>
              <w:top w:val="single" w:sz="8" w:color="CCEEFF"/>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Totals</w:t>
            </w:r>
          </w:p>
        </w:tc>
        <w:tc>
          <w:tcPr>
            <w:tcW w:w="300" w:type="dxa"/>
            <w:vAlign w:val="bottom"/>
            <w:tcBorders>
              <w:top w:val="single" w:sz="8" w:color="CCEEFF"/>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714,831</w:t>
            </w:r>
          </w:p>
        </w:tc>
        <w:tc>
          <w:tcPr>
            <w:tcW w:w="160" w:type="dxa"/>
            <w:vAlign w:val="bottom"/>
            <w:tcBorders>
              <w:top w:val="single" w:sz="8" w:color="CCEEFF"/>
              <w:bottom w:val="single" w:sz="8" w:color="CCEEFF"/>
            </w:tcBorders>
          </w:tcPr>
          <w:p>
            <w:pPr>
              <w:spacing w:after="0"/>
              <w:rPr>
                <w:sz w:val="22"/>
                <w:szCs w:val="22"/>
                <w:color w:val="auto"/>
              </w:rPr>
            </w:pPr>
          </w:p>
        </w:tc>
        <w:tc>
          <w:tcPr>
            <w:tcW w:w="140" w:type="dxa"/>
            <w:vAlign w:val="bottom"/>
            <w:tcBorders>
              <w:top w:val="single" w:sz="8" w:color="CCEEFF"/>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76,893,797</w:t>
            </w:r>
          </w:p>
        </w:tc>
        <w:tc>
          <w:tcPr>
            <w:tcW w:w="160" w:type="dxa"/>
            <w:vAlign w:val="bottom"/>
            <w:tcBorders>
              <w:top w:val="single" w:sz="8" w:color="CCEEFF"/>
              <w:bottom w:val="single" w:sz="8" w:color="CCEEFF"/>
            </w:tcBorders>
          </w:tcPr>
          <w:p>
            <w:pPr>
              <w:spacing w:after="0"/>
              <w:rPr>
                <w:sz w:val="22"/>
                <w:szCs w:val="22"/>
                <w:color w:val="auto"/>
              </w:rPr>
            </w:pPr>
          </w:p>
        </w:tc>
        <w:tc>
          <w:tcPr>
            <w:tcW w:w="140" w:type="dxa"/>
            <w:vAlign w:val="bottom"/>
            <w:tcBorders>
              <w:top w:val="single" w:sz="8" w:color="CCEEFF"/>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12,768,310</w:t>
            </w:r>
          </w:p>
        </w:tc>
        <w:tc>
          <w:tcPr>
            <w:tcW w:w="300" w:type="dxa"/>
            <w:vAlign w:val="bottom"/>
            <w:tcBorders>
              <w:top w:val="single" w:sz="8" w:color="CCEEFF"/>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168,451,171</w:t>
            </w:r>
          </w:p>
        </w:tc>
        <w:tc>
          <w:tcPr>
            <w:tcW w:w="320" w:type="dxa"/>
            <w:vAlign w:val="bottom"/>
            <w:tcBorders>
              <w:top w:val="single" w:sz="8" w:color="CCEEFF"/>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13,483,141</w:t>
            </w:r>
          </w:p>
        </w:tc>
        <w:tc>
          <w:tcPr>
            <w:tcW w:w="160" w:type="dxa"/>
            <w:vAlign w:val="bottom"/>
            <w:tcBorders>
              <w:top w:val="single" w:sz="8" w:color="CCEEFF"/>
              <w:bottom w:val="single" w:sz="8" w:color="CCEEFF"/>
            </w:tcBorders>
          </w:tcPr>
          <w:p>
            <w:pPr>
              <w:spacing w:after="0"/>
              <w:rPr>
                <w:sz w:val="22"/>
                <w:szCs w:val="22"/>
                <w:color w:val="auto"/>
              </w:rPr>
            </w:pPr>
          </w:p>
        </w:tc>
        <w:tc>
          <w:tcPr>
            <w:tcW w:w="160" w:type="dxa"/>
            <w:vAlign w:val="bottom"/>
            <w:tcBorders>
              <w:top w:val="single" w:sz="8" w:color="CCEEFF"/>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245,344,968</w:t>
            </w:r>
          </w:p>
        </w:tc>
        <w:tc>
          <w:tcPr>
            <w:tcW w:w="100" w:type="dxa"/>
            <w:vAlign w:val="bottom"/>
            <w:tcBorders>
              <w:top w:val="single" w:sz="8" w:color="CCEEFF"/>
              <w:bottom w:val="single" w:sz="8" w:color="CCEEFF"/>
            </w:tcBorders>
          </w:tcPr>
          <w:p>
            <w:pPr>
              <w:spacing w:after="0"/>
              <w:rPr>
                <w:sz w:val="22"/>
                <w:szCs w:val="22"/>
                <w:color w:val="auto"/>
              </w:rPr>
            </w:pPr>
          </w:p>
        </w:tc>
      </w:tr>
      <w:tr>
        <w:trPr>
          <w:trHeight w:val="196"/>
        </w:trPr>
        <w:tc>
          <w:tcPr>
            <w:tcW w:w="10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76"/>
        </w:trPr>
        <w:tc>
          <w:tcPr>
            <w:tcW w:w="374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December 31, 2023</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102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8"/>
        </w:trPr>
        <w:tc>
          <w:tcPr>
            <w:tcW w:w="374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U.S. Treasury securities and obligations of U.S.</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37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Government agencies</w:t>
            </w:r>
          </w:p>
        </w:tc>
        <w:tc>
          <w:tcPr>
            <w:tcW w:w="4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29,394</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9,436,090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1,387,054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70,885,403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1,416,448</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80,321,493</w:t>
            </w:r>
          </w:p>
        </w:tc>
      </w:tr>
      <w:tr>
        <w:trPr>
          <w:trHeight w:val="216"/>
        </w:trPr>
        <w:tc>
          <w:tcPr>
            <w:tcW w:w="3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11,105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470,325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308,155</w:t>
            </w:r>
          </w:p>
        </w:tc>
        <w:tc>
          <w:tcPr>
            <w:tcW w:w="10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5,284,498</w:t>
            </w:r>
          </w:p>
        </w:tc>
        <w:tc>
          <w:tcPr>
            <w:tcW w:w="1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319,260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5,754,823</w:t>
            </w:r>
          </w:p>
        </w:tc>
      </w:tr>
      <w:tr>
        <w:trPr>
          <w:trHeight w:val="216"/>
        </w:trPr>
        <w:tc>
          <w:tcPr>
            <w:tcW w:w="37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securities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529,660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8"/>
              </w:rPr>
              <w:t>32,507,773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6,615,847</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9"/>
              </w:rPr>
              <w:t>107,556,216</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7,145,507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140,063,989</w:t>
            </w:r>
          </w:p>
        </w:tc>
      </w:tr>
      <w:tr>
        <w:trPr>
          <w:trHeight w:val="237"/>
        </w:trPr>
        <w:tc>
          <w:tcPr>
            <w:tcW w:w="3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29,799</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2,260,445</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4,673,106</w:t>
            </w:r>
          </w:p>
        </w:tc>
        <w:tc>
          <w:tcPr>
            <w:tcW w:w="100" w:type="dxa"/>
            <w:vAlign w:val="bottom"/>
          </w:tcPr>
          <w:p>
            <w:pPr>
              <w:spacing w:after="0"/>
              <w:rPr>
                <w:sz w:val="20"/>
                <w:szCs w:val="20"/>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22,184,174</w:t>
            </w:r>
          </w:p>
        </w:tc>
        <w:tc>
          <w:tcPr>
            <w:tcW w:w="10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4,702,905</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24,444,619</w:t>
            </w:r>
          </w:p>
        </w:tc>
      </w:tr>
      <w:tr>
        <w:trPr>
          <w:trHeight w:val="230"/>
        </w:trPr>
        <w:tc>
          <w:tcPr>
            <w:tcW w:w="374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Totals</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599,958</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44,674,633</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12,984,162</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205,910,291</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13,584,120</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250,584,924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0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Relevant holdings were comprised of 646 securities with fair values aggregating 94.8% of the aggregate amortized cost as of June 30, 2024. Relevant holdings were comprised of 606 securities with fair values aggregating 94.9% of the aggregate amortized cost as of December 31, 2023. Credit loss release of $16,289 and credit loss provision of $44,505 have been recognized for the three month periods ended June 30, 2024 and 2023, respectively. Credit loss provision of $79,711 and $224,005 have been recognized for the six month periods ended June 30, 2024 and 2023, respectively. Credit losses are included in gains (losses) on investments and other assets on the condensed consolidated statements of earnings. Other unrealized losses for which no credit loss was recognized are primarily the result of increases in interest rates.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7" w:name="page18"/>
    <w:bookmarkEnd w:id="17"/>
    <w:p>
      <w:pPr>
        <w:ind w:left="2700"/>
        <w:spacing w:after="0"/>
        <w:rPr>
          <w:sz w:val="20"/>
          <w:szCs w:val="20"/>
          <w:color w:val="auto"/>
        </w:rPr>
      </w:pPr>
      <w:r>
        <w:rPr>
          <w:rFonts w:ascii="Times New Roman" w:cs="Times New Roman" w:eastAsia="Times New Roman" w:hAnsi="Times New Roman"/>
          <w:sz w:val="18"/>
          <w:szCs w:val="18"/>
          <w:color w:val="auto"/>
        </w:rPr>
        <w:t>SECURITY NATIONAL FINANCIAL CORPORATION AND SUBSIDIARIES</w:t>
      </w:r>
    </w:p>
    <w:p>
      <w:pPr>
        <w:spacing w:after="0" w:line="27"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p>
      <w:pPr>
        <w:spacing w:after="0" w:line="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June 30, 2024 (Unaudited)</w:t>
      </w:r>
    </w:p>
    <w:p>
      <w:pPr>
        <w:spacing w:after="0" w:line="207" w:lineRule="exact"/>
        <w:rPr>
          <w:sz w:val="20"/>
          <w:szCs w:val="20"/>
          <w:color w:val="auto"/>
        </w:rPr>
      </w:pPr>
    </w:p>
    <w:p>
      <w:pPr>
        <w:ind w:left="200" w:hanging="192"/>
        <w:spacing w:after="0"/>
        <w:tabs>
          <w:tab w:leader="none" w:pos="2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Investments</w:t>
      </w:r>
      <w:r>
        <w:rPr>
          <w:rFonts w:ascii="Times New Roman" w:cs="Times New Roman" w:eastAsia="Times New Roman" w:hAnsi="Times New Roman"/>
          <w:sz w:val="18"/>
          <w:szCs w:val="18"/>
          <w:color w:val="auto"/>
        </w:rPr>
        <w:t xml:space="preserve"> (Continued)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Allowance for Credit Losses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2 regarding the adoption of ASU 2016-13.</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a quarterly basis, the Company evaluates its fixed maturity securities classified as available for sale to identify any potential credit losses. This evaluation includes a review of current ratings by the National Association of Insurance Commissions (“NAIC”) and other industry rating agencies. Securities with a rating of 1 or 2 are considered investment grade and are not reviewed for credit loss unless current market data or recent company news could lead to a credit downgrade. Securities with ratings of 3 to 5 are evaluated for credit loss. The evaluation involves assessing all facts and circumstances surrounding each security including, but not limited to, historical values, interest payment history, projected earnings, and revenue growth rates as well as a review of the reason for a downgrade in the NAIC rating. Based on the analysis of a security that is rated 3 to 5, a determination is made whether the security will likely make interest and principal payments in accordance with the terms of the financial instrument. Securities with a rating of 6 are automatically determined to be impaired and a credit loss is recognized in earnings.</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Where the decline in fair value of fixed maturity securities is attributable to changes in market interest rates or to factors such as market volatility, liquidity and spread widening, and the Company anticipates recovery of all contractual or expected cash flows, the Company does not consider these securities to have credit loss because the Company does not intend to sell these securities and it is not more likely than not the Company will be required to sell these securities before a recovery of amortized cost, which may be at maturity.</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the Company intends to sell a fixed maturity security or if it is more likely than not that the Company will be required to sell a security before recovery of its amortized cost basis, a credit loss has occurred and the difference between the amortized cost and the fair value that relates to the expected credit loss is recognized as a loss in earnings, included in gains (losses) on investments and other assets on the condensed consolidated statements of earnings.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the Company does not intend to sell a debt security and it is less likely than not that the Company will be required to sell the debt security but the Company also does not expect to recover the entire amortized cost basis of the security, a credit loss is recognized in earnings for the amount of the expected credit loss with a corresponding allowance for credit losses as a contra-asset account. The credit loss is included in gains (losses) on investments and other assets on the condensed consolidated statements of earnings. The recognized credit loss is limited to the total unrealized loss on the security due to a change in credit.</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Amounts on available for sale fixed maturities that are deemed to be uncollectible are written off and removed from the allowance for credit loss. A write-off may also occur if the Company intends to sell a security or when it is more likely than not that the Company will be required to sell the security before the recovery of its amortized cost.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does not measure a credit loss allowance on accrued interest receivable, included in accrued investment income on the condensed consolidated balance sheets, as the Company writes off any accrued interest receivable balance to net investment income in a timely manner (after 90 days) when the Company has concerns regarding collectability.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8" w:name="page19"/>
    <w:bookmarkEnd w:id="18"/>
    <w:p>
      <w:pPr>
        <w:ind w:left="2700"/>
        <w:spacing w:after="0"/>
        <w:rPr>
          <w:sz w:val="20"/>
          <w:szCs w:val="20"/>
          <w:color w:val="auto"/>
        </w:rPr>
      </w:pPr>
      <w:r>
        <w:rPr>
          <w:rFonts w:ascii="Times New Roman" w:cs="Times New Roman" w:eastAsia="Times New Roman" w:hAnsi="Times New Roman"/>
          <w:sz w:val="18"/>
          <w:szCs w:val="18"/>
          <w:color w:val="auto"/>
        </w:rPr>
        <w:t>SECURITY NATIONAL FINANCIAL CORPORATION AND SUBSIDIARIES</w:t>
      </w:r>
    </w:p>
    <w:p>
      <w:pPr>
        <w:spacing w:after="0" w:line="27"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p>
      <w:pPr>
        <w:spacing w:after="0" w:line="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June 30, 2024 (Unaudited)</w:t>
      </w:r>
    </w:p>
    <w:p>
      <w:pPr>
        <w:spacing w:after="0" w:line="207" w:lineRule="exact"/>
        <w:rPr>
          <w:sz w:val="20"/>
          <w:szCs w:val="20"/>
          <w:color w:val="auto"/>
        </w:rPr>
      </w:pPr>
    </w:p>
    <w:p>
      <w:pPr>
        <w:ind w:left="200" w:hanging="192"/>
        <w:spacing w:after="0"/>
        <w:tabs>
          <w:tab w:leader="none" w:pos="2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Investments</w:t>
      </w:r>
      <w:r>
        <w:rPr>
          <w:rFonts w:ascii="Times New Roman" w:cs="Times New Roman" w:eastAsia="Times New Roman" w:hAnsi="Times New Roman"/>
          <w:sz w:val="18"/>
          <w:szCs w:val="18"/>
          <w:color w:val="auto"/>
        </w:rPr>
        <w:t xml:space="preserve"> (Continued)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Quality Indicators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NAIC assigns designations to fixed maturity securities. These designations range from Class 1 (highest quality) to Class 6 (lowest quality). The NAIC designations are utilized by insurers in preparing their annual statutory statements. NAIC Class 1 and 2 are considered investment grade while the NAIC Class 3 through 6 designations are considered non-investment grade. Based on the NAIC designations, the Company had 98.1% and 98.2% of its fixed maturity securities rated investment grade as of June 30, 2024 and December 31, 2023, respectively. The following table summarizes the credit quality, by NAIC designation, of the Company’s fixed maturity securities available for sale, excluding redeemable preferred stock.</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360" w:type="dxa"/>
            <w:vAlign w:val="bottom"/>
            <w:gridSpan w:val="5"/>
          </w:tcPr>
          <w:p>
            <w:pPr>
              <w:jc w:val="right"/>
              <w:ind w:right="1420"/>
              <w:spacing w:after="0"/>
              <w:rPr>
                <w:sz w:val="20"/>
                <w:szCs w:val="20"/>
                <w:color w:val="auto"/>
              </w:rPr>
            </w:pPr>
            <w:r>
              <w:rPr>
                <w:rFonts w:ascii="Times New Roman" w:cs="Times New Roman" w:eastAsia="Times New Roman" w:hAnsi="Times New Roman"/>
                <w:sz w:val="18"/>
                <w:szCs w:val="18"/>
                <w:color w:val="auto"/>
              </w:rPr>
              <w:t>June 30, 2024</w:t>
            </w:r>
          </w:p>
        </w:tc>
        <w:tc>
          <w:tcPr>
            <w:tcW w:w="200" w:type="dxa"/>
            <w:vAlign w:val="bottom"/>
          </w:tcPr>
          <w:p>
            <w:pPr>
              <w:spacing w:after="0"/>
              <w:rPr>
                <w:sz w:val="20"/>
                <w:szCs w:val="20"/>
                <w:color w:val="auto"/>
              </w:rPr>
            </w:pPr>
          </w:p>
        </w:tc>
        <w:tc>
          <w:tcPr>
            <w:tcW w:w="3000" w:type="dxa"/>
            <w:vAlign w:val="bottom"/>
            <w:gridSpan w:val="5"/>
          </w:tcPr>
          <w:p>
            <w:pPr>
              <w:jc w:val="right"/>
              <w:ind w:right="920"/>
              <w:spacing w:after="0"/>
              <w:rPr>
                <w:sz w:val="20"/>
                <w:szCs w:val="20"/>
                <w:color w:val="auto"/>
              </w:rPr>
            </w:pPr>
            <w:r>
              <w:rPr>
                <w:rFonts w:ascii="Times New Roman" w:cs="Times New Roman" w:eastAsia="Times New Roman" w:hAnsi="Times New Roman"/>
                <w:sz w:val="18"/>
                <w:szCs w:val="18"/>
                <w:color w:val="auto"/>
              </w:rPr>
              <w:t>December 31, 2023</w:t>
            </w:r>
          </w:p>
        </w:tc>
      </w:tr>
      <w:tr>
        <w:trPr>
          <w:trHeight w:val="198"/>
        </w:trPr>
        <w:tc>
          <w:tcPr>
            <w:tcW w:w="2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gridSpan w:val="2"/>
          </w:tcPr>
          <w:p>
            <w:pPr>
              <w:ind w:left="140"/>
              <w:spacing w:after="0" w:line="198" w:lineRule="exact"/>
              <w:rPr>
                <w:sz w:val="20"/>
                <w:szCs w:val="20"/>
                <w:color w:val="auto"/>
              </w:rPr>
            </w:pPr>
            <w:r>
              <w:rPr>
                <w:rFonts w:ascii="Times New Roman" w:cs="Times New Roman" w:eastAsia="Times New Roman" w:hAnsi="Times New Roman"/>
                <w:sz w:val="18"/>
                <w:szCs w:val="18"/>
                <w:color w:val="auto"/>
              </w:rPr>
              <w:t>Amortized</w:t>
            </w:r>
          </w:p>
        </w:tc>
        <w:tc>
          <w:tcPr>
            <w:tcW w:w="16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jc w:val="right"/>
              <w:ind w:right="150"/>
              <w:spacing w:after="0" w:line="198" w:lineRule="exact"/>
              <w:rPr>
                <w:sz w:val="20"/>
                <w:szCs w:val="20"/>
                <w:color w:val="auto"/>
              </w:rPr>
            </w:pPr>
            <w:r>
              <w:rPr>
                <w:rFonts w:ascii="Times New Roman" w:cs="Times New Roman" w:eastAsia="Times New Roman" w:hAnsi="Times New Roman"/>
                <w:sz w:val="18"/>
                <w:szCs w:val="18"/>
                <w:color w:val="auto"/>
              </w:rPr>
              <w:t>Estimated Fair</w:t>
            </w:r>
          </w:p>
        </w:tc>
        <w:tc>
          <w:tcPr>
            <w:tcW w:w="26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gridSpan w:val="2"/>
          </w:tcPr>
          <w:p>
            <w:pPr>
              <w:ind w:left="120"/>
              <w:spacing w:after="0" w:line="198" w:lineRule="exact"/>
              <w:rPr>
                <w:sz w:val="20"/>
                <w:szCs w:val="20"/>
                <w:color w:val="auto"/>
              </w:rPr>
            </w:pPr>
            <w:r>
              <w:rPr>
                <w:rFonts w:ascii="Times New Roman" w:cs="Times New Roman" w:eastAsia="Times New Roman" w:hAnsi="Times New Roman"/>
                <w:sz w:val="18"/>
                <w:szCs w:val="18"/>
                <w:color w:val="auto"/>
              </w:rPr>
              <w:t>Amortized</w:t>
            </w:r>
          </w:p>
        </w:tc>
        <w:tc>
          <w:tcPr>
            <w:tcW w:w="12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right"/>
              <w:ind w:right="110"/>
              <w:spacing w:after="0" w:line="198" w:lineRule="exact"/>
              <w:rPr>
                <w:sz w:val="20"/>
                <w:szCs w:val="20"/>
                <w:color w:val="auto"/>
              </w:rPr>
            </w:pPr>
            <w:r>
              <w:rPr>
                <w:rFonts w:ascii="Times New Roman" w:cs="Times New Roman" w:eastAsia="Times New Roman" w:hAnsi="Times New Roman"/>
                <w:sz w:val="18"/>
                <w:szCs w:val="18"/>
                <w:color w:val="auto"/>
              </w:rPr>
              <w:t>Estimated Fair</w:t>
            </w:r>
          </w:p>
        </w:tc>
        <w:tc>
          <w:tcPr>
            <w:tcW w:w="80" w:type="dxa"/>
            <w:vAlign w:val="bottom"/>
          </w:tcPr>
          <w:p>
            <w:pPr>
              <w:spacing w:after="0"/>
              <w:rPr>
                <w:sz w:val="17"/>
                <w:szCs w:val="17"/>
                <w:color w:val="auto"/>
              </w:rPr>
            </w:pPr>
          </w:p>
        </w:tc>
      </w:tr>
      <w:tr>
        <w:trPr>
          <w:trHeight w:val="241"/>
        </w:trPr>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NAIC Designation</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Cost</w:t>
            </w:r>
          </w:p>
        </w:tc>
        <w:tc>
          <w:tcPr>
            <w:tcW w:w="160" w:type="dxa"/>
            <w:vAlign w:val="bottom"/>
          </w:tcPr>
          <w:p>
            <w:pPr>
              <w:spacing w:after="0"/>
              <w:rPr>
                <w:sz w:val="20"/>
                <w:szCs w:val="20"/>
                <w:color w:val="auto"/>
              </w:rPr>
            </w:pPr>
          </w:p>
        </w:tc>
        <w:tc>
          <w:tcPr>
            <w:tcW w:w="162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Value</w:t>
            </w:r>
          </w:p>
        </w:tc>
        <w:tc>
          <w:tcPr>
            <w:tcW w:w="200" w:type="dxa"/>
            <w:vAlign w:val="bottom"/>
          </w:tcPr>
          <w:p>
            <w:pPr>
              <w:spacing w:after="0"/>
              <w:rPr>
                <w:sz w:val="20"/>
                <w:szCs w:val="20"/>
                <w:color w:val="auto"/>
              </w:rPr>
            </w:pPr>
          </w:p>
        </w:tc>
        <w:tc>
          <w:tcPr>
            <w:tcW w:w="15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Cost</w:t>
            </w:r>
          </w:p>
        </w:tc>
        <w:tc>
          <w:tcPr>
            <w:tcW w:w="120" w:type="dxa"/>
            <w:vAlign w:val="bottom"/>
          </w:tcPr>
          <w:p>
            <w:pPr>
              <w:spacing w:after="0"/>
              <w:rPr>
                <w:sz w:val="20"/>
                <w:szCs w:val="20"/>
                <w:color w:val="auto"/>
              </w:rPr>
            </w:pPr>
          </w:p>
        </w:tc>
        <w:tc>
          <w:tcPr>
            <w:tcW w:w="13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Value</w:t>
            </w:r>
          </w:p>
        </w:tc>
      </w:tr>
      <w:tr>
        <w:trPr>
          <w:trHeight w:val="216"/>
        </w:trPr>
        <w:tc>
          <w:tcPr>
            <w:tcW w:w="20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188,735,664</w:t>
            </w: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182,709,415</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221,933,425</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216,975,288</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164,475,503</w:t>
            </w:r>
          </w:p>
        </w:tc>
        <w:tc>
          <w:tcPr>
            <w:tcW w:w="160" w:type="dxa"/>
            <w:vAlign w:val="bottom"/>
          </w:tcPr>
          <w:p>
            <w:pPr>
              <w:spacing w:after="0"/>
              <w:rPr>
                <w:sz w:val="18"/>
                <w:szCs w:val="18"/>
                <w:color w:val="auto"/>
              </w:rPr>
            </w:pPr>
          </w:p>
        </w:tc>
        <w:tc>
          <w:tcPr>
            <w:tcW w:w="16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159,828,103</w:t>
            </w:r>
          </w:p>
        </w:tc>
        <w:tc>
          <w:tcPr>
            <w:tcW w:w="200" w:type="dxa"/>
            <w:vAlign w:val="bottom"/>
          </w:tcPr>
          <w:p>
            <w:pPr>
              <w:spacing w:after="0"/>
              <w:rPr>
                <w:sz w:val="18"/>
                <w:szCs w:val="18"/>
                <w:color w:val="auto"/>
              </w:rPr>
            </w:pP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161,062,016</w:t>
            </w:r>
          </w:p>
        </w:tc>
        <w:tc>
          <w:tcPr>
            <w:tcW w:w="12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157,346,803</w:t>
            </w:r>
          </w:p>
        </w:tc>
      </w:tr>
      <w:tr>
        <w:trPr>
          <w:trHeight w:val="216"/>
        </w:trPr>
        <w:tc>
          <w:tcPr>
            <w:tcW w:w="2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6,067,391</w:t>
            </w:r>
          </w:p>
        </w:tc>
        <w:tc>
          <w:tcPr>
            <w:tcW w:w="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5,716,888</w:t>
            </w: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6,418,829</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5,953,542</w:t>
            </w:r>
          </w:p>
        </w:tc>
      </w:tr>
      <w:tr>
        <w:trPr>
          <w:trHeight w:val="216"/>
        </w:trPr>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827,044</w:t>
            </w:r>
          </w:p>
        </w:tc>
        <w:tc>
          <w:tcPr>
            <w:tcW w:w="160" w:type="dxa"/>
            <w:vAlign w:val="bottom"/>
          </w:tcPr>
          <w:p>
            <w:pPr>
              <w:spacing w:after="0"/>
              <w:rPr>
                <w:sz w:val="18"/>
                <w:szCs w:val="18"/>
                <w:color w:val="auto"/>
              </w:rPr>
            </w:pPr>
          </w:p>
        </w:tc>
        <w:tc>
          <w:tcPr>
            <w:tcW w:w="16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806,121</w:t>
            </w:r>
          </w:p>
        </w:tc>
        <w:tc>
          <w:tcPr>
            <w:tcW w:w="200" w:type="dxa"/>
            <w:vAlign w:val="bottom"/>
          </w:tcPr>
          <w:p>
            <w:pPr>
              <w:spacing w:after="0"/>
              <w:rPr>
                <w:sz w:val="18"/>
                <w:szCs w:val="18"/>
                <w:color w:val="auto"/>
              </w:rPr>
            </w:pP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982,290</w:t>
            </w:r>
          </w:p>
        </w:tc>
        <w:tc>
          <w:tcPr>
            <w:tcW w:w="12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948,478</w:t>
            </w:r>
          </w:p>
        </w:tc>
      </w:tr>
      <w:tr>
        <w:trPr>
          <w:trHeight w:val="216"/>
        </w:trPr>
        <w:tc>
          <w:tcPr>
            <w:tcW w:w="2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242,804</w:t>
            </w:r>
          </w:p>
        </w:tc>
        <w:tc>
          <w:tcPr>
            <w:tcW w:w="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37,500</w:t>
            </w: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236,648</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51,875</w:t>
            </w:r>
          </w:p>
        </w:tc>
      </w:tr>
      <w:tr>
        <w:trPr>
          <w:trHeight w:val="236"/>
        </w:trPr>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1,195</w:t>
            </w:r>
          </w:p>
        </w:tc>
        <w:tc>
          <w:tcPr>
            <w:tcW w:w="160" w:type="dxa"/>
            <w:vAlign w:val="bottom"/>
          </w:tcPr>
          <w:p>
            <w:pPr>
              <w:spacing w:after="0"/>
              <w:rPr>
                <w:sz w:val="20"/>
                <w:szCs w:val="20"/>
                <w:color w:val="auto"/>
              </w:rPr>
            </w:pPr>
          </w:p>
        </w:tc>
        <w:tc>
          <w:tcPr>
            <w:tcW w:w="16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1,233</w:t>
            </w:r>
          </w:p>
        </w:tc>
        <w:tc>
          <w:tcPr>
            <w:tcW w:w="120" w:type="dxa"/>
            <w:vAlign w:val="bottom"/>
          </w:tcPr>
          <w:p>
            <w:pPr>
              <w:spacing w:after="0"/>
              <w:rPr>
                <w:sz w:val="20"/>
                <w:szCs w:val="20"/>
                <w:color w:val="auto"/>
              </w:rPr>
            </w:pP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00" w:type="dxa"/>
            <w:vAlign w:val="bottom"/>
            <w:tcBorders>
              <w:top w:val="single" w:sz="8" w:color="CCEEFF"/>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Total</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360,349,601</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349,098,027</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390,634,441</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381,275,986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tables present a roll forward of the Company’s allowance for credit losses on fixed maturity securities available for sale for the three month periods ended June 30, 2024:</w:t>
      </w:r>
    </w:p>
    <w:p>
      <w:pPr>
        <w:sectPr>
          <w:pgSz w:w="11900" w:h="16838" w:orient="portrait"/>
          <w:cols w:equalWidth="0" w:num="1">
            <w:col w:w="11240"/>
          </w:cols>
          <w:pgMar w:left="320" w:top="66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Beginning balance - March 31, 2024</w:t>
      </w:r>
    </w:p>
    <w:p>
      <w:pPr>
        <w:spacing w:after="0" w:line="225" w:lineRule="exact"/>
        <w:rPr>
          <w:sz w:val="20"/>
          <w:szCs w:val="20"/>
          <w:color w:val="auto"/>
        </w:rPr>
      </w:pPr>
    </w:p>
    <w:p>
      <w:pPr>
        <w:ind w:left="180" w:right="280"/>
        <w:spacing w:after="0" w:line="261" w:lineRule="auto"/>
        <w:rPr>
          <w:sz w:val="20"/>
          <w:szCs w:val="20"/>
          <w:color w:val="auto"/>
        </w:rPr>
      </w:pPr>
      <w:r>
        <w:rPr>
          <w:rFonts w:ascii="Times New Roman" w:cs="Times New Roman" w:eastAsia="Times New Roman" w:hAnsi="Times New Roman"/>
          <w:sz w:val="18"/>
          <w:szCs w:val="18"/>
          <w:color w:val="auto"/>
        </w:rPr>
        <w:t>Additions for credit losses not previously recorded</w:t>
      </w:r>
    </w:p>
    <w:p>
      <w:pPr>
        <w:ind w:left="180" w:right="420"/>
        <w:spacing w:after="0" w:line="250" w:lineRule="auto"/>
        <w:rPr>
          <w:sz w:val="20"/>
          <w:szCs w:val="20"/>
          <w:color w:val="auto"/>
        </w:rPr>
      </w:pPr>
      <w:r>
        <w:rPr>
          <w:rFonts w:ascii="Times New Roman" w:cs="Times New Roman" w:eastAsia="Times New Roman" w:hAnsi="Times New Roman"/>
          <w:sz w:val="18"/>
          <w:szCs w:val="18"/>
          <w:color w:val="auto"/>
        </w:rPr>
        <w:t>Change in allowance on securities with previous allowance</w:t>
      </w:r>
    </w:p>
    <w:p>
      <w:pPr>
        <w:spacing w:after="0" w:line="1" w:lineRule="exact"/>
        <w:rPr>
          <w:sz w:val="20"/>
          <w:szCs w:val="20"/>
          <w:color w:val="auto"/>
        </w:rPr>
      </w:pPr>
    </w:p>
    <w:p>
      <w:pPr>
        <w:ind w:left="180" w:right="340"/>
        <w:spacing w:after="0" w:line="250" w:lineRule="auto"/>
        <w:rPr>
          <w:sz w:val="20"/>
          <w:szCs w:val="20"/>
          <w:color w:val="auto"/>
        </w:rPr>
      </w:pPr>
      <w:r>
        <w:rPr>
          <w:rFonts w:ascii="Times New Roman" w:cs="Times New Roman" w:eastAsia="Times New Roman" w:hAnsi="Times New Roman"/>
          <w:sz w:val="18"/>
          <w:szCs w:val="18"/>
          <w:color w:val="auto"/>
        </w:rPr>
        <w:t>Reductions for securities sold during the period</w:t>
      </w:r>
    </w:p>
    <w:p>
      <w:pPr>
        <w:spacing w:after="0" w:line="1" w:lineRule="exact"/>
        <w:rPr>
          <w:sz w:val="20"/>
          <w:szCs w:val="20"/>
          <w:color w:val="auto"/>
        </w:rPr>
      </w:pPr>
    </w:p>
    <w:p>
      <w:pPr>
        <w:ind w:left="180" w:right="160"/>
        <w:spacing w:after="0" w:line="250" w:lineRule="auto"/>
        <w:rPr>
          <w:sz w:val="20"/>
          <w:szCs w:val="20"/>
          <w:color w:val="auto"/>
        </w:rPr>
      </w:pPr>
      <w:r>
        <w:rPr>
          <w:rFonts w:ascii="Times New Roman" w:cs="Times New Roman" w:eastAsia="Times New Roman" w:hAnsi="Times New Roman"/>
          <w:sz w:val="18"/>
          <w:szCs w:val="18"/>
          <w:color w:val="auto"/>
        </w:rPr>
        <w:t>Reductions for securities with credit losses due to intent to sell</w:t>
      </w:r>
    </w:p>
    <w:p>
      <w:pPr>
        <w:spacing w:after="0" w:line="1" w:lineRule="exact"/>
        <w:rPr>
          <w:sz w:val="20"/>
          <w:szCs w:val="20"/>
          <w:color w:val="auto"/>
        </w:rPr>
      </w:pPr>
    </w:p>
    <w:p>
      <w:pPr>
        <w:ind w:left="180"/>
        <w:spacing w:after="0" w:line="290" w:lineRule="auto"/>
        <w:rPr>
          <w:sz w:val="20"/>
          <w:szCs w:val="20"/>
          <w:color w:val="auto"/>
        </w:rPr>
      </w:pPr>
      <w:r>
        <w:rPr>
          <w:rFonts w:ascii="Times New Roman" w:cs="Times New Roman" w:eastAsia="Times New Roman" w:hAnsi="Times New Roman"/>
          <w:sz w:val="17"/>
          <w:szCs w:val="17"/>
          <w:color w:val="auto"/>
        </w:rPr>
        <w:t>Write-offs charged against the allowance Recoveries of amounts previously written off</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Ending Balance - June 30, 2024</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8"/>
          <w:szCs w:val="18"/>
          <w:color w:val="auto"/>
        </w:rPr>
        <w:t>Three Months Ended June 30, 2024</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340" w:type="dxa"/>
            <w:vAlign w:val="bottom"/>
            <w:tcBorders>
              <w:top w:val="single" w:sz="8" w:color="auto"/>
            </w:tcBorders>
            <w:gridSpan w:val="3"/>
          </w:tcPr>
          <w:p>
            <w:pPr>
              <w:jc w:val="center"/>
              <w:ind w:right="300"/>
              <w:spacing w:after="0" w:line="205" w:lineRule="exact"/>
              <w:rPr>
                <w:sz w:val="20"/>
                <w:szCs w:val="20"/>
                <w:color w:val="auto"/>
              </w:rPr>
            </w:pPr>
            <w:r>
              <w:rPr>
                <w:rFonts w:ascii="Times New Roman" w:cs="Times New Roman" w:eastAsia="Times New Roman" w:hAnsi="Times New Roman"/>
                <w:sz w:val="18"/>
                <w:szCs w:val="18"/>
                <w:color w:val="auto"/>
                <w:w w:val="99"/>
              </w:rPr>
              <w:t>U.S. Treasury</w:t>
            </w:r>
          </w:p>
        </w:tc>
        <w:tc>
          <w:tcPr>
            <w:tcW w:w="96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134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color w:val="auto"/>
              </w:rPr>
              <w:t>securities and</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9"/>
              </w:rPr>
              <w:t>Corporate</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34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color w:val="auto"/>
              </w:rPr>
              <w:t>obligations of</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Obligations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9"/>
              </w:rPr>
              <w:t>securities</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of states and</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9"/>
              </w:rPr>
              <w:t>including</w:t>
            </w:r>
          </w:p>
        </w:tc>
        <w:tc>
          <w:tcPr>
            <w:tcW w:w="120" w:type="dxa"/>
            <w:vAlign w:val="bottom"/>
          </w:tcPr>
          <w:p>
            <w:pPr>
              <w:spacing w:after="0"/>
              <w:rPr>
                <w:sz w:val="18"/>
                <w:szCs w:val="18"/>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Mortgage-</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Government</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political</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rPr>
              <w:t>public</w:t>
            </w:r>
          </w:p>
        </w:tc>
        <w:tc>
          <w:tcPr>
            <w:tcW w:w="120" w:type="dxa"/>
            <w:vAlign w:val="bottom"/>
          </w:tcPr>
          <w:p>
            <w:pPr>
              <w:spacing w:after="0"/>
              <w:rPr>
                <w:sz w:val="18"/>
                <w:szCs w:val="18"/>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7"/>
              </w:rPr>
              <w:t>backed</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41"/>
        </w:trPr>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agencies</w:t>
            </w:r>
          </w:p>
        </w:tc>
        <w:tc>
          <w:tcPr>
            <w:tcW w:w="6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subdivisions</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9"/>
              </w:rPr>
              <w:t>utilities</w:t>
            </w:r>
          </w:p>
        </w:tc>
        <w:tc>
          <w:tcPr>
            <w:tcW w:w="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9"/>
              </w:rPr>
              <w:t>securities</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Total</w:t>
            </w:r>
          </w:p>
        </w:tc>
        <w:tc>
          <w:tcPr>
            <w:tcW w:w="60" w:type="dxa"/>
            <w:vAlign w:val="bottom"/>
          </w:tcPr>
          <w:p>
            <w:pPr>
              <w:spacing w:after="0"/>
              <w:rPr>
                <w:sz w:val="20"/>
                <w:szCs w:val="20"/>
                <w:color w:val="auto"/>
              </w:rPr>
            </w:pPr>
          </w:p>
        </w:tc>
      </w:tr>
      <w:tr>
        <w:trPr>
          <w:trHeight w:val="432"/>
        </w:trPr>
        <w:tc>
          <w:tcPr>
            <w:tcW w:w="98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398,500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12,049</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410,549</w:t>
            </w:r>
          </w:p>
        </w:tc>
        <w:tc>
          <w:tcPr>
            <w:tcW w:w="60" w:type="dxa"/>
            <w:vAlign w:val="bottom"/>
          </w:tcPr>
          <w:p>
            <w:pPr>
              <w:spacing w:after="0"/>
              <w:rPr>
                <w:sz w:val="24"/>
                <w:szCs w:val="24"/>
                <w:color w:val="auto"/>
              </w:rPr>
            </w:pPr>
          </w:p>
        </w:tc>
      </w:tr>
      <w:tr>
        <w:trPr>
          <w:trHeight w:val="648"/>
        </w:trPr>
        <w:tc>
          <w:tcPr>
            <w:tcW w:w="980" w:type="dxa"/>
            <w:vAlign w:val="bottom"/>
          </w:tcPr>
          <w:p>
            <w:pPr>
              <w:spacing w:after="0"/>
              <w:rPr>
                <w:sz w:val="24"/>
                <w:szCs w:val="24"/>
                <w:color w:val="auto"/>
              </w:rPr>
            </w:pPr>
          </w:p>
        </w:tc>
        <w:tc>
          <w:tcPr>
            <w:tcW w:w="3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spacing w:after="0"/>
              <w:rPr>
                <w:sz w:val="24"/>
                <w:szCs w:val="24"/>
                <w:color w:val="auto"/>
              </w:rPr>
            </w:pPr>
          </w:p>
        </w:tc>
        <w:tc>
          <w:tcPr>
            <w:tcW w:w="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r>
      <w:tr>
        <w:trPr>
          <w:trHeight w:val="432"/>
        </w:trPr>
        <w:tc>
          <w:tcPr>
            <w:tcW w:w="980" w:type="dxa"/>
            <w:vAlign w:val="bottom"/>
          </w:tcPr>
          <w:p>
            <w:pPr>
              <w:spacing w:after="0"/>
              <w:rPr>
                <w:sz w:val="24"/>
                <w:szCs w:val="24"/>
                <w:color w:val="auto"/>
              </w:rPr>
            </w:pPr>
          </w:p>
        </w:tc>
        <w:tc>
          <w:tcPr>
            <w:tcW w:w="3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spacing w:after="0"/>
              <w:rPr>
                <w:sz w:val="24"/>
                <w:szCs w:val="24"/>
                <w:color w:val="auto"/>
              </w:rPr>
            </w:pPr>
          </w:p>
        </w:tc>
        <w:tc>
          <w:tcPr>
            <w:tcW w:w="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(16,289)</w:t>
            </w:r>
          </w:p>
        </w:tc>
        <w:tc>
          <w:tcPr>
            <w:tcW w:w="120" w:type="dxa"/>
            <w:vAlign w:val="bottom"/>
          </w:tcPr>
          <w:p>
            <w:pPr>
              <w:spacing w:after="0"/>
              <w:rPr>
                <w:sz w:val="24"/>
                <w:szCs w:val="24"/>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(16,289)</w:t>
            </w:r>
          </w:p>
        </w:tc>
      </w:tr>
      <w:tr>
        <w:trPr>
          <w:trHeight w:val="432"/>
        </w:trPr>
        <w:tc>
          <w:tcPr>
            <w:tcW w:w="980" w:type="dxa"/>
            <w:vAlign w:val="bottom"/>
          </w:tcPr>
          <w:p>
            <w:pPr>
              <w:spacing w:after="0"/>
              <w:rPr>
                <w:sz w:val="24"/>
                <w:szCs w:val="24"/>
                <w:color w:val="auto"/>
              </w:rPr>
            </w:pPr>
          </w:p>
        </w:tc>
        <w:tc>
          <w:tcPr>
            <w:tcW w:w="3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spacing w:after="0"/>
              <w:rPr>
                <w:sz w:val="24"/>
                <w:szCs w:val="24"/>
                <w:color w:val="auto"/>
              </w:rPr>
            </w:pPr>
          </w:p>
        </w:tc>
        <w:tc>
          <w:tcPr>
            <w:tcW w:w="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r>
      <w:tr>
        <w:trPr>
          <w:trHeight w:val="414"/>
        </w:trPr>
        <w:tc>
          <w:tcPr>
            <w:tcW w:w="980" w:type="dxa"/>
            <w:vAlign w:val="bottom"/>
          </w:tcPr>
          <w:p>
            <w:pPr>
              <w:spacing w:after="0"/>
              <w:rPr>
                <w:sz w:val="24"/>
                <w:szCs w:val="24"/>
                <w:color w:val="auto"/>
              </w:rPr>
            </w:pPr>
          </w:p>
        </w:tc>
        <w:tc>
          <w:tcPr>
            <w:tcW w:w="3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spacing w:after="0"/>
              <w:rPr>
                <w:sz w:val="24"/>
                <w:szCs w:val="24"/>
                <w:color w:val="auto"/>
              </w:rPr>
            </w:pPr>
          </w:p>
        </w:tc>
        <w:tc>
          <w:tcPr>
            <w:tcW w:w="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r>
      <w:tr>
        <w:trPr>
          <w:trHeight w:val="230"/>
        </w:trPr>
        <w:tc>
          <w:tcPr>
            <w:tcW w:w="980" w:type="dxa"/>
            <w:vAlign w:val="bottom"/>
          </w:tcPr>
          <w:p>
            <w:pPr>
              <w:spacing w:after="0"/>
              <w:rPr>
                <w:sz w:val="19"/>
                <w:szCs w:val="19"/>
                <w:color w:val="auto"/>
              </w:rPr>
            </w:pPr>
          </w:p>
        </w:tc>
        <w:tc>
          <w:tcPr>
            <w:tcW w:w="3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spacing w:after="0"/>
              <w:rPr>
                <w:sz w:val="19"/>
                <w:szCs w:val="19"/>
                <w:color w:val="auto"/>
              </w:rPr>
            </w:pPr>
          </w:p>
        </w:tc>
        <w:tc>
          <w:tcPr>
            <w:tcW w:w="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r>
      <w:tr>
        <w:trPr>
          <w:trHeight w:val="234"/>
        </w:trPr>
        <w:tc>
          <w:tcPr>
            <w:tcW w:w="980" w:type="dxa"/>
            <w:vAlign w:val="bottom"/>
          </w:tcPr>
          <w:p>
            <w:pPr>
              <w:spacing w:after="0"/>
              <w:rPr>
                <w:sz w:val="20"/>
                <w:szCs w:val="20"/>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r>
      <w:tr>
        <w:trPr>
          <w:trHeight w:val="27"/>
        </w:trPr>
        <w:tc>
          <w:tcPr>
            <w:tcW w:w="98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Borders>
              <w:lef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486"/>
        </w:trPr>
        <w:tc>
          <w:tcPr>
            <w:tcW w:w="98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Pr>
          <w:p>
            <w:pPr>
              <w:spacing w:after="0"/>
              <w:rPr>
                <w:sz w:val="24"/>
                <w:szCs w:val="24"/>
                <w:color w:val="auto"/>
              </w:rPr>
            </w:pPr>
          </w:p>
        </w:tc>
        <w:tc>
          <w:tcPr>
            <w:tcW w:w="96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382,211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12,049</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394,260</w:t>
            </w:r>
          </w:p>
        </w:tc>
        <w:tc>
          <w:tcPr>
            <w:tcW w:w="60" w:type="dxa"/>
            <w:vAlign w:val="bottom"/>
          </w:tcPr>
          <w:p>
            <w:pPr>
              <w:spacing w:after="0"/>
              <w:rPr>
                <w:sz w:val="24"/>
                <w:szCs w:val="24"/>
                <w:color w:val="auto"/>
              </w:rPr>
            </w:pPr>
          </w:p>
        </w:tc>
      </w:tr>
      <w:tr>
        <w:trPr>
          <w:trHeight w:val="20"/>
        </w:trPr>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3"/>
        </w:trPr>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-2369185</wp:posOffset>
            </wp:positionH>
            <wp:positionV relativeFrom="paragraph">
              <wp:posOffset>-2279650</wp:posOffset>
            </wp:positionV>
            <wp:extent cx="641223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-2369185</wp:posOffset>
            </wp:positionH>
            <wp:positionV relativeFrom="paragraph">
              <wp:posOffset>-2005330</wp:posOffset>
            </wp:positionV>
            <wp:extent cx="6412230" cy="2743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412230" cy="274320"/>
                    </a:xfrm>
                    <a:prstGeom prst="rect">
                      <a:avLst/>
                    </a:prstGeom>
                    <a:noFill/>
                  </pic:spPr>
                </pic:pic>
              </a:graphicData>
            </a:graphic>
          </wp:anchor>
        </w:drawing>
        <w:drawing>
          <wp:anchor simplePos="0" relativeHeight="251657728" behindDoc="1" locked="0" layoutInCell="0" allowOverlap="1">
            <wp:simplePos x="0" y="0"/>
            <wp:positionH relativeFrom="column">
              <wp:posOffset>-2369185</wp:posOffset>
            </wp:positionH>
            <wp:positionV relativeFrom="paragraph">
              <wp:posOffset>-1456690</wp:posOffset>
            </wp:positionV>
            <wp:extent cx="6412230" cy="2743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412230" cy="274320"/>
                    </a:xfrm>
                    <a:prstGeom prst="rect">
                      <a:avLst/>
                    </a:prstGeom>
                    <a:noFill/>
                  </pic:spPr>
                </pic:pic>
              </a:graphicData>
            </a:graphic>
          </wp:anchor>
        </w:drawing>
        <w:drawing>
          <wp:anchor simplePos="0" relativeHeight="251657728" behindDoc="1" locked="0" layoutInCell="0" allowOverlap="1">
            <wp:simplePos x="0" y="0"/>
            <wp:positionH relativeFrom="column">
              <wp:posOffset>-2369185</wp:posOffset>
            </wp:positionH>
            <wp:positionV relativeFrom="paragraph">
              <wp:posOffset>-908050</wp:posOffset>
            </wp:positionV>
            <wp:extent cx="641223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-2369185</wp:posOffset>
            </wp:positionH>
            <wp:positionV relativeFrom="paragraph">
              <wp:posOffset>-616585</wp:posOffset>
            </wp:positionV>
            <wp:extent cx="6412230" cy="1631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412230" cy="163195"/>
                    </a:xfrm>
                    <a:prstGeom prst="rect">
                      <a:avLst/>
                    </a:prstGeom>
                    <a:noFill/>
                  </pic:spPr>
                </pic:pic>
              </a:graphicData>
            </a:graphic>
          </wp:anchor>
        </w:drawing>
        <w:drawing>
          <wp:anchor simplePos="0" relativeHeight="251657728" behindDoc="1" locked="0" layoutInCell="0" allowOverlap="1">
            <wp:simplePos x="0" y="0"/>
            <wp:positionH relativeFrom="column">
              <wp:posOffset>-2369185</wp:posOffset>
            </wp:positionH>
            <wp:positionV relativeFrom="paragraph">
              <wp:posOffset>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3440" w:space="300"/>
            <w:col w:w="7500"/>
          </w:cols>
          <w:pgMar w:left="320" w:top="661" w:right="339" w:bottom="1440" w:gutter="0" w:footer="0" w:header="0"/>
          <w:type w:val="continuous"/>
        </w:sectPr>
      </w:pPr>
    </w:p>
    <w:bookmarkStart w:id="19" w:name="page20"/>
    <w:bookmarkEnd w:id="19"/>
    <w:p>
      <w:pPr>
        <w:spacing w:after="0" w:line="84"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SECURITY NATIONAL FINANCIAL CORPORATION AND SUBSIDIARIES</w:t>
      </w:r>
    </w:p>
    <w:p>
      <w:pPr>
        <w:spacing w:after="0" w:line="27"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p>
      <w:pPr>
        <w:spacing w:after="0" w:line="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June 30, 2024 (Unaudited)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3) Investments (Continued)</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473"/>
        </w:trPr>
        <w:tc>
          <w:tcPr>
            <w:tcW w:w="20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gridSpan w:val="10"/>
          </w:tcPr>
          <w:p>
            <w:pPr>
              <w:jc w:val="right"/>
              <w:ind w:right="860"/>
              <w:spacing w:after="0"/>
              <w:rPr>
                <w:sz w:val="20"/>
                <w:szCs w:val="20"/>
                <w:color w:val="auto"/>
              </w:rPr>
            </w:pPr>
            <w:r>
              <w:rPr>
                <w:rFonts w:ascii="Times New Roman" w:cs="Times New Roman" w:eastAsia="Times New Roman" w:hAnsi="Times New Roman"/>
                <w:sz w:val="18"/>
                <w:szCs w:val="18"/>
                <w:color w:val="auto"/>
              </w:rPr>
              <w:t>Three Months Ended June 30, 2023</w:t>
            </w: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98"/>
        </w:trPr>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3"/>
          </w:tcPr>
          <w:p>
            <w:pPr>
              <w:jc w:val="center"/>
              <w:ind w:right="300"/>
              <w:spacing w:after="0" w:line="198" w:lineRule="exact"/>
              <w:rPr>
                <w:sz w:val="20"/>
                <w:szCs w:val="20"/>
                <w:color w:val="auto"/>
              </w:rPr>
            </w:pPr>
            <w:r>
              <w:rPr>
                <w:rFonts w:ascii="Times New Roman" w:cs="Times New Roman" w:eastAsia="Times New Roman" w:hAnsi="Times New Roman"/>
                <w:sz w:val="18"/>
                <w:szCs w:val="18"/>
                <w:color w:val="auto"/>
                <w:w w:val="99"/>
              </w:rPr>
              <w:t>U.S. Treasury</w:t>
            </w: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color w:val="auto"/>
              </w:rPr>
              <w:t>securities and</w:t>
            </w: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9"/>
              </w:rPr>
              <w:t>Corporate</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color w:val="auto"/>
              </w:rPr>
              <w:t>obligations of</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Obligations</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9"/>
              </w:rPr>
              <w:t>securities</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of states and</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9"/>
              </w:rPr>
              <w:t>including</w:t>
            </w:r>
          </w:p>
        </w:tc>
        <w:tc>
          <w:tcPr>
            <w:tcW w:w="120" w:type="dxa"/>
            <w:vAlign w:val="bottom"/>
          </w:tcPr>
          <w:p>
            <w:pPr>
              <w:spacing w:after="0"/>
              <w:rPr>
                <w:sz w:val="18"/>
                <w:szCs w:val="18"/>
                <w:color w:val="auto"/>
              </w:rPr>
            </w:pPr>
          </w:p>
        </w:tc>
        <w:tc>
          <w:tcPr>
            <w:tcW w:w="118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9"/>
              </w:rPr>
              <w:t>Mortgage-</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Government</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political</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rPr>
              <w:t>public</w:t>
            </w:r>
          </w:p>
        </w:tc>
        <w:tc>
          <w:tcPr>
            <w:tcW w:w="120" w:type="dxa"/>
            <w:vAlign w:val="bottom"/>
          </w:tcPr>
          <w:p>
            <w:pPr>
              <w:spacing w:after="0"/>
              <w:rPr>
                <w:sz w:val="18"/>
                <w:szCs w:val="18"/>
                <w:color w:val="auto"/>
              </w:rPr>
            </w:pPr>
          </w:p>
        </w:tc>
        <w:tc>
          <w:tcPr>
            <w:tcW w:w="11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7"/>
              </w:rPr>
              <w:t>backed</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1"/>
        </w:trPr>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agencies</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subdivisions</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9"/>
              </w:rPr>
              <w:t>utilities</w:t>
            </w:r>
          </w:p>
        </w:tc>
        <w:tc>
          <w:tcPr>
            <w:tcW w:w="120" w:type="dxa"/>
            <w:vAlign w:val="bottom"/>
          </w:tcPr>
          <w:p>
            <w:pPr>
              <w:spacing w:after="0"/>
              <w:rPr>
                <w:sz w:val="20"/>
                <w:szCs w:val="20"/>
                <w:color w:val="auto"/>
              </w:rPr>
            </w:pPr>
          </w:p>
        </w:tc>
        <w:tc>
          <w:tcPr>
            <w:tcW w:w="118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9"/>
              </w:rPr>
              <w:t>securities</w:t>
            </w:r>
          </w:p>
        </w:tc>
        <w:tc>
          <w:tcPr>
            <w:tcW w:w="200" w:type="dxa"/>
            <w:vAlign w:val="bottom"/>
          </w:tcPr>
          <w:p>
            <w:pPr>
              <w:spacing w:after="0"/>
              <w:rPr>
                <w:sz w:val="20"/>
                <w:szCs w:val="20"/>
                <w:color w:val="auto"/>
              </w:rPr>
            </w:pPr>
          </w:p>
        </w:tc>
        <w:tc>
          <w:tcPr>
            <w:tcW w:w="8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Total</w:t>
            </w:r>
          </w:p>
        </w:tc>
      </w:tr>
      <w:tr>
        <w:trPr>
          <w:trHeight w:val="216"/>
        </w:trPr>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 - March 31, 2023</w:t>
            </w:r>
          </w:p>
        </w:tc>
        <w:tc>
          <w:tcPr>
            <w:tcW w:w="1120" w:type="dxa"/>
            <w:vAlign w:val="bottom"/>
            <w:gridSpan w:val="2"/>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179,500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179,500</w:t>
            </w:r>
          </w:p>
        </w:tc>
        <w:tc>
          <w:tcPr>
            <w:tcW w:w="80" w:type="dxa"/>
            <w:vAlign w:val="bottom"/>
            <w:shd w:val="clear" w:color="auto" w:fill="CCEEFF"/>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8"/>
        </w:trPr>
        <w:tc>
          <w:tcPr>
            <w:tcW w:w="3600" w:type="dxa"/>
            <w:vAlign w:val="bottom"/>
            <w:gridSpan w:val="3"/>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Additions for credit losses not previously</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36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recorded</w:t>
            </w: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3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CCEEFF"/>
          </w:tcPr>
          <w:p>
            <w:pPr>
              <w:spacing w:after="0"/>
              <w:rPr>
                <w:sz w:val="20"/>
                <w:szCs w:val="20"/>
                <w:color w:val="auto"/>
              </w:rPr>
            </w:pPr>
          </w:p>
        </w:tc>
        <w:tc>
          <w:tcPr>
            <w:tcW w:w="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r>
      <w:tr>
        <w:trPr>
          <w:trHeight w:val="198"/>
        </w:trPr>
        <w:tc>
          <w:tcPr>
            <w:tcW w:w="3600" w:type="dxa"/>
            <w:vAlign w:val="bottom"/>
            <w:gridSpan w:val="3"/>
          </w:tcPr>
          <w:p>
            <w:pPr>
              <w:ind w:left="180"/>
              <w:spacing w:after="0" w:line="198" w:lineRule="exact"/>
              <w:rPr>
                <w:sz w:val="20"/>
                <w:szCs w:val="20"/>
                <w:color w:val="auto"/>
              </w:rPr>
            </w:pPr>
            <w:r>
              <w:rPr>
                <w:rFonts w:ascii="Times New Roman" w:cs="Times New Roman" w:eastAsia="Times New Roman" w:hAnsi="Times New Roman"/>
                <w:sz w:val="18"/>
                <w:szCs w:val="18"/>
                <w:color w:val="auto"/>
              </w:rPr>
              <w:t>Change in allowance on securities with</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36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previous allowance</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spacing w:after="0"/>
              <w:rPr>
                <w:sz w:val="20"/>
                <w:szCs w:val="20"/>
                <w:color w:val="auto"/>
              </w:rPr>
            </w:pPr>
          </w:p>
        </w:tc>
        <w:tc>
          <w:tcPr>
            <w:tcW w:w="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44,505</w:t>
            </w:r>
          </w:p>
        </w:tc>
        <w:tc>
          <w:tcPr>
            <w:tcW w:w="120" w:type="dxa"/>
            <w:vAlign w:val="bottom"/>
          </w:tcPr>
          <w:p>
            <w:pPr>
              <w:spacing w:after="0"/>
              <w:rPr>
                <w:sz w:val="20"/>
                <w:szCs w:val="20"/>
                <w:color w:val="auto"/>
              </w:rPr>
            </w:pP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44,505</w:t>
            </w:r>
          </w:p>
        </w:tc>
        <w:tc>
          <w:tcPr>
            <w:tcW w:w="80" w:type="dxa"/>
            <w:vAlign w:val="bottom"/>
          </w:tcPr>
          <w:p>
            <w:pPr>
              <w:spacing w:after="0"/>
              <w:rPr>
                <w:sz w:val="20"/>
                <w:szCs w:val="20"/>
                <w:color w:val="auto"/>
              </w:rPr>
            </w:pPr>
          </w:p>
        </w:tc>
      </w:tr>
      <w:tr>
        <w:trPr>
          <w:trHeight w:val="198"/>
        </w:trPr>
        <w:tc>
          <w:tcPr>
            <w:tcW w:w="3600" w:type="dxa"/>
            <w:vAlign w:val="bottom"/>
            <w:gridSpan w:val="3"/>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Reductions for securities sold during the</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36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period</w:t>
            </w: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3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CCEEFF"/>
          </w:tcPr>
          <w:p>
            <w:pPr>
              <w:spacing w:after="0"/>
              <w:rPr>
                <w:sz w:val="20"/>
                <w:szCs w:val="20"/>
                <w:color w:val="auto"/>
              </w:rPr>
            </w:pPr>
          </w:p>
        </w:tc>
        <w:tc>
          <w:tcPr>
            <w:tcW w:w="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r>
      <w:tr>
        <w:trPr>
          <w:trHeight w:val="198"/>
        </w:trPr>
        <w:tc>
          <w:tcPr>
            <w:tcW w:w="3600" w:type="dxa"/>
            <w:vAlign w:val="bottom"/>
            <w:gridSpan w:val="3"/>
          </w:tcPr>
          <w:p>
            <w:pPr>
              <w:ind w:left="180"/>
              <w:spacing w:after="0" w:line="198" w:lineRule="exact"/>
              <w:rPr>
                <w:sz w:val="20"/>
                <w:szCs w:val="20"/>
                <w:color w:val="auto"/>
              </w:rPr>
            </w:pPr>
            <w:r>
              <w:rPr>
                <w:rFonts w:ascii="Times New Roman" w:cs="Times New Roman" w:eastAsia="Times New Roman" w:hAnsi="Times New Roman"/>
                <w:sz w:val="18"/>
                <w:szCs w:val="18"/>
                <w:color w:val="auto"/>
              </w:rPr>
              <w:t>Reductions for securities with credit losses</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36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due to intent to sell</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spacing w:after="0"/>
              <w:rPr>
                <w:sz w:val="20"/>
                <w:szCs w:val="20"/>
                <w:color w:val="auto"/>
              </w:rPr>
            </w:pPr>
          </w:p>
        </w:tc>
        <w:tc>
          <w:tcPr>
            <w:tcW w:w="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r>
      <w:tr>
        <w:trPr>
          <w:trHeight w:val="216"/>
        </w:trPr>
        <w:tc>
          <w:tcPr>
            <w:tcW w:w="36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Write-offs charged against the allowance</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37"/>
        </w:trPr>
        <w:tc>
          <w:tcPr>
            <w:tcW w:w="36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Recoveries of amounts previously written off</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spacing w:after="0"/>
              <w:rPr>
                <w:sz w:val="20"/>
                <w:szCs w:val="20"/>
                <w:color w:val="auto"/>
              </w:rPr>
            </w:pPr>
          </w:p>
        </w:tc>
        <w:tc>
          <w:tcPr>
            <w:tcW w:w="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r>
      <w:tr>
        <w:trPr>
          <w:trHeight w:val="243"/>
        </w:trPr>
        <w:tc>
          <w:tcPr>
            <w:tcW w:w="200" w:type="dxa"/>
            <w:vAlign w:val="bottom"/>
            <w:tcBorders>
              <w:top w:val="single" w:sz="8" w:color="CCEEFF"/>
            </w:tcBorders>
            <w:shd w:val="clear" w:color="auto" w:fill="CCEEFF"/>
          </w:tcPr>
          <w:p>
            <w:pPr>
              <w:spacing w:after="0"/>
              <w:rPr>
                <w:sz w:val="21"/>
                <w:szCs w:val="21"/>
                <w:color w:val="auto"/>
              </w:rPr>
            </w:pPr>
          </w:p>
        </w:tc>
        <w:tc>
          <w:tcPr>
            <w:tcW w:w="880" w:type="dxa"/>
            <w:vAlign w:val="bottom"/>
            <w:tcBorders>
              <w:top w:val="single" w:sz="8" w:color="CCEEFF"/>
            </w:tcBorders>
            <w:shd w:val="clear" w:color="auto" w:fill="CCEEFF"/>
          </w:tcPr>
          <w:p>
            <w:pPr>
              <w:spacing w:after="0"/>
              <w:rPr>
                <w:sz w:val="21"/>
                <w:szCs w:val="21"/>
                <w:color w:val="auto"/>
              </w:rPr>
            </w:pPr>
          </w:p>
        </w:tc>
        <w:tc>
          <w:tcPr>
            <w:tcW w:w="25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CCEEFF"/>
            </w:tcBorders>
            <w:shd w:val="clear" w:color="auto" w:fill="CCEEFF"/>
          </w:tcPr>
          <w:p>
            <w:pPr>
              <w:spacing w:after="0"/>
              <w:rPr>
                <w:sz w:val="21"/>
                <w:szCs w:val="21"/>
                <w:color w:val="auto"/>
              </w:rPr>
            </w:pPr>
          </w:p>
        </w:tc>
        <w:tc>
          <w:tcPr>
            <w:tcW w:w="980" w:type="dxa"/>
            <w:vAlign w:val="bottom"/>
            <w:tcBorders>
              <w:top w:val="single" w:sz="8" w:color="auto"/>
            </w:tcBorders>
            <w:shd w:val="clear" w:color="auto" w:fill="CCEEFF"/>
          </w:tcPr>
          <w:p>
            <w:pPr>
              <w:spacing w:after="0"/>
              <w:rPr>
                <w:sz w:val="21"/>
                <w:szCs w:val="21"/>
                <w:color w:val="auto"/>
              </w:rPr>
            </w:pPr>
          </w:p>
        </w:tc>
        <w:tc>
          <w:tcPr>
            <w:tcW w:w="60" w:type="dxa"/>
            <w:vAlign w:val="bottom"/>
            <w:tcBorders>
              <w:top w:val="single" w:sz="8" w:color="auto"/>
            </w:tcBorders>
            <w:shd w:val="clear" w:color="auto" w:fill="CCEEFF"/>
          </w:tcPr>
          <w:p>
            <w:pPr>
              <w:spacing w:after="0"/>
              <w:rPr>
                <w:sz w:val="21"/>
                <w:szCs w:val="21"/>
                <w:color w:val="auto"/>
              </w:rPr>
            </w:pPr>
          </w:p>
        </w:tc>
        <w:tc>
          <w:tcPr>
            <w:tcW w:w="300" w:type="dxa"/>
            <w:vAlign w:val="bottom"/>
            <w:tcBorders>
              <w:top w:val="single" w:sz="8" w:color="CCEEFF"/>
            </w:tcBorders>
            <w:shd w:val="clear" w:color="auto" w:fill="CCEEFF"/>
          </w:tcPr>
          <w:p>
            <w:pPr>
              <w:spacing w:after="0"/>
              <w:rPr>
                <w:sz w:val="21"/>
                <w:szCs w:val="21"/>
                <w:color w:val="auto"/>
              </w:rPr>
            </w:pPr>
          </w:p>
        </w:tc>
        <w:tc>
          <w:tcPr>
            <w:tcW w:w="960" w:type="dxa"/>
            <w:vAlign w:val="bottom"/>
            <w:tcBorders>
              <w:top w:val="single" w:sz="8" w:color="auto"/>
            </w:tcBorders>
            <w:shd w:val="clear" w:color="auto" w:fill="CCEEFF"/>
          </w:tcPr>
          <w:p>
            <w:pPr>
              <w:spacing w:after="0"/>
              <w:rPr>
                <w:sz w:val="21"/>
                <w:szCs w:val="21"/>
                <w:color w:val="auto"/>
              </w:rPr>
            </w:pPr>
          </w:p>
        </w:tc>
        <w:tc>
          <w:tcPr>
            <w:tcW w:w="60" w:type="dxa"/>
            <w:vAlign w:val="bottom"/>
            <w:tcBorders>
              <w:top w:val="single" w:sz="8" w:color="auto"/>
            </w:tcBorders>
            <w:shd w:val="clear" w:color="auto" w:fill="CCEEFF"/>
          </w:tcPr>
          <w:p>
            <w:pPr>
              <w:spacing w:after="0"/>
              <w:rPr>
                <w:sz w:val="21"/>
                <w:szCs w:val="21"/>
                <w:color w:val="auto"/>
              </w:rPr>
            </w:pPr>
          </w:p>
        </w:tc>
        <w:tc>
          <w:tcPr>
            <w:tcW w:w="16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900" w:type="dxa"/>
            <w:vAlign w:val="bottom"/>
            <w:tcBorders>
              <w:top w:val="single" w:sz="8" w:color="auto"/>
            </w:tcBorders>
            <w:shd w:val="clear" w:color="auto" w:fill="CCEEFF"/>
          </w:tcPr>
          <w:p>
            <w:pPr>
              <w:spacing w:after="0"/>
              <w:rPr>
                <w:sz w:val="21"/>
                <w:szCs w:val="21"/>
                <w:color w:val="auto"/>
              </w:rPr>
            </w:pPr>
          </w:p>
        </w:tc>
        <w:tc>
          <w:tcPr>
            <w:tcW w:w="28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880" w:type="dxa"/>
            <w:vAlign w:val="bottom"/>
            <w:tcBorders>
              <w:top w:val="single" w:sz="8" w:color="auto"/>
            </w:tcBorders>
            <w:shd w:val="clear" w:color="auto" w:fill="CCEEFF"/>
          </w:tcPr>
          <w:p>
            <w:pPr>
              <w:spacing w:after="0"/>
              <w:rPr>
                <w:sz w:val="21"/>
                <w:szCs w:val="21"/>
                <w:color w:val="auto"/>
              </w:rPr>
            </w:pPr>
          </w:p>
        </w:tc>
        <w:tc>
          <w:tcPr>
            <w:tcW w:w="3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80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r>
      <w:tr>
        <w:trPr>
          <w:trHeight w:val="243"/>
        </w:trPr>
        <w:tc>
          <w:tcPr>
            <w:tcW w:w="3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Ending Balance - June 30, 2023</w:t>
            </w:r>
          </w:p>
        </w:tc>
        <w:tc>
          <w:tcPr>
            <w:tcW w:w="1120" w:type="dxa"/>
            <w:vAlign w:val="bottom"/>
            <w:gridSpan w:val="2"/>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224,005</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224,005</w:t>
            </w:r>
          </w:p>
        </w:tc>
        <w:tc>
          <w:tcPr>
            <w:tcW w:w="80" w:type="dxa"/>
            <w:vAlign w:val="bottom"/>
          </w:tcPr>
          <w:p>
            <w:pPr>
              <w:spacing w:after="0"/>
              <w:rPr>
                <w:sz w:val="21"/>
                <w:szCs w:val="21"/>
                <w:color w:val="auto"/>
              </w:rPr>
            </w:pPr>
          </w:p>
        </w:tc>
      </w:tr>
      <w:tr>
        <w:trPr>
          <w:trHeight w:val="20"/>
        </w:trPr>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tables present a roll forward of the Company’s allowance for credit losses on fixed maturity securities available for sale for the six month periods ended June 30, 2024:</w:t>
      </w:r>
    </w:p>
    <w:p>
      <w:pPr>
        <w:sectPr>
          <w:pgSz w:w="11900" w:h="16923" w:orient="portrait"/>
          <w:cols w:equalWidth="0" w:num="1">
            <w:col w:w="11240"/>
          </w:cols>
          <w:pgMar w:left="320" w:top="661"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Beginning balance - January 1, 2024</w:t>
      </w:r>
    </w:p>
    <w:p>
      <w:pPr>
        <w:spacing w:after="0" w:line="225" w:lineRule="exact"/>
        <w:rPr>
          <w:sz w:val="20"/>
          <w:szCs w:val="20"/>
          <w:color w:val="auto"/>
        </w:rPr>
      </w:pPr>
    </w:p>
    <w:p>
      <w:pPr>
        <w:ind w:left="180" w:right="280"/>
        <w:spacing w:after="0" w:line="261" w:lineRule="auto"/>
        <w:rPr>
          <w:sz w:val="20"/>
          <w:szCs w:val="20"/>
          <w:color w:val="auto"/>
        </w:rPr>
      </w:pPr>
      <w:r>
        <w:rPr>
          <w:rFonts w:ascii="Times New Roman" w:cs="Times New Roman" w:eastAsia="Times New Roman" w:hAnsi="Times New Roman"/>
          <w:sz w:val="18"/>
          <w:szCs w:val="18"/>
          <w:color w:val="auto"/>
        </w:rPr>
        <w:t>Additions for credit losses not previously recorded</w:t>
      </w:r>
    </w:p>
    <w:p>
      <w:pPr>
        <w:ind w:left="180" w:right="420"/>
        <w:spacing w:after="0" w:line="250" w:lineRule="auto"/>
        <w:rPr>
          <w:sz w:val="20"/>
          <w:szCs w:val="20"/>
          <w:color w:val="auto"/>
        </w:rPr>
      </w:pPr>
      <w:r>
        <w:rPr>
          <w:rFonts w:ascii="Times New Roman" w:cs="Times New Roman" w:eastAsia="Times New Roman" w:hAnsi="Times New Roman"/>
          <w:sz w:val="18"/>
          <w:szCs w:val="18"/>
          <w:color w:val="auto"/>
        </w:rPr>
        <w:t>Change in allowance on securities with previous allowance</w:t>
      </w:r>
    </w:p>
    <w:p>
      <w:pPr>
        <w:spacing w:after="0" w:line="1" w:lineRule="exact"/>
        <w:rPr>
          <w:sz w:val="20"/>
          <w:szCs w:val="20"/>
          <w:color w:val="auto"/>
        </w:rPr>
      </w:pPr>
    </w:p>
    <w:p>
      <w:pPr>
        <w:ind w:left="180" w:right="340"/>
        <w:spacing w:after="0" w:line="250" w:lineRule="auto"/>
        <w:rPr>
          <w:sz w:val="20"/>
          <w:szCs w:val="20"/>
          <w:color w:val="auto"/>
        </w:rPr>
      </w:pPr>
      <w:r>
        <w:rPr>
          <w:rFonts w:ascii="Times New Roman" w:cs="Times New Roman" w:eastAsia="Times New Roman" w:hAnsi="Times New Roman"/>
          <w:sz w:val="18"/>
          <w:szCs w:val="18"/>
          <w:color w:val="auto"/>
        </w:rPr>
        <w:t>Reductions for securities sold during the period</w:t>
      </w:r>
    </w:p>
    <w:p>
      <w:pPr>
        <w:spacing w:after="0" w:line="1" w:lineRule="exact"/>
        <w:rPr>
          <w:sz w:val="20"/>
          <w:szCs w:val="20"/>
          <w:color w:val="auto"/>
        </w:rPr>
      </w:pPr>
    </w:p>
    <w:p>
      <w:pPr>
        <w:ind w:left="180" w:right="160"/>
        <w:spacing w:after="0" w:line="250" w:lineRule="auto"/>
        <w:rPr>
          <w:sz w:val="20"/>
          <w:szCs w:val="20"/>
          <w:color w:val="auto"/>
        </w:rPr>
      </w:pPr>
      <w:r>
        <w:rPr>
          <w:rFonts w:ascii="Times New Roman" w:cs="Times New Roman" w:eastAsia="Times New Roman" w:hAnsi="Times New Roman"/>
          <w:sz w:val="18"/>
          <w:szCs w:val="18"/>
          <w:color w:val="auto"/>
        </w:rPr>
        <w:t>Reductions for securities with credit losses due to intent to sell</w:t>
      </w:r>
    </w:p>
    <w:p>
      <w:pPr>
        <w:spacing w:after="0" w:line="1" w:lineRule="exact"/>
        <w:rPr>
          <w:sz w:val="20"/>
          <w:szCs w:val="20"/>
          <w:color w:val="auto"/>
        </w:rPr>
      </w:pPr>
    </w:p>
    <w:p>
      <w:pPr>
        <w:ind w:left="180"/>
        <w:spacing w:after="0" w:line="290" w:lineRule="auto"/>
        <w:rPr>
          <w:sz w:val="20"/>
          <w:szCs w:val="20"/>
          <w:color w:val="auto"/>
        </w:rPr>
      </w:pPr>
      <w:r>
        <w:rPr>
          <w:rFonts w:ascii="Times New Roman" w:cs="Times New Roman" w:eastAsia="Times New Roman" w:hAnsi="Times New Roman"/>
          <w:sz w:val="17"/>
          <w:szCs w:val="17"/>
          <w:color w:val="auto"/>
        </w:rPr>
        <w:t>Write-offs charged against the allowance Recoveries of amounts previously written off</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Ending Balance - June 30, 2024</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color w:val="auto"/>
        </w:rPr>
        <w:t>Six Months Ended June 30, 2024</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340" w:type="dxa"/>
            <w:vAlign w:val="bottom"/>
            <w:tcBorders>
              <w:top w:val="single" w:sz="8" w:color="auto"/>
            </w:tcBorders>
            <w:gridSpan w:val="3"/>
          </w:tcPr>
          <w:p>
            <w:pPr>
              <w:jc w:val="center"/>
              <w:ind w:right="300"/>
              <w:spacing w:after="0" w:line="205" w:lineRule="exact"/>
              <w:rPr>
                <w:sz w:val="20"/>
                <w:szCs w:val="20"/>
                <w:color w:val="auto"/>
              </w:rPr>
            </w:pPr>
            <w:r>
              <w:rPr>
                <w:rFonts w:ascii="Times New Roman" w:cs="Times New Roman" w:eastAsia="Times New Roman" w:hAnsi="Times New Roman"/>
                <w:sz w:val="18"/>
                <w:szCs w:val="18"/>
                <w:color w:val="auto"/>
                <w:w w:val="99"/>
              </w:rPr>
              <w:t>U.S. Treasury</w:t>
            </w:r>
          </w:p>
        </w:tc>
        <w:tc>
          <w:tcPr>
            <w:tcW w:w="96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r>
      <w:tr>
        <w:trPr>
          <w:trHeight w:val="216"/>
        </w:trPr>
        <w:tc>
          <w:tcPr>
            <w:tcW w:w="134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color w:val="auto"/>
              </w:rPr>
              <w:t>securities and</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9"/>
              </w:rPr>
              <w:t>Corporate</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134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color w:val="auto"/>
              </w:rPr>
              <w:t>obligations of</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Obligations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9"/>
              </w:rPr>
              <w:t>securities</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of states and</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9"/>
              </w:rPr>
              <w:t>including</w:t>
            </w:r>
          </w:p>
        </w:tc>
        <w:tc>
          <w:tcPr>
            <w:tcW w:w="120" w:type="dxa"/>
            <w:vAlign w:val="bottom"/>
          </w:tcPr>
          <w:p>
            <w:pPr>
              <w:spacing w:after="0"/>
              <w:rPr>
                <w:sz w:val="18"/>
                <w:szCs w:val="18"/>
                <w:color w:val="auto"/>
              </w:rPr>
            </w:pPr>
          </w:p>
        </w:tc>
        <w:tc>
          <w:tcPr>
            <w:tcW w:w="118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9"/>
              </w:rPr>
              <w:t>Mortgage-</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Government</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political</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rPr>
              <w:t>public</w:t>
            </w:r>
          </w:p>
        </w:tc>
        <w:tc>
          <w:tcPr>
            <w:tcW w:w="120" w:type="dxa"/>
            <w:vAlign w:val="bottom"/>
          </w:tcPr>
          <w:p>
            <w:pPr>
              <w:spacing w:after="0"/>
              <w:rPr>
                <w:sz w:val="18"/>
                <w:szCs w:val="18"/>
                <w:color w:val="auto"/>
              </w:rPr>
            </w:pPr>
          </w:p>
        </w:tc>
        <w:tc>
          <w:tcPr>
            <w:tcW w:w="11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7"/>
              </w:rPr>
              <w:t>backed</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41"/>
        </w:trPr>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agencies</w:t>
            </w:r>
          </w:p>
        </w:tc>
        <w:tc>
          <w:tcPr>
            <w:tcW w:w="6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subdivisions</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9"/>
              </w:rPr>
              <w:t>utilities</w:t>
            </w:r>
          </w:p>
        </w:tc>
        <w:tc>
          <w:tcPr>
            <w:tcW w:w="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9"/>
              </w:rPr>
              <w:t>securities</w:t>
            </w:r>
          </w:p>
        </w:tc>
        <w:tc>
          <w:tcPr>
            <w:tcW w:w="3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Total</w:t>
            </w:r>
          </w:p>
        </w:tc>
      </w:tr>
      <w:tr>
        <w:trPr>
          <w:trHeight w:val="432"/>
        </w:trPr>
        <w:tc>
          <w:tcPr>
            <w:tcW w:w="98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308,500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6,049</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314,549</w:t>
            </w:r>
          </w:p>
        </w:tc>
      </w:tr>
      <w:tr>
        <w:trPr>
          <w:trHeight w:val="648"/>
        </w:trPr>
        <w:tc>
          <w:tcPr>
            <w:tcW w:w="980" w:type="dxa"/>
            <w:vAlign w:val="bottom"/>
          </w:tcPr>
          <w:p>
            <w:pPr>
              <w:spacing w:after="0"/>
              <w:rPr>
                <w:sz w:val="24"/>
                <w:szCs w:val="24"/>
                <w:color w:val="auto"/>
              </w:rPr>
            </w:pPr>
          </w:p>
        </w:tc>
        <w:tc>
          <w:tcPr>
            <w:tcW w:w="3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spacing w:after="0"/>
              <w:rPr>
                <w:sz w:val="24"/>
                <w:szCs w:val="24"/>
                <w:color w:val="auto"/>
              </w:rPr>
            </w:pPr>
          </w:p>
        </w:tc>
        <w:tc>
          <w:tcPr>
            <w:tcW w:w="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30,000</w:t>
            </w:r>
          </w:p>
        </w:tc>
        <w:tc>
          <w:tcPr>
            <w:tcW w:w="120" w:type="dxa"/>
            <w:vAlign w:val="bottom"/>
          </w:tcPr>
          <w:p>
            <w:pPr>
              <w:spacing w:after="0"/>
              <w:rPr>
                <w:sz w:val="24"/>
                <w:szCs w:val="24"/>
                <w:color w:val="auto"/>
              </w:rPr>
            </w:pP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6,000</w:t>
            </w: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36,000</w:t>
            </w:r>
          </w:p>
        </w:tc>
      </w:tr>
      <w:tr>
        <w:trPr>
          <w:trHeight w:val="432"/>
        </w:trPr>
        <w:tc>
          <w:tcPr>
            <w:tcW w:w="980" w:type="dxa"/>
            <w:vAlign w:val="bottom"/>
          </w:tcPr>
          <w:p>
            <w:pPr>
              <w:spacing w:after="0"/>
              <w:rPr>
                <w:sz w:val="24"/>
                <w:szCs w:val="24"/>
                <w:color w:val="auto"/>
              </w:rPr>
            </w:pPr>
          </w:p>
        </w:tc>
        <w:tc>
          <w:tcPr>
            <w:tcW w:w="3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spacing w:after="0"/>
              <w:rPr>
                <w:sz w:val="24"/>
                <w:szCs w:val="24"/>
                <w:color w:val="auto"/>
              </w:rPr>
            </w:pPr>
          </w:p>
        </w:tc>
        <w:tc>
          <w:tcPr>
            <w:tcW w:w="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43,711</w:t>
            </w:r>
          </w:p>
        </w:tc>
        <w:tc>
          <w:tcPr>
            <w:tcW w:w="120" w:type="dxa"/>
            <w:vAlign w:val="bottom"/>
          </w:tcPr>
          <w:p>
            <w:pPr>
              <w:spacing w:after="0"/>
              <w:rPr>
                <w:sz w:val="24"/>
                <w:szCs w:val="24"/>
                <w:color w:val="auto"/>
              </w:rPr>
            </w:pP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43,711</w:t>
            </w:r>
          </w:p>
        </w:tc>
      </w:tr>
      <w:tr>
        <w:trPr>
          <w:trHeight w:val="432"/>
        </w:trPr>
        <w:tc>
          <w:tcPr>
            <w:tcW w:w="980" w:type="dxa"/>
            <w:vAlign w:val="bottom"/>
          </w:tcPr>
          <w:p>
            <w:pPr>
              <w:spacing w:after="0"/>
              <w:rPr>
                <w:sz w:val="24"/>
                <w:szCs w:val="24"/>
                <w:color w:val="auto"/>
              </w:rPr>
            </w:pPr>
          </w:p>
        </w:tc>
        <w:tc>
          <w:tcPr>
            <w:tcW w:w="3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spacing w:after="0"/>
              <w:rPr>
                <w:sz w:val="24"/>
                <w:szCs w:val="24"/>
                <w:color w:val="auto"/>
              </w:rPr>
            </w:pPr>
          </w:p>
        </w:tc>
        <w:tc>
          <w:tcPr>
            <w:tcW w:w="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14"/>
        </w:trPr>
        <w:tc>
          <w:tcPr>
            <w:tcW w:w="980" w:type="dxa"/>
            <w:vAlign w:val="bottom"/>
          </w:tcPr>
          <w:p>
            <w:pPr>
              <w:spacing w:after="0"/>
              <w:rPr>
                <w:sz w:val="24"/>
                <w:szCs w:val="24"/>
                <w:color w:val="auto"/>
              </w:rPr>
            </w:pPr>
          </w:p>
        </w:tc>
        <w:tc>
          <w:tcPr>
            <w:tcW w:w="3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spacing w:after="0"/>
              <w:rPr>
                <w:sz w:val="24"/>
                <w:szCs w:val="24"/>
                <w:color w:val="auto"/>
              </w:rPr>
            </w:pPr>
          </w:p>
        </w:tc>
        <w:tc>
          <w:tcPr>
            <w:tcW w:w="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980" w:type="dxa"/>
            <w:vAlign w:val="bottom"/>
          </w:tcPr>
          <w:p>
            <w:pPr>
              <w:spacing w:after="0"/>
              <w:rPr>
                <w:sz w:val="19"/>
                <w:szCs w:val="19"/>
                <w:color w:val="auto"/>
              </w:rPr>
            </w:pPr>
          </w:p>
        </w:tc>
        <w:tc>
          <w:tcPr>
            <w:tcW w:w="3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spacing w:after="0"/>
              <w:rPr>
                <w:sz w:val="19"/>
                <w:szCs w:val="19"/>
                <w:color w:val="auto"/>
              </w:rPr>
            </w:pPr>
          </w:p>
        </w:tc>
        <w:tc>
          <w:tcPr>
            <w:tcW w:w="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980" w:type="dxa"/>
            <w:vAlign w:val="bottom"/>
          </w:tcPr>
          <w:p>
            <w:pPr>
              <w:spacing w:after="0"/>
              <w:rPr>
                <w:sz w:val="20"/>
                <w:szCs w:val="20"/>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98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Borders>
              <w:lef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r>
      <w:tr>
        <w:trPr>
          <w:trHeight w:val="486"/>
        </w:trPr>
        <w:tc>
          <w:tcPr>
            <w:tcW w:w="98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Pr>
          <w:p>
            <w:pPr>
              <w:spacing w:after="0"/>
              <w:rPr>
                <w:sz w:val="24"/>
                <w:szCs w:val="24"/>
                <w:color w:val="auto"/>
              </w:rPr>
            </w:pPr>
          </w:p>
        </w:tc>
        <w:tc>
          <w:tcPr>
            <w:tcW w:w="96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382,211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12,049</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394,260</w:t>
            </w:r>
          </w:p>
        </w:tc>
      </w:tr>
      <w:tr>
        <w:trPr>
          <w:trHeight w:val="20"/>
        </w:trPr>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-2369185</wp:posOffset>
            </wp:positionH>
            <wp:positionV relativeFrom="paragraph">
              <wp:posOffset>-2005330</wp:posOffset>
            </wp:positionV>
            <wp:extent cx="641223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-2369185</wp:posOffset>
            </wp:positionH>
            <wp:positionV relativeFrom="paragraph">
              <wp:posOffset>-1731010</wp:posOffset>
            </wp:positionV>
            <wp:extent cx="6412230" cy="2743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412230" cy="274320"/>
                    </a:xfrm>
                    <a:prstGeom prst="rect">
                      <a:avLst/>
                    </a:prstGeom>
                    <a:noFill/>
                  </pic:spPr>
                </pic:pic>
              </a:graphicData>
            </a:graphic>
          </wp:anchor>
        </w:drawing>
        <w:drawing>
          <wp:anchor simplePos="0" relativeHeight="251657728" behindDoc="1" locked="0" layoutInCell="0" allowOverlap="1">
            <wp:simplePos x="0" y="0"/>
            <wp:positionH relativeFrom="column">
              <wp:posOffset>-2369185</wp:posOffset>
            </wp:positionH>
            <wp:positionV relativeFrom="paragraph">
              <wp:posOffset>-1182370</wp:posOffset>
            </wp:positionV>
            <wp:extent cx="6412230" cy="2743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412230" cy="274320"/>
                    </a:xfrm>
                    <a:prstGeom prst="rect">
                      <a:avLst/>
                    </a:prstGeom>
                    <a:noFill/>
                  </pic:spPr>
                </pic:pic>
              </a:graphicData>
            </a:graphic>
          </wp:anchor>
        </w:drawing>
        <w:drawing>
          <wp:anchor simplePos="0" relativeHeight="251657728" behindDoc="1" locked="0" layoutInCell="0" allowOverlap="1">
            <wp:simplePos x="0" y="0"/>
            <wp:positionH relativeFrom="column">
              <wp:posOffset>-2369185</wp:posOffset>
            </wp:positionH>
            <wp:positionV relativeFrom="paragraph">
              <wp:posOffset>-633730</wp:posOffset>
            </wp:positionV>
            <wp:extent cx="641223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-2369185</wp:posOffset>
            </wp:positionH>
            <wp:positionV relativeFrom="paragraph">
              <wp:posOffset>-342265</wp:posOffset>
            </wp:positionV>
            <wp:extent cx="6412230" cy="1631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412230" cy="163195"/>
                    </a:xfrm>
                    <a:prstGeom prst="rect">
                      <a:avLst/>
                    </a:prstGeom>
                    <a:noFill/>
                  </pic:spPr>
                </pic:pic>
              </a:graphicData>
            </a:graphic>
          </wp:anchor>
        </w:drawing>
      </w:r>
    </w:p>
    <w:p>
      <w:pPr>
        <w:spacing w:after="0" w:line="191"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color w:val="auto"/>
        </w:rPr>
        <w:t>Six Months Ended June 30, 2023</w:t>
      </w:r>
    </w:p>
    <w:p>
      <w:pPr>
        <w:spacing w:after="0" w:line="27" w:lineRule="exact"/>
        <w:rPr>
          <w:sz w:val="20"/>
          <w:szCs w:val="20"/>
          <w:color w:val="auto"/>
        </w:rPr>
      </w:pPr>
    </w:p>
    <w:p>
      <w:pPr>
        <w:sectPr>
          <w:pgSz w:w="11900" w:h="16923" w:orient="portrait"/>
          <w:cols w:equalWidth="0" w:num="2">
            <w:col w:w="3440" w:space="300"/>
            <w:col w:w="7500"/>
          </w:cols>
          <w:pgMar w:left="320" w:top="661" w:right="339" w:bottom="0" w:gutter="0" w:footer="0" w:header="0"/>
          <w:type w:val="continuous"/>
        </w:sectPr>
      </w:pPr>
    </w:p>
    <w:tbl>
      <w:tblPr>
        <w:tblLayout w:type="fixed"/>
        <w:tblInd w:w="0" w:type="dxa"/>
        <w:tblCellMar>
          <w:top w:w="0" w:type="dxa"/>
          <w:left w:w="0" w:type="dxa"/>
          <w:bottom w:w="0" w:type="dxa"/>
          <w:right w:w="0" w:type="dxa"/>
        </w:tblCellMar>
      </w:tblPr>
      <w:tr>
        <w:trPr>
          <w:trHeight w:val="205"/>
        </w:trPr>
        <w:tc>
          <w:tcPr>
            <w:tcW w:w="3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Borders>
              <w:top w:val="single" w:sz="8" w:color="auto"/>
            </w:tcBorders>
            <w:gridSpan w:val="3"/>
          </w:tcPr>
          <w:p>
            <w:pPr>
              <w:jc w:val="center"/>
              <w:ind w:right="300"/>
              <w:spacing w:after="0" w:line="205" w:lineRule="exact"/>
              <w:rPr>
                <w:sz w:val="20"/>
                <w:szCs w:val="20"/>
                <w:color w:val="auto"/>
              </w:rPr>
            </w:pPr>
            <w:r>
              <w:rPr>
                <w:rFonts w:ascii="Times New Roman" w:cs="Times New Roman" w:eastAsia="Times New Roman" w:hAnsi="Times New Roman"/>
                <w:sz w:val="18"/>
                <w:szCs w:val="18"/>
                <w:color w:val="auto"/>
                <w:w w:val="99"/>
              </w:rPr>
              <w:t>U.S. Treasury</w:t>
            </w:r>
          </w:p>
        </w:tc>
        <w:tc>
          <w:tcPr>
            <w:tcW w:w="96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3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color w:val="auto"/>
              </w:rPr>
              <w:t>securities and</w:t>
            </w: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9"/>
              </w:rPr>
              <w:t>Corporate</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color w:val="auto"/>
              </w:rPr>
              <w:t>obligations of</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Obligations</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9"/>
              </w:rPr>
              <w:t>securities</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of states and</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9"/>
              </w:rPr>
              <w:t>including</w:t>
            </w:r>
          </w:p>
        </w:tc>
        <w:tc>
          <w:tcPr>
            <w:tcW w:w="120" w:type="dxa"/>
            <w:vAlign w:val="bottom"/>
          </w:tcPr>
          <w:p>
            <w:pPr>
              <w:spacing w:after="0"/>
              <w:rPr>
                <w:sz w:val="18"/>
                <w:szCs w:val="18"/>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Mortgage-</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Government</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political</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rPr>
              <w:t>public</w:t>
            </w:r>
          </w:p>
        </w:tc>
        <w:tc>
          <w:tcPr>
            <w:tcW w:w="120" w:type="dxa"/>
            <w:vAlign w:val="bottom"/>
          </w:tcPr>
          <w:p>
            <w:pPr>
              <w:spacing w:after="0"/>
              <w:rPr>
                <w:sz w:val="18"/>
                <w:szCs w:val="18"/>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7"/>
              </w:rPr>
              <w:t>backed</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1"/>
        </w:trPr>
        <w:tc>
          <w:tcPr>
            <w:tcW w:w="3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agencies</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subdivisions</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9"/>
              </w:rPr>
              <w:t>utilities</w:t>
            </w:r>
          </w:p>
        </w:tc>
        <w:tc>
          <w:tcPr>
            <w:tcW w:w="120" w:type="dxa"/>
            <w:vAlign w:val="bottom"/>
          </w:tcPr>
          <w:p>
            <w:pPr>
              <w:spacing w:after="0"/>
              <w:rPr>
                <w:sz w:val="20"/>
                <w:szCs w:val="20"/>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securities</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Total</w:t>
            </w:r>
          </w:p>
        </w:tc>
      </w:tr>
      <w:tr>
        <w:trPr>
          <w:trHeight w:val="216"/>
        </w:trPr>
        <w:tc>
          <w:tcPr>
            <w:tcW w:w="3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 - January 1, 2023</w:t>
            </w:r>
          </w:p>
        </w:tc>
        <w:tc>
          <w:tcPr>
            <w:tcW w:w="1220" w:type="dxa"/>
            <w:vAlign w:val="bottom"/>
            <w:gridSpan w:val="2"/>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8"/>
        </w:trPr>
        <w:tc>
          <w:tcPr>
            <w:tcW w:w="350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Additions for credit losses not previously</w:t>
            </w: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recorded</w:t>
            </w:r>
          </w:p>
        </w:tc>
        <w:tc>
          <w:tcPr>
            <w:tcW w:w="2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3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CCEEFF"/>
          </w:tcPr>
          <w:p>
            <w:pPr>
              <w:spacing w:after="0"/>
              <w:rPr>
                <w:sz w:val="20"/>
                <w:szCs w:val="20"/>
                <w:color w:val="auto"/>
              </w:rPr>
            </w:pPr>
          </w:p>
        </w:tc>
        <w:tc>
          <w:tcPr>
            <w:tcW w:w="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179,500</w:t>
            </w:r>
          </w:p>
        </w:tc>
        <w:tc>
          <w:tcPr>
            <w:tcW w:w="1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179,500</w:t>
            </w:r>
          </w:p>
        </w:tc>
      </w:tr>
      <w:tr>
        <w:trPr>
          <w:trHeight w:val="198"/>
        </w:trPr>
        <w:tc>
          <w:tcPr>
            <w:tcW w:w="350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Change in allowance on securities with</w:t>
            </w: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previous allowance</w:t>
            </w: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spacing w:after="0"/>
              <w:rPr>
                <w:sz w:val="20"/>
                <w:szCs w:val="20"/>
                <w:color w:val="auto"/>
              </w:rPr>
            </w:pPr>
          </w:p>
        </w:tc>
        <w:tc>
          <w:tcPr>
            <w:tcW w:w="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44,505</w:t>
            </w:r>
          </w:p>
        </w:tc>
        <w:tc>
          <w:tcPr>
            <w:tcW w:w="12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44,505</w:t>
            </w:r>
          </w:p>
        </w:tc>
      </w:tr>
      <w:tr>
        <w:trPr>
          <w:trHeight w:val="198"/>
        </w:trPr>
        <w:tc>
          <w:tcPr>
            <w:tcW w:w="350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Reductions for securities sold during the</w:t>
            </w: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period</w:t>
            </w:r>
          </w:p>
        </w:tc>
        <w:tc>
          <w:tcPr>
            <w:tcW w:w="2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3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CCEEFF"/>
          </w:tcPr>
          <w:p>
            <w:pPr>
              <w:spacing w:after="0"/>
              <w:rPr>
                <w:sz w:val="20"/>
                <w:szCs w:val="20"/>
                <w:color w:val="auto"/>
              </w:rPr>
            </w:pPr>
          </w:p>
        </w:tc>
        <w:tc>
          <w:tcPr>
            <w:tcW w:w="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Reductions for securities with credit losses</w:t>
            </w: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spacing w:after="0"/>
              <w:rPr>
                <w:sz w:val="20"/>
                <w:szCs w:val="20"/>
                <w:color w:val="auto"/>
              </w:rPr>
            </w:pPr>
          </w:p>
        </w:tc>
        <w:tc>
          <w:tcPr>
            <w:tcW w:w="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bl>
    <w:p>
      <w:pPr>
        <w:sectPr>
          <w:pgSz w:w="11900" w:h="16923" w:orient="portrait"/>
          <w:cols w:equalWidth="0" w:num="1">
            <w:col w:w="11240"/>
          </w:cols>
          <w:pgMar w:left="320" w:top="661" w:right="339" w:bottom="0" w:gutter="0" w:footer="0" w:header="0"/>
          <w:type w:val="continuous"/>
        </w:sectPr>
      </w:pPr>
    </w:p>
    <w:bookmarkStart w:id="20" w:name="page21"/>
    <w:bookmarkEnd w:id="2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due to intent to sell</w:t>
            </w: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16"/>
        </w:trPr>
        <w:tc>
          <w:tcPr>
            <w:tcW w:w="3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Write-offs charged against the allowance</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spacing w:after="0"/>
              <w:rPr>
                <w:sz w:val="18"/>
                <w:szCs w:val="18"/>
                <w:color w:val="auto"/>
              </w:rPr>
            </w:pPr>
          </w:p>
        </w:tc>
      </w:tr>
      <w:tr>
        <w:trPr>
          <w:trHeight w:val="237"/>
        </w:trPr>
        <w:tc>
          <w:tcPr>
            <w:tcW w:w="3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Recoveries of amounts previously written off</w:t>
            </w: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0"/>
                <w:szCs w:val="20"/>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spacing w:after="0"/>
              <w:rPr>
                <w:sz w:val="20"/>
                <w:szCs w:val="20"/>
                <w:color w:val="auto"/>
              </w:rPr>
            </w:pPr>
          </w:p>
        </w:tc>
      </w:tr>
      <w:tr>
        <w:trPr>
          <w:trHeight w:val="243"/>
        </w:trPr>
        <w:tc>
          <w:tcPr>
            <w:tcW w:w="36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CCEEFF"/>
            </w:tcBorders>
            <w:shd w:val="clear" w:color="auto" w:fill="CCEEFF"/>
          </w:tcPr>
          <w:p>
            <w:pPr>
              <w:spacing w:after="0"/>
              <w:rPr>
                <w:sz w:val="21"/>
                <w:szCs w:val="21"/>
                <w:color w:val="auto"/>
              </w:rPr>
            </w:pPr>
          </w:p>
        </w:tc>
        <w:tc>
          <w:tcPr>
            <w:tcW w:w="540" w:type="dxa"/>
            <w:vAlign w:val="bottom"/>
            <w:tcBorders>
              <w:top w:val="single" w:sz="8" w:color="auto"/>
            </w:tcBorders>
            <w:shd w:val="clear" w:color="auto" w:fill="CCEEFF"/>
          </w:tcPr>
          <w:p>
            <w:pPr>
              <w:spacing w:after="0"/>
              <w:rPr>
                <w:sz w:val="21"/>
                <w:szCs w:val="21"/>
                <w:color w:val="auto"/>
              </w:rPr>
            </w:pPr>
          </w:p>
        </w:tc>
        <w:tc>
          <w:tcPr>
            <w:tcW w:w="500" w:type="dxa"/>
            <w:vAlign w:val="bottom"/>
            <w:tcBorders>
              <w:top w:val="single" w:sz="8" w:color="auto"/>
            </w:tcBorders>
            <w:shd w:val="clear" w:color="auto" w:fill="CCEEFF"/>
          </w:tcPr>
          <w:p>
            <w:pPr>
              <w:spacing w:after="0"/>
              <w:rPr>
                <w:sz w:val="21"/>
                <w:szCs w:val="21"/>
                <w:color w:val="auto"/>
              </w:rPr>
            </w:pPr>
          </w:p>
        </w:tc>
        <w:tc>
          <w:tcPr>
            <w:tcW w:w="30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spacing w:after="0"/>
              <w:rPr>
                <w:sz w:val="21"/>
                <w:szCs w:val="21"/>
                <w:color w:val="auto"/>
              </w:rPr>
            </w:pPr>
          </w:p>
        </w:tc>
        <w:tc>
          <w:tcPr>
            <w:tcW w:w="740" w:type="dxa"/>
            <w:vAlign w:val="bottom"/>
            <w:tcBorders>
              <w:top w:val="single" w:sz="8" w:color="auto"/>
            </w:tcBorders>
            <w:shd w:val="clear" w:color="auto" w:fill="CCEEFF"/>
          </w:tcPr>
          <w:p>
            <w:pPr>
              <w:spacing w:after="0"/>
              <w:rPr>
                <w:sz w:val="21"/>
                <w:szCs w:val="21"/>
                <w:color w:val="auto"/>
              </w:rPr>
            </w:pPr>
          </w:p>
        </w:tc>
        <w:tc>
          <w:tcPr>
            <w:tcW w:w="16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spacing w:after="0"/>
              <w:rPr>
                <w:sz w:val="21"/>
                <w:szCs w:val="21"/>
                <w:color w:val="auto"/>
              </w:rPr>
            </w:pPr>
          </w:p>
        </w:tc>
        <w:tc>
          <w:tcPr>
            <w:tcW w:w="760" w:type="dxa"/>
            <w:vAlign w:val="bottom"/>
            <w:tcBorders>
              <w:top w:val="single" w:sz="8" w:color="auto"/>
            </w:tcBorders>
            <w:shd w:val="clear" w:color="auto" w:fill="CCEEFF"/>
          </w:tcPr>
          <w:p>
            <w:pPr>
              <w:spacing w:after="0"/>
              <w:rPr>
                <w:sz w:val="21"/>
                <w:szCs w:val="21"/>
                <w:color w:val="auto"/>
              </w:rPr>
            </w:pPr>
          </w:p>
        </w:tc>
        <w:tc>
          <w:tcPr>
            <w:tcW w:w="280" w:type="dxa"/>
            <w:vAlign w:val="bottom"/>
            <w:tcBorders>
              <w:top w:val="single" w:sz="8" w:color="CCEEFF"/>
            </w:tcBorders>
            <w:shd w:val="clear" w:color="auto" w:fill="CCEEFF"/>
          </w:tcPr>
          <w:p>
            <w:pPr>
              <w:spacing w:after="0"/>
              <w:rPr>
                <w:sz w:val="21"/>
                <w:szCs w:val="21"/>
                <w:color w:val="auto"/>
              </w:rPr>
            </w:pPr>
          </w:p>
        </w:tc>
        <w:tc>
          <w:tcPr>
            <w:tcW w:w="520" w:type="dxa"/>
            <w:vAlign w:val="bottom"/>
            <w:tcBorders>
              <w:top w:val="single" w:sz="8" w:color="auto"/>
            </w:tcBorders>
            <w:shd w:val="clear" w:color="auto" w:fill="CCEEFF"/>
          </w:tcPr>
          <w:p>
            <w:pPr>
              <w:spacing w:after="0"/>
              <w:rPr>
                <w:sz w:val="21"/>
                <w:szCs w:val="21"/>
                <w:color w:val="auto"/>
              </w:rPr>
            </w:pPr>
          </w:p>
        </w:tc>
        <w:tc>
          <w:tcPr>
            <w:tcW w:w="480" w:type="dxa"/>
            <w:vAlign w:val="bottom"/>
            <w:tcBorders>
              <w:top w:val="single" w:sz="8" w:color="auto"/>
            </w:tcBorders>
            <w:shd w:val="clear" w:color="auto" w:fill="CCEEFF"/>
          </w:tcPr>
          <w:p>
            <w:pPr>
              <w:spacing w:after="0"/>
              <w:rPr>
                <w:sz w:val="21"/>
                <w:szCs w:val="21"/>
                <w:color w:val="auto"/>
              </w:rPr>
            </w:pPr>
          </w:p>
        </w:tc>
        <w:tc>
          <w:tcPr>
            <w:tcW w:w="16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spacing w:after="0"/>
              <w:rPr>
                <w:sz w:val="21"/>
                <w:szCs w:val="21"/>
                <w:color w:val="auto"/>
              </w:rPr>
            </w:pPr>
          </w:p>
        </w:tc>
        <w:tc>
          <w:tcPr>
            <w:tcW w:w="76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1140" w:type="dxa"/>
            <w:vAlign w:val="bottom"/>
          </w:tcPr>
          <w:p>
            <w:pPr>
              <w:spacing w:after="0"/>
              <w:rPr>
                <w:sz w:val="21"/>
                <w:szCs w:val="21"/>
                <w:color w:val="auto"/>
              </w:rPr>
            </w:pPr>
          </w:p>
        </w:tc>
      </w:tr>
      <w:tr>
        <w:trPr>
          <w:trHeight w:val="243"/>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 - June 30, 2023</w:t>
            </w:r>
          </w:p>
        </w:tc>
        <w:tc>
          <w:tcPr>
            <w:tcW w:w="6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224,005</w:t>
            </w: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224,005</w:t>
            </w:r>
          </w:p>
        </w:tc>
        <w:tc>
          <w:tcPr>
            <w:tcW w:w="1140" w:type="dxa"/>
            <w:vAlign w:val="bottom"/>
          </w:tcPr>
          <w:p>
            <w:pPr>
              <w:spacing w:after="0"/>
              <w:rPr>
                <w:sz w:val="21"/>
                <w:szCs w:val="21"/>
                <w:color w:val="auto"/>
              </w:rPr>
            </w:pPr>
          </w:p>
        </w:tc>
      </w:tr>
      <w:tr>
        <w:trPr>
          <w:trHeight w:val="20"/>
        </w:trPr>
        <w:tc>
          <w:tcPr>
            <w:tcW w:w="3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636"/>
        </w:trPr>
        <w:tc>
          <w:tcPr>
            <w:tcW w:w="3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21" w:name="page22"/>
    <w:bookmarkEnd w:id="21"/>
    <w:p>
      <w:pPr>
        <w:ind w:left="2700"/>
        <w:spacing w:after="0"/>
        <w:rPr>
          <w:sz w:val="20"/>
          <w:szCs w:val="20"/>
          <w:color w:val="auto"/>
        </w:rPr>
      </w:pPr>
      <w:r>
        <w:rPr>
          <w:rFonts w:ascii="Times New Roman" w:cs="Times New Roman" w:eastAsia="Times New Roman" w:hAnsi="Times New Roman"/>
          <w:sz w:val="18"/>
          <w:szCs w:val="18"/>
          <w:color w:val="auto"/>
        </w:rPr>
        <w:t>SECURITY NATIONAL FINANCIAL CORPORATION AND SUBSIDIARIES</w:t>
      </w:r>
    </w:p>
    <w:p>
      <w:pPr>
        <w:spacing w:after="0" w:line="27"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p>
      <w:pPr>
        <w:spacing w:after="0" w:line="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June 30, 2024 (Unaudited)</w:t>
      </w:r>
    </w:p>
    <w:p>
      <w:pPr>
        <w:spacing w:after="0" w:line="207" w:lineRule="exact"/>
        <w:rPr>
          <w:sz w:val="20"/>
          <w:szCs w:val="20"/>
          <w:color w:val="auto"/>
        </w:rPr>
      </w:pPr>
    </w:p>
    <w:p>
      <w:pPr>
        <w:ind w:left="200" w:hanging="192"/>
        <w:spacing w:after="0"/>
        <w:tabs>
          <w:tab w:leader="none" w:pos="2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table below presents the amortized cost and the estimated fair value of fixed maturity securities available for sale as of June 30, 2024, by contractual maturity. Actual or expected maturities may differ from contractual maturities because certain borrowers may have the right to call or prepay obligations with or without call or prepayment penalties.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Amortized</w:t>
            </w:r>
          </w:p>
        </w:tc>
        <w:tc>
          <w:tcPr>
            <w:tcW w:w="140" w:type="dxa"/>
            <w:vAlign w:val="bottom"/>
          </w:tcPr>
          <w:p>
            <w:pPr>
              <w:spacing w:after="0"/>
              <w:rPr>
                <w:sz w:val="18"/>
                <w:szCs w:val="18"/>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Estimated Fair</w:t>
            </w:r>
          </w:p>
        </w:tc>
      </w:tr>
      <w:tr>
        <w:trPr>
          <w:trHeight w:val="241"/>
        </w:trPr>
        <w:tc>
          <w:tcPr>
            <w:tcW w:w="4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Cost</w:t>
            </w:r>
          </w:p>
        </w:tc>
        <w:tc>
          <w:tcPr>
            <w:tcW w:w="140" w:type="dxa"/>
            <w:vAlign w:val="bottom"/>
          </w:tcPr>
          <w:p>
            <w:pPr>
              <w:spacing w:after="0"/>
              <w:rPr>
                <w:sz w:val="20"/>
                <w:szCs w:val="20"/>
                <w:color w:val="auto"/>
              </w:rPr>
            </w:pPr>
          </w:p>
        </w:tc>
        <w:tc>
          <w:tcPr>
            <w:tcW w:w="14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Value</w:t>
            </w:r>
          </w:p>
        </w:tc>
      </w:tr>
      <w:tr>
        <w:trPr>
          <w:trHeight w:val="216"/>
        </w:trPr>
        <w:tc>
          <w:tcPr>
            <w:tcW w:w="4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in 1 year</w:t>
            </w: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28,273,026</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28,077,221</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Due in 2-5 years</w:t>
            </w:r>
          </w:p>
        </w:tc>
        <w:tc>
          <w:tcPr>
            <w:tcW w:w="22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127,055,688</w:t>
            </w:r>
          </w:p>
        </w:tc>
        <w:tc>
          <w:tcPr>
            <w:tcW w:w="14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124,443,548</w:t>
            </w:r>
          </w:p>
        </w:tc>
      </w:t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in 5-10 years</w:t>
            </w: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102,523,947</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101,192,513</w:t>
            </w: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Due in more than 10 years</w:t>
            </w:r>
          </w:p>
        </w:tc>
        <w:tc>
          <w:tcPr>
            <w:tcW w:w="22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65,502,596</w:t>
            </w:r>
          </w:p>
        </w:tc>
        <w:tc>
          <w:tcPr>
            <w:tcW w:w="14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62,592,074</w:t>
            </w:r>
          </w:p>
        </w:tc>
      </w:t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36,994,344</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32,792,671</w:t>
            </w:r>
          </w:p>
        </w:tc>
      </w:tr>
      <w:tr>
        <w:trPr>
          <w:trHeight w:val="237"/>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Redeemable preferred stock</w:t>
            </w:r>
          </w:p>
        </w:tc>
        <w:tc>
          <w:tcPr>
            <w:tcW w:w="220" w:type="dxa"/>
            <w:vAlign w:val="bottom"/>
          </w:tcPr>
          <w:p>
            <w:pPr>
              <w:spacing w:after="0"/>
              <w:rPr>
                <w:sz w:val="20"/>
                <w:szCs w:val="20"/>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250,000</w:t>
            </w:r>
          </w:p>
        </w:tc>
        <w:tc>
          <w:tcPr>
            <w:tcW w:w="140" w:type="dxa"/>
            <w:vAlign w:val="bottom"/>
          </w:tcPr>
          <w:p>
            <w:pPr>
              <w:spacing w:after="0"/>
              <w:rPr>
                <w:sz w:val="20"/>
                <w:szCs w:val="20"/>
                <w:color w:val="auto"/>
              </w:rPr>
            </w:pP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260,000</w:t>
            </w:r>
          </w:p>
        </w:tc>
      </w:tr>
      <w:tr>
        <w:trPr>
          <w:trHeight w:val="229"/>
        </w:trPr>
        <w:tc>
          <w:tcPr>
            <w:tcW w:w="45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360,599,601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349,358,027</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regarding sales of fixed maturity securities available for sale is presented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8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Three Months Ended June 30,</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700" w:type="dxa"/>
            <w:vAlign w:val="bottom"/>
            <w:gridSpan w:val="5"/>
          </w:tcPr>
          <w:p>
            <w:pPr>
              <w:jc w:val="right"/>
              <w:ind w:right="540"/>
              <w:spacing w:after="0"/>
              <w:rPr>
                <w:sz w:val="20"/>
                <w:szCs w:val="20"/>
                <w:color w:val="auto"/>
              </w:rPr>
            </w:pPr>
            <w:r>
              <w:rPr>
                <w:rFonts w:ascii="Times New Roman" w:cs="Times New Roman" w:eastAsia="Times New Roman" w:hAnsi="Times New Roman"/>
                <w:sz w:val="18"/>
                <w:szCs w:val="18"/>
                <w:color w:val="auto"/>
              </w:rPr>
              <w:t>Six Months Ended June 30,</w:t>
            </w:r>
          </w:p>
        </w:tc>
        <w:tc>
          <w:tcPr>
            <w:tcW w:w="1140" w:type="dxa"/>
            <w:vAlign w:val="bottom"/>
          </w:tcPr>
          <w:p>
            <w:pPr>
              <w:spacing w:after="0"/>
              <w:rPr>
                <w:sz w:val="20"/>
                <w:szCs w:val="20"/>
                <w:color w:val="auto"/>
              </w:rPr>
            </w:pPr>
          </w:p>
        </w:tc>
      </w:tr>
      <w:tr>
        <w:trPr>
          <w:trHeight w:val="237"/>
        </w:trPr>
        <w:tc>
          <w:tcPr>
            <w:tcW w:w="386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2024</w:t>
            </w:r>
          </w:p>
        </w:tc>
        <w:tc>
          <w:tcPr>
            <w:tcW w:w="300" w:type="dxa"/>
            <w:vAlign w:val="bottom"/>
            <w:tcBorders>
              <w:top w:val="single" w:sz="8" w:color="auto"/>
              <w:bottom w:val="single" w:sz="8" w:color="CCEEFF"/>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2023</w:t>
            </w:r>
          </w:p>
        </w:tc>
        <w:tc>
          <w:tcPr>
            <w:tcW w:w="240" w:type="dxa"/>
            <w:vAlign w:val="bottom"/>
            <w:tcBorders>
              <w:top w:val="single" w:sz="8" w:color="auto"/>
              <w:bottom w:val="single" w:sz="8" w:color="auto"/>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2024</w:t>
            </w:r>
          </w:p>
        </w:tc>
        <w:tc>
          <w:tcPr>
            <w:tcW w:w="280" w:type="dxa"/>
            <w:vAlign w:val="bottom"/>
            <w:tcBorders>
              <w:top w:val="single" w:sz="8" w:color="auto"/>
              <w:bottom w:val="single" w:sz="8" w:color="CCEEFF"/>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2023</w:t>
            </w:r>
          </w:p>
        </w:tc>
        <w:tc>
          <w:tcPr>
            <w:tcW w:w="80" w:type="dxa"/>
            <w:vAlign w:val="bottom"/>
            <w:tcBorders>
              <w:bottom w:val="single" w:sz="8" w:color="CCEEFF"/>
            </w:tcBorders>
          </w:tcPr>
          <w:p>
            <w:pPr>
              <w:spacing w:after="0"/>
              <w:rPr>
                <w:sz w:val="20"/>
                <w:szCs w:val="20"/>
                <w:color w:val="auto"/>
              </w:rPr>
            </w:pPr>
          </w:p>
        </w:tc>
        <w:tc>
          <w:tcPr>
            <w:tcW w:w="1140" w:type="dxa"/>
            <w:vAlign w:val="bottom"/>
          </w:tcPr>
          <w:p>
            <w:pPr>
              <w:spacing w:after="0"/>
              <w:rPr>
                <w:sz w:val="20"/>
                <w:szCs w:val="20"/>
                <w:color w:val="auto"/>
              </w:rPr>
            </w:pPr>
          </w:p>
        </w:tc>
      </w:tr>
      <w:tr>
        <w:trPr>
          <w:trHeight w:val="216"/>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sales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427,253</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607,242</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955,610</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Gross realized gains</w:t>
            </w:r>
          </w:p>
        </w:tc>
        <w:tc>
          <w:tcPr>
            <w:tcW w:w="240" w:type="dxa"/>
            <w:vAlign w:val="bottom"/>
          </w:tcPr>
          <w:p>
            <w:pPr>
              <w:spacing w:after="0"/>
              <w:rPr>
                <w:sz w:val="18"/>
                <w:szCs w:val="18"/>
                <w:color w:val="auto"/>
              </w:rPr>
            </w:pPr>
          </w:p>
        </w:tc>
        <w:tc>
          <w:tcPr>
            <w:tcW w:w="13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24,031</w:t>
            </w:r>
          </w:p>
        </w:tc>
        <w:tc>
          <w:tcPr>
            <w:tcW w:w="1100" w:type="dxa"/>
            <w:vAlign w:val="bottom"/>
          </w:tcPr>
          <w:p>
            <w:pPr>
              <w:spacing w:after="0"/>
              <w:rPr>
                <w:sz w:val="18"/>
                <w:szCs w:val="18"/>
                <w:color w:val="auto"/>
              </w:rPr>
            </w:pPr>
          </w:p>
        </w:tc>
        <w:tc>
          <w:tcPr>
            <w:tcW w:w="5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24,334</w:t>
            </w:r>
          </w:p>
        </w:tc>
        <w:tc>
          <w:tcPr>
            <w:tcW w:w="2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11,257</w:t>
            </w:r>
          </w:p>
        </w:tc>
        <w:tc>
          <w:tcPr>
            <w:tcW w:w="1140" w:type="dxa"/>
            <w:vAlign w:val="bottom"/>
          </w:tcPr>
          <w:p>
            <w:pPr>
              <w:spacing w:after="0"/>
              <w:rPr>
                <w:sz w:val="18"/>
                <w:szCs w:val="18"/>
                <w:color w:val="auto"/>
              </w:rPr>
            </w:pPr>
          </w:p>
        </w:tc>
      </w:tr>
      <w:tr>
        <w:trPr>
          <w:trHeight w:val="216"/>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realized losses</w:t>
            </w: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(36,646)</w:t>
            </w:r>
          </w:p>
        </w:tc>
        <w:tc>
          <w:tcPr>
            <w:tcW w:w="1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(37,499)</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(54,104)</w:t>
            </w:r>
          </w:p>
        </w:tc>
        <w:tc>
          <w:tcPr>
            <w:tcW w:w="1140" w:type="dxa"/>
            <w:vAlign w:val="bottom"/>
          </w:tcPr>
          <w:p>
            <w:pPr>
              <w:spacing w:after="0"/>
              <w:rPr>
                <w:sz w:val="18"/>
                <w:szCs w:val="18"/>
                <w:color w:val="auto"/>
              </w:rPr>
            </w:pPr>
          </w:p>
        </w:tc>
      </w:tr>
      <w:tr>
        <w:trPr>
          <w:trHeight w:val="439"/>
        </w:trPr>
        <w:tc>
          <w:tcPr>
            <w:tcW w:w="38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color w:val="auto"/>
              </w:rPr>
              <w:t>19</w:t>
            </w:r>
          </w:p>
        </w:tc>
        <w:tc>
          <w:tcPr>
            <w:tcW w:w="2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1" w:right="339" w:bottom="1440" w:gutter="0" w:footer="0" w:header="0"/>
        </w:sectPr>
      </w:pPr>
    </w:p>
    <w:bookmarkStart w:id="22" w:name="page23"/>
    <w:bookmarkEnd w:id="22"/>
    <w:p>
      <w:pPr>
        <w:ind w:left="2700"/>
        <w:spacing w:after="0"/>
        <w:rPr>
          <w:sz w:val="20"/>
          <w:szCs w:val="20"/>
          <w:color w:val="auto"/>
        </w:rPr>
      </w:pPr>
      <w:r>
        <w:rPr>
          <w:rFonts w:ascii="Times New Roman" w:cs="Times New Roman" w:eastAsia="Times New Roman" w:hAnsi="Times New Roman"/>
          <w:sz w:val="18"/>
          <w:szCs w:val="18"/>
          <w:color w:val="auto"/>
        </w:rPr>
        <w:t>SECURITY NATIONAL FINANCIAL CORPORATION AND SUBSIDIARIES</w:t>
      </w:r>
    </w:p>
    <w:p>
      <w:pPr>
        <w:spacing w:after="0" w:line="27"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p>
      <w:pPr>
        <w:spacing w:after="0" w:line="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June 30, 2024 (Unaudited)</w:t>
      </w:r>
    </w:p>
    <w:p>
      <w:pPr>
        <w:spacing w:after="0" w:line="207" w:lineRule="exact"/>
        <w:rPr>
          <w:sz w:val="20"/>
          <w:szCs w:val="20"/>
          <w:color w:val="auto"/>
        </w:rPr>
      </w:pPr>
    </w:p>
    <w:p>
      <w:pPr>
        <w:ind w:left="200" w:hanging="192"/>
        <w:spacing w:after="0"/>
        <w:tabs>
          <w:tab w:leader="none" w:pos="2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Investments</w:t>
      </w:r>
      <w:r>
        <w:rPr>
          <w:rFonts w:ascii="Times New Roman" w:cs="Times New Roman" w:eastAsia="Times New Roman" w:hAnsi="Times New Roman"/>
          <w:sz w:val="18"/>
          <w:szCs w:val="18"/>
          <w:color w:val="auto"/>
        </w:rPr>
        <w:t xml:space="preserve"> (Continued)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Assets on Deposit, Held in Trust, and Pledged as Collateral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Assets on deposit with life insurance regulatory authorities as required by law were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color w:val="auto"/>
              </w:rPr>
              <w:t>As of</w:t>
            </w:r>
          </w:p>
        </w:tc>
        <w:tc>
          <w:tcPr>
            <w:tcW w:w="160" w:type="dxa"/>
            <w:vAlign w:val="bottom"/>
          </w:tcPr>
          <w:p>
            <w:pPr>
              <w:spacing w:after="0"/>
              <w:rPr>
                <w:sz w:val="18"/>
                <w:szCs w:val="18"/>
                <w:color w:val="auto"/>
              </w:rPr>
            </w:pPr>
          </w:p>
        </w:tc>
        <w:tc>
          <w:tcPr>
            <w:tcW w:w="144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As of</w:t>
            </w:r>
          </w:p>
        </w:tc>
      </w:tr>
      <w:tr>
        <w:trPr>
          <w:trHeight w:val="216"/>
        </w:trPr>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June 30,</w:t>
            </w:r>
          </w:p>
        </w:tc>
        <w:tc>
          <w:tcPr>
            <w:tcW w:w="160" w:type="dxa"/>
            <w:vAlign w:val="bottom"/>
          </w:tcPr>
          <w:p>
            <w:pPr>
              <w:spacing w:after="0"/>
              <w:rPr>
                <w:sz w:val="18"/>
                <w:szCs w:val="18"/>
                <w:color w:val="auto"/>
              </w:rPr>
            </w:pPr>
          </w:p>
        </w:tc>
        <w:tc>
          <w:tcPr>
            <w:tcW w:w="14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December 31,</w:t>
            </w:r>
          </w:p>
        </w:tc>
      </w:tr>
      <w:tr>
        <w:trPr>
          <w:trHeight w:val="241"/>
        </w:trPr>
        <w:tc>
          <w:tcPr>
            <w:tcW w:w="56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2024</w:t>
            </w:r>
          </w:p>
        </w:tc>
        <w:tc>
          <w:tcPr>
            <w:tcW w:w="26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2023</w:t>
            </w:r>
          </w:p>
        </w:tc>
        <w:tc>
          <w:tcPr>
            <w:tcW w:w="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maturity securities available for sale at estimated fair value</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6,202,936</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6,206,650</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Other investments</w:t>
            </w:r>
          </w:p>
        </w:tc>
        <w:tc>
          <w:tcPr>
            <w:tcW w:w="260" w:type="dxa"/>
            <w:vAlign w:val="bottom"/>
          </w:tcPr>
          <w:p>
            <w:pPr>
              <w:spacing w:after="0"/>
              <w:rPr>
                <w:sz w:val="18"/>
                <w:szCs w:val="18"/>
                <w:color w:val="auto"/>
              </w:rPr>
            </w:pPr>
          </w:p>
        </w:tc>
        <w:tc>
          <w:tcPr>
            <w:tcW w:w="15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400,000</w:t>
            </w:r>
          </w:p>
        </w:tc>
        <w:tc>
          <w:tcPr>
            <w:tcW w:w="16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400,000</w:t>
            </w:r>
          </w:p>
        </w:tc>
        <w:tc>
          <w:tcPr>
            <w:tcW w:w="60" w:type="dxa"/>
            <w:vAlign w:val="bottom"/>
          </w:tcPr>
          <w:p>
            <w:pPr>
              <w:spacing w:after="0"/>
              <w:rPr>
                <w:sz w:val="18"/>
                <w:szCs w:val="18"/>
                <w:color w:val="auto"/>
              </w:rPr>
            </w:pPr>
          </w:p>
        </w:tc>
      </w:tr>
      <w:tr>
        <w:trPr>
          <w:trHeight w:val="249"/>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CEEFF"/>
          </w:tcPr>
          <w:p>
            <w:pPr>
              <w:spacing w:after="0"/>
              <w:rPr>
                <w:sz w:val="21"/>
                <w:szCs w:val="21"/>
                <w:color w:val="auto"/>
              </w:rPr>
            </w:pPr>
          </w:p>
        </w:tc>
        <w:tc>
          <w:tcPr>
            <w:tcW w:w="15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1,424,707</w:t>
            </w:r>
          </w:p>
        </w:tc>
        <w:tc>
          <w:tcPr>
            <w:tcW w:w="16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1,909,215</w:t>
            </w:r>
          </w:p>
        </w:tc>
        <w:tc>
          <w:tcPr>
            <w:tcW w:w="60" w:type="dxa"/>
            <w:vAlign w:val="bottom"/>
            <w:shd w:val="clear" w:color="auto" w:fill="CCEEFF"/>
          </w:tcPr>
          <w:p>
            <w:pPr>
              <w:spacing w:after="0"/>
              <w:rPr>
                <w:sz w:val="21"/>
                <w:szCs w:val="21"/>
                <w:color w:val="auto"/>
              </w:rPr>
            </w:pPr>
          </w:p>
        </w:tc>
      </w:tr>
      <w:tr>
        <w:trPr>
          <w:trHeight w:val="217"/>
        </w:trPr>
        <w:tc>
          <w:tcPr>
            <w:tcW w:w="56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assets on deposit</w:t>
            </w: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8,027,643</w:t>
            </w:r>
          </w:p>
        </w:tc>
        <w:tc>
          <w:tcPr>
            <w:tcW w:w="26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8,515,865</w:t>
            </w:r>
          </w:p>
        </w:tc>
        <w:tc>
          <w:tcPr>
            <w:tcW w:w="20" w:type="dxa"/>
            <w:vAlign w:val="bottom"/>
            <w:tcBorders>
              <w:top w:val="single" w:sz="8" w:color="CCEEFF"/>
              <w:bottom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r>
      <w:tr>
        <w:trPr>
          <w:trHeight w:val="20"/>
        </w:trPr>
        <w:tc>
          <w:tcPr>
            <w:tcW w:w="5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Assets held in trust related to third-party reinsurance agreements were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color w:val="auto"/>
              </w:rPr>
              <w:t>As of</w:t>
            </w:r>
          </w:p>
        </w:tc>
        <w:tc>
          <w:tcPr>
            <w:tcW w:w="160" w:type="dxa"/>
            <w:vAlign w:val="bottom"/>
          </w:tcPr>
          <w:p>
            <w:pPr>
              <w:spacing w:after="0"/>
              <w:rPr>
                <w:sz w:val="18"/>
                <w:szCs w:val="18"/>
                <w:color w:val="auto"/>
              </w:rPr>
            </w:pPr>
          </w:p>
        </w:tc>
        <w:tc>
          <w:tcPr>
            <w:tcW w:w="144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As of</w:t>
            </w:r>
          </w:p>
        </w:tc>
      </w:tr>
      <w:tr>
        <w:trPr>
          <w:trHeight w:val="216"/>
        </w:trPr>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June 30,</w:t>
            </w:r>
          </w:p>
        </w:tc>
        <w:tc>
          <w:tcPr>
            <w:tcW w:w="160" w:type="dxa"/>
            <w:vAlign w:val="bottom"/>
          </w:tcPr>
          <w:p>
            <w:pPr>
              <w:spacing w:after="0"/>
              <w:rPr>
                <w:sz w:val="18"/>
                <w:szCs w:val="18"/>
                <w:color w:val="auto"/>
              </w:rPr>
            </w:pPr>
          </w:p>
        </w:tc>
        <w:tc>
          <w:tcPr>
            <w:tcW w:w="14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December 31,</w:t>
            </w:r>
          </w:p>
        </w:tc>
      </w:tr>
      <w:tr>
        <w:trPr>
          <w:trHeight w:val="241"/>
        </w:trPr>
        <w:tc>
          <w:tcPr>
            <w:tcW w:w="56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2024</w:t>
            </w:r>
          </w:p>
        </w:tc>
        <w:tc>
          <w:tcPr>
            <w:tcW w:w="26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2023</w:t>
            </w:r>
          </w:p>
        </w:tc>
        <w:tc>
          <w:tcPr>
            <w:tcW w:w="80" w:type="dxa"/>
            <w:vAlign w:val="bottom"/>
            <w:tcBorders>
              <w:bottom w:val="single" w:sz="8" w:color="CCEEFF"/>
            </w:tcBorders>
          </w:tcPr>
          <w:p>
            <w:pPr>
              <w:spacing w:after="0"/>
              <w:rPr>
                <w:sz w:val="20"/>
                <w:szCs w:val="20"/>
                <w:color w:val="auto"/>
              </w:rPr>
            </w:pP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maturity securities available for sale at estimated fair value</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28,134,790</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27,903,952</w:t>
            </w:r>
          </w:p>
        </w:tc>
        <w:tc>
          <w:tcPr>
            <w:tcW w:w="80" w:type="dxa"/>
            <w:vAlign w:val="bottom"/>
            <w:shd w:val="clear" w:color="auto" w:fill="CCEEFF"/>
          </w:tcPr>
          <w:p>
            <w:pPr>
              <w:spacing w:after="0"/>
              <w:rPr>
                <w:sz w:val="18"/>
                <w:szCs w:val="18"/>
                <w:color w:val="auto"/>
              </w:rPr>
            </w:pPr>
          </w:p>
        </w:tc>
      </w:tr>
      <w:tr>
        <w:trPr>
          <w:trHeight w:val="237"/>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tcPr>
          <w:p>
            <w:pPr>
              <w:spacing w:after="0"/>
              <w:rPr>
                <w:sz w:val="20"/>
                <w:szCs w:val="20"/>
                <w:color w:val="auto"/>
              </w:rPr>
            </w:pPr>
          </w:p>
        </w:tc>
        <w:tc>
          <w:tcPr>
            <w:tcW w:w="15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776,883</w:t>
            </w:r>
          </w:p>
        </w:tc>
        <w:tc>
          <w:tcPr>
            <w:tcW w:w="160" w:type="dxa"/>
            <w:vAlign w:val="bottom"/>
          </w:tcPr>
          <w:p>
            <w:pPr>
              <w:spacing w:after="0"/>
              <w:rPr>
                <w:sz w:val="20"/>
                <w:szCs w:val="20"/>
                <w:color w:val="auto"/>
              </w:rPr>
            </w:pP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2,101,052</w:t>
            </w:r>
          </w:p>
        </w:tc>
      </w:tr>
      <w:tr>
        <w:trPr>
          <w:trHeight w:val="229"/>
        </w:trPr>
        <w:tc>
          <w:tcPr>
            <w:tcW w:w="56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assets on deposit</w:t>
            </w:r>
          </w:p>
        </w:tc>
        <w:tc>
          <w:tcPr>
            <w:tcW w:w="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28,911,673</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30,005,004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a member of the Federal Home Loan Bank of Des Moines and Dallas (“FHLB”). Assets pledged as collateral with the FHLB are presented below. These pledged securities are used as collateral for any FHLB cash advances.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As of</w:t>
            </w:r>
          </w:p>
        </w:tc>
        <w:tc>
          <w:tcPr>
            <w:tcW w:w="160" w:type="dxa"/>
            <w:vAlign w:val="bottom"/>
          </w:tcPr>
          <w:p>
            <w:pPr>
              <w:spacing w:after="0"/>
              <w:rPr>
                <w:sz w:val="18"/>
                <w:szCs w:val="18"/>
                <w:color w:val="auto"/>
              </w:rPr>
            </w:pPr>
          </w:p>
        </w:tc>
        <w:tc>
          <w:tcPr>
            <w:tcW w:w="144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As of</w:t>
            </w:r>
          </w:p>
        </w:tc>
      </w:tr>
      <w:tr>
        <w:trPr>
          <w:trHeight w:val="216"/>
        </w:trPr>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June 30,</w:t>
            </w:r>
          </w:p>
        </w:tc>
        <w:tc>
          <w:tcPr>
            <w:tcW w:w="160" w:type="dxa"/>
            <w:vAlign w:val="bottom"/>
          </w:tcPr>
          <w:p>
            <w:pPr>
              <w:spacing w:after="0"/>
              <w:rPr>
                <w:sz w:val="18"/>
                <w:szCs w:val="18"/>
                <w:color w:val="auto"/>
              </w:rPr>
            </w:pPr>
          </w:p>
        </w:tc>
        <w:tc>
          <w:tcPr>
            <w:tcW w:w="14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December 31,</w:t>
            </w:r>
          </w:p>
        </w:tc>
      </w:tr>
      <w:tr>
        <w:trPr>
          <w:trHeight w:val="241"/>
        </w:trPr>
        <w:tc>
          <w:tcPr>
            <w:tcW w:w="56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2024</w:t>
            </w:r>
          </w:p>
        </w:tc>
        <w:tc>
          <w:tcPr>
            <w:tcW w:w="26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2023</w:t>
            </w:r>
          </w:p>
        </w:tc>
        <w:tc>
          <w:tcPr>
            <w:tcW w:w="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r>
      <w:tr>
        <w:trPr>
          <w:trHeight w:val="236"/>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maturity securities available for sale at estimated fair value</w:t>
            </w: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58,645,012</w:t>
            </w:r>
          </w:p>
        </w:tc>
        <w:tc>
          <w:tcPr>
            <w:tcW w:w="2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93,903,089</w:t>
            </w: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r>
      <w:tr>
        <w:trPr>
          <w:trHeight w:val="216"/>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assets pledged as collateral</w:t>
            </w: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58,645,012</w:t>
            </w:r>
          </w:p>
        </w:tc>
        <w:tc>
          <w:tcPr>
            <w:tcW w:w="26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93,903,089</w:t>
            </w:r>
          </w:p>
        </w:tc>
        <w:tc>
          <w:tcPr>
            <w:tcW w:w="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0"/>
        </w:trPr>
        <w:tc>
          <w:tcPr>
            <w:tcW w:w="5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Real Estate Held for Investment and Held for Sale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strategically deploys resources into real estate assets to match the income and yield durations of its primary obligations. The sources for these real estate assets come through its various business units in the form of acquisition, development, and mortgage foreclosures.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Commercial Real Estate Held for Investment and Held for Sale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owns and manages commercial real estate assets as a means of generating investment income. These assets are acquired in accordance with the Company’s goals and objectives for risk-adjusted returns. Due diligence is conducted on each asset using internal and third-party resources. The geographic locations and asset classes of investments are determined by senior management under the direction of the Board of Directors.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3" w:name="page24"/>
    <w:bookmarkEnd w:id="23"/>
    <w:p>
      <w:pPr>
        <w:ind w:left="2700"/>
        <w:spacing w:after="0"/>
        <w:rPr>
          <w:sz w:val="20"/>
          <w:szCs w:val="20"/>
          <w:color w:val="auto"/>
        </w:rPr>
      </w:pPr>
      <w:r>
        <w:rPr>
          <w:rFonts w:ascii="Times New Roman" w:cs="Times New Roman" w:eastAsia="Times New Roman" w:hAnsi="Times New Roman"/>
          <w:sz w:val="18"/>
          <w:szCs w:val="18"/>
          <w:color w:val="auto"/>
        </w:rPr>
        <w:t>SECURITY NATIONAL FINANCIAL CORPORATION AND SUBSIDIARIES</w:t>
      </w:r>
    </w:p>
    <w:p>
      <w:pPr>
        <w:spacing w:after="0" w:line="27"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p>
      <w:pPr>
        <w:spacing w:after="0" w:line="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June 30, 2024 (Unaudited)</w:t>
      </w:r>
    </w:p>
    <w:p>
      <w:pPr>
        <w:spacing w:after="0" w:line="207" w:lineRule="exact"/>
        <w:rPr>
          <w:sz w:val="20"/>
          <w:szCs w:val="20"/>
          <w:color w:val="auto"/>
        </w:rPr>
      </w:pPr>
    </w:p>
    <w:p>
      <w:pPr>
        <w:ind w:left="200" w:hanging="192"/>
        <w:spacing w:after="0"/>
        <w:tabs>
          <w:tab w:leader="none" w:pos="2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employs full-time employees to attend to the day-to-day operations of those assets within the greater Salt Lake area and close surrounding markets. The Company utilizes third party property managers where the geographic location does not warrant full-time staff or through strategic lease-up periods. The Company generally looks to acquire assets that are in regions expected to have high growth in employment and population and that provide operational efficiencies.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currently owns and operates six commercial properties in two states. These properties include office buildings, flex office space, and the redevelopment and expansion of its corporate campus (“Center53”) in Salt Lake City, Utah. The Company uses bank debt in strategic cases, primarily where it is anticipated to improve yields, or facilitate the acquisition of higher quality assets or asset class diversification.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aggregated net book value of commercial real estate serving as collateral for bank loans was $121,972,571 and $124,381,467 as of June 30, 2024 and December 31, 2023, respectively. The associated bank loan carrying values totaled $96,911,932 and $97,807,614 as of June 30, 2024 and December 31, 2023, respectively.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and six month periods ended June 30, 2024 and 2023, the Company did not record any impairment losses on commercial real estate held for investment or held for sale. Impairment losses, if any, are included in gains (losses) on investment and other assets on the condensed consolidated statements of earnings.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three month periods ended June 30, 2024 and 2023, the Company recorded depreciation expense on commercial real estate held for investment of $1,418,301 and $1,576,901, respectively, and of $2,946,094 and $3,142,828 during the six month periods ended June 30, 2024 and 2023, respectively. Commercial real estate held for investment is stated at cost and is depreciated over the estimated useful life, primarily using the straight-line method. Depreciation is included in net investment income on the consolidated statements of earnings.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commercial real estate held for investment is summarized as follows as of the respective dates indicated: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8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740" w:type="dxa"/>
            <w:vAlign w:val="bottom"/>
            <w:gridSpan w:val="6"/>
          </w:tcPr>
          <w:p>
            <w:pPr>
              <w:ind w:left="580"/>
              <w:spacing w:after="0"/>
              <w:rPr>
                <w:sz w:val="20"/>
                <w:szCs w:val="20"/>
                <w:color w:val="auto"/>
              </w:rPr>
            </w:pPr>
            <w:r>
              <w:rPr>
                <w:rFonts w:ascii="Times New Roman" w:cs="Times New Roman" w:eastAsia="Times New Roman" w:hAnsi="Times New Roman"/>
                <w:sz w:val="18"/>
                <w:szCs w:val="18"/>
                <w:color w:val="auto"/>
              </w:rPr>
              <w:t>Net Book Value</w:t>
            </w:r>
          </w:p>
        </w:tc>
        <w:tc>
          <w:tcPr>
            <w:tcW w:w="2620" w:type="dxa"/>
            <w:vAlign w:val="bottom"/>
            <w:gridSpan w:val="4"/>
          </w:tcPr>
          <w:p>
            <w:pPr>
              <w:jc w:val="right"/>
              <w:ind w:right="580"/>
              <w:spacing w:after="0"/>
              <w:rPr>
                <w:sz w:val="20"/>
                <w:szCs w:val="20"/>
                <w:color w:val="auto"/>
              </w:rPr>
            </w:pPr>
            <w:r>
              <w:rPr>
                <w:rFonts w:ascii="Times New Roman" w:cs="Times New Roman" w:eastAsia="Times New Roman" w:hAnsi="Times New Roman"/>
                <w:sz w:val="18"/>
                <w:szCs w:val="18"/>
                <w:color w:val="auto"/>
              </w:rPr>
              <w:t>Total Square Footage</w:t>
            </w:r>
          </w:p>
        </w:tc>
        <w:tc>
          <w:tcPr>
            <w:tcW w:w="2260" w:type="dxa"/>
            <w:vAlign w:val="bottom"/>
          </w:tcPr>
          <w:p>
            <w:pPr>
              <w:spacing w:after="0"/>
              <w:rPr>
                <w:sz w:val="20"/>
                <w:szCs w:val="20"/>
                <w:color w:val="auto"/>
              </w:rPr>
            </w:pPr>
          </w:p>
        </w:tc>
      </w:tr>
      <w:tr>
        <w:trPr>
          <w:trHeight w:val="198"/>
        </w:trPr>
        <w:tc>
          <w:tcPr>
            <w:tcW w:w="28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gridSpan w:val="2"/>
          </w:tcPr>
          <w:p>
            <w:pPr>
              <w:jc w:val="right"/>
              <w:ind w:right="460"/>
              <w:spacing w:after="0" w:line="198" w:lineRule="exact"/>
              <w:rPr>
                <w:sz w:val="20"/>
                <w:szCs w:val="20"/>
                <w:color w:val="auto"/>
              </w:rPr>
            </w:pPr>
            <w:r>
              <w:rPr>
                <w:rFonts w:ascii="Times New Roman" w:cs="Times New Roman" w:eastAsia="Times New Roman" w:hAnsi="Times New Roman"/>
                <w:sz w:val="18"/>
                <w:szCs w:val="18"/>
                <w:color w:val="auto"/>
              </w:rPr>
              <w:t>June 30,</w:t>
            </w:r>
          </w:p>
        </w:tc>
        <w:tc>
          <w:tcPr>
            <w:tcW w:w="1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ind w:right="10"/>
              <w:spacing w:after="0" w:line="198" w:lineRule="exact"/>
              <w:rPr>
                <w:sz w:val="20"/>
                <w:szCs w:val="20"/>
                <w:color w:val="auto"/>
              </w:rPr>
            </w:pPr>
            <w:r>
              <w:rPr>
                <w:rFonts w:ascii="Times New Roman" w:cs="Times New Roman" w:eastAsia="Times New Roman" w:hAnsi="Times New Roman"/>
                <w:sz w:val="18"/>
                <w:szCs w:val="18"/>
                <w:color w:val="auto"/>
                <w:w w:val="97"/>
              </w:rPr>
              <w:t>December 31,</w:t>
            </w:r>
          </w:p>
        </w:tc>
        <w:tc>
          <w:tcPr>
            <w:tcW w:w="260" w:type="dxa"/>
            <w:vAlign w:val="bottom"/>
          </w:tcPr>
          <w:p>
            <w:pPr>
              <w:spacing w:after="0"/>
              <w:rPr>
                <w:sz w:val="17"/>
                <w:szCs w:val="17"/>
                <w:color w:val="auto"/>
              </w:rPr>
            </w:pPr>
          </w:p>
        </w:tc>
        <w:tc>
          <w:tcPr>
            <w:tcW w:w="1400" w:type="dxa"/>
            <w:vAlign w:val="bottom"/>
            <w:tcBorders>
              <w:top w:val="single" w:sz="8" w:color="auto"/>
            </w:tcBorders>
            <w:gridSpan w:val="2"/>
          </w:tcPr>
          <w:p>
            <w:pPr>
              <w:jc w:val="right"/>
              <w:ind w:right="560"/>
              <w:spacing w:after="0" w:line="198" w:lineRule="exact"/>
              <w:rPr>
                <w:sz w:val="20"/>
                <w:szCs w:val="20"/>
                <w:color w:val="auto"/>
              </w:rPr>
            </w:pPr>
            <w:r>
              <w:rPr>
                <w:rFonts w:ascii="Times New Roman" w:cs="Times New Roman" w:eastAsia="Times New Roman" w:hAnsi="Times New Roman"/>
                <w:sz w:val="18"/>
                <w:szCs w:val="18"/>
                <w:color w:val="auto"/>
              </w:rPr>
              <w:t>June 30,</w:t>
            </w:r>
          </w:p>
        </w:tc>
        <w:tc>
          <w:tcPr>
            <w:tcW w:w="114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December 31,</w:t>
            </w:r>
          </w:p>
        </w:tc>
        <w:tc>
          <w:tcPr>
            <w:tcW w:w="8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41"/>
        </w:trPr>
        <w:tc>
          <w:tcPr>
            <w:tcW w:w="2820" w:type="dxa"/>
            <w:vAlign w:val="bottom"/>
            <w:tcBorders>
              <w:bottom w:val="single" w:sz="8" w:color="CCEEFF"/>
            </w:tcBorders>
          </w:tcPr>
          <w:p>
            <w:pPr>
              <w:spacing w:after="0"/>
              <w:rPr>
                <w:sz w:val="20"/>
                <w:szCs w:val="20"/>
                <w:color w:val="auto"/>
              </w:rPr>
            </w:pPr>
          </w:p>
        </w:tc>
        <w:tc>
          <w:tcPr>
            <w:tcW w:w="6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2024</w:t>
            </w:r>
          </w:p>
        </w:tc>
        <w:tc>
          <w:tcPr>
            <w:tcW w:w="14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2023</w:t>
            </w:r>
          </w:p>
        </w:tc>
        <w:tc>
          <w:tcPr>
            <w:tcW w:w="26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2024</w:t>
            </w:r>
          </w:p>
        </w:tc>
        <w:tc>
          <w:tcPr>
            <w:tcW w:w="26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2023</w:t>
            </w:r>
          </w:p>
        </w:tc>
        <w:tc>
          <w:tcPr>
            <w:tcW w:w="80" w:type="dxa"/>
            <w:vAlign w:val="bottom"/>
            <w:tcBorders>
              <w:bottom w:val="single" w:sz="8" w:color="CCEEFF"/>
            </w:tcBorders>
          </w:tcPr>
          <w:p>
            <w:pPr>
              <w:spacing w:after="0"/>
              <w:rPr>
                <w:sz w:val="20"/>
                <w:szCs w:val="20"/>
                <w:color w:val="auto"/>
              </w:rPr>
            </w:pPr>
          </w:p>
        </w:tc>
        <w:tc>
          <w:tcPr>
            <w:tcW w:w="2260" w:type="dxa"/>
            <w:vAlign w:val="bottom"/>
          </w:tcPr>
          <w:p>
            <w:pPr>
              <w:spacing w:after="0"/>
              <w:rPr>
                <w:sz w:val="20"/>
                <w:szCs w:val="20"/>
                <w:color w:val="auto"/>
              </w:rPr>
            </w:pPr>
          </w:p>
        </w:tc>
      </w:tr>
      <w:tr>
        <w:trPr>
          <w:trHeight w:val="216"/>
        </w:trPr>
        <w:tc>
          <w:tcPr>
            <w:tcW w:w="3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Utah (1)</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128,101,446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142,475,177</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546,941</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625,920</w:t>
            </w:r>
          </w:p>
        </w:tc>
        <w:tc>
          <w:tcPr>
            <w:tcW w:w="80" w:type="dxa"/>
            <w:vAlign w:val="bottom"/>
            <w:shd w:val="clear" w:color="auto" w:fill="CCEEFF"/>
          </w:tcPr>
          <w:p>
            <w:pPr>
              <w:spacing w:after="0"/>
              <w:rPr>
                <w:sz w:val="18"/>
                <w:szCs w:val="18"/>
                <w:color w:val="auto"/>
              </w:rPr>
            </w:pPr>
          </w:p>
        </w:tc>
        <w:tc>
          <w:tcPr>
            <w:tcW w:w="2260" w:type="dxa"/>
            <w:vAlign w:val="bottom"/>
          </w:tcPr>
          <w:p>
            <w:pPr>
              <w:spacing w:after="0"/>
              <w:rPr>
                <w:sz w:val="18"/>
                <w:szCs w:val="18"/>
                <w:color w:val="auto"/>
              </w:rPr>
            </w:pPr>
          </w:p>
        </w:tc>
      </w:tr>
      <w:tr>
        <w:trPr>
          <w:trHeight w:val="236"/>
        </w:trPr>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Louisiana</w:t>
            </w:r>
          </w:p>
        </w:tc>
        <w:tc>
          <w:tcPr>
            <w:tcW w:w="18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18,918</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19,250</w:t>
            </w: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1,622</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1,622</w:t>
            </w:r>
          </w:p>
        </w:tc>
        <w:tc>
          <w:tcPr>
            <w:tcW w:w="2260" w:type="dxa"/>
            <w:vAlign w:val="bottom"/>
          </w:tcPr>
          <w:p>
            <w:pPr>
              <w:spacing w:after="0"/>
              <w:rPr>
                <w:sz w:val="20"/>
                <w:szCs w:val="20"/>
                <w:color w:val="auto"/>
              </w:rPr>
            </w:pPr>
          </w:p>
        </w:tc>
      </w:tr>
      <w:tr>
        <w:trPr>
          <w:trHeight w:val="243"/>
        </w:trPr>
        <w:tc>
          <w:tcPr>
            <w:tcW w:w="2820" w:type="dxa"/>
            <w:vAlign w:val="bottom"/>
            <w:tcBorders>
              <w:top w:val="single" w:sz="8" w:color="CCEEFF"/>
            </w:tcBorders>
            <w:shd w:val="clear" w:color="auto" w:fill="CCEEFF"/>
          </w:tcPr>
          <w:p>
            <w:pPr>
              <w:spacing w:after="0"/>
              <w:rPr>
                <w:sz w:val="21"/>
                <w:szCs w:val="21"/>
                <w:color w:val="auto"/>
              </w:rPr>
            </w:pPr>
          </w:p>
        </w:tc>
        <w:tc>
          <w:tcPr>
            <w:tcW w:w="6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1000" w:type="dxa"/>
            <w:vAlign w:val="bottom"/>
            <w:tcBorders>
              <w:top w:val="single" w:sz="8" w:color="auto"/>
            </w:tcBorders>
            <w:shd w:val="clear" w:color="auto" w:fill="CCEEFF"/>
          </w:tcPr>
          <w:p>
            <w:pPr>
              <w:spacing w:after="0"/>
              <w:rPr>
                <w:sz w:val="21"/>
                <w:szCs w:val="21"/>
                <w:color w:val="auto"/>
              </w:rPr>
            </w:pPr>
          </w:p>
        </w:tc>
        <w:tc>
          <w:tcPr>
            <w:tcW w:w="14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1100" w:type="dxa"/>
            <w:vAlign w:val="bottom"/>
            <w:tcBorders>
              <w:top w:val="single" w:sz="8" w:color="auto"/>
            </w:tcBorders>
            <w:shd w:val="clear" w:color="auto" w:fill="CCEEFF"/>
          </w:tcPr>
          <w:p>
            <w:pPr>
              <w:spacing w:after="0"/>
              <w:rPr>
                <w:sz w:val="21"/>
                <w:szCs w:val="21"/>
                <w:color w:val="auto"/>
              </w:rPr>
            </w:pPr>
          </w:p>
        </w:tc>
        <w:tc>
          <w:tcPr>
            <w:tcW w:w="260" w:type="dxa"/>
            <w:vAlign w:val="bottom"/>
            <w:tcBorders>
              <w:top w:val="single" w:sz="8" w:color="CCEEFF"/>
            </w:tcBorders>
            <w:shd w:val="clear" w:color="auto" w:fill="CCEEFF"/>
          </w:tcPr>
          <w:p>
            <w:pPr>
              <w:spacing w:after="0"/>
              <w:rPr>
                <w:sz w:val="21"/>
                <w:szCs w:val="21"/>
                <w:color w:val="auto"/>
              </w:rPr>
            </w:pPr>
          </w:p>
        </w:tc>
        <w:tc>
          <w:tcPr>
            <w:tcW w:w="1140" w:type="dxa"/>
            <w:vAlign w:val="bottom"/>
            <w:tcBorders>
              <w:top w:val="single" w:sz="8" w:color="auto"/>
            </w:tcBorders>
            <w:shd w:val="clear" w:color="auto" w:fill="CCEEFF"/>
          </w:tcPr>
          <w:p>
            <w:pPr>
              <w:spacing w:after="0"/>
              <w:rPr>
                <w:sz w:val="21"/>
                <w:szCs w:val="21"/>
                <w:color w:val="auto"/>
              </w:rPr>
            </w:pPr>
          </w:p>
        </w:tc>
        <w:tc>
          <w:tcPr>
            <w:tcW w:w="260" w:type="dxa"/>
            <w:vAlign w:val="bottom"/>
            <w:tcBorders>
              <w:top w:val="single" w:sz="8" w:color="CCEEFF"/>
            </w:tcBorders>
            <w:shd w:val="clear" w:color="auto" w:fill="CCEEFF"/>
          </w:tcPr>
          <w:p>
            <w:pPr>
              <w:spacing w:after="0"/>
              <w:rPr>
                <w:sz w:val="21"/>
                <w:szCs w:val="21"/>
                <w:color w:val="auto"/>
              </w:rPr>
            </w:pPr>
          </w:p>
        </w:tc>
        <w:tc>
          <w:tcPr>
            <w:tcW w:w="114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2260" w:type="dxa"/>
            <w:vAlign w:val="bottom"/>
          </w:tcPr>
          <w:p>
            <w:pPr>
              <w:spacing w:after="0"/>
              <w:rPr>
                <w:sz w:val="21"/>
                <w:szCs w:val="21"/>
                <w:color w:val="auto"/>
              </w:rPr>
            </w:pPr>
          </w:p>
        </w:tc>
      </w:tr>
      <w:tr>
        <w:trPr>
          <w:trHeight w:val="243"/>
        </w:trPr>
        <w:tc>
          <w:tcPr>
            <w:tcW w:w="28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128,120,364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142,494,427</w:t>
            </w: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548,563</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627,542</w:t>
            </w:r>
          </w:p>
        </w:tc>
        <w:tc>
          <w:tcPr>
            <w:tcW w:w="2260" w:type="dxa"/>
            <w:vAlign w:val="bottom"/>
          </w:tcPr>
          <w:p>
            <w:pPr>
              <w:spacing w:after="0"/>
              <w:rPr>
                <w:sz w:val="21"/>
                <w:szCs w:val="21"/>
                <w:color w:val="auto"/>
              </w:rPr>
            </w:pPr>
          </w:p>
        </w:tc>
      </w:tr>
      <w:tr>
        <w:trPr>
          <w:trHeight w:val="20"/>
        </w:trPr>
        <w:tc>
          <w:tcPr>
            <w:tcW w:w="28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203"/>
        </w:trPr>
        <w:tc>
          <w:tcPr>
            <w:tcW w:w="3440" w:type="dxa"/>
            <w:vAlign w:val="bottom"/>
            <w:gridSpan w:val="2"/>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34"/>
        </w:trPr>
        <w:tc>
          <w:tcPr>
            <w:tcW w:w="282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(1) Includes Center53</w:t>
            </w: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60" w:type="dxa"/>
            <w:vAlign w:val="bottom"/>
          </w:tcPr>
          <w:p>
            <w:pPr>
              <w:spacing w:after="0"/>
              <w:rPr>
                <w:sz w:val="20"/>
                <w:szCs w:val="20"/>
                <w:color w:val="auto"/>
              </w:rPr>
            </w:pPr>
          </w:p>
        </w:tc>
      </w:tr>
      <w:tr>
        <w:trPr>
          <w:trHeight w:val="542"/>
        </w:trPr>
        <w:tc>
          <w:tcPr>
            <w:tcW w:w="28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21</w:t>
            </w:r>
          </w:p>
        </w:tc>
        <w:tc>
          <w:tcPr>
            <w:tcW w:w="2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1" w:right="339" w:bottom="1440" w:gutter="0" w:footer="0" w:header="0"/>
        </w:sectPr>
      </w:pPr>
    </w:p>
    <w:bookmarkStart w:id="24" w:name="page25"/>
    <w:bookmarkEnd w:id="24"/>
    <w:p>
      <w:pPr>
        <w:ind w:left="2700"/>
        <w:spacing w:after="0"/>
        <w:rPr>
          <w:sz w:val="20"/>
          <w:szCs w:val="20"/>
          <w:color w:val="auto"/>
        </w:rPr>
      </w:pPr>
      <w:r>
        <w:rPr>
          <w:rFonts w:ascii="Times New Roman" w:cs="Times New Roman" w:eastAsia="Times New Roman" w:hAnsi="Times New Roman"/>
          <w:sz w:val="18"/>
          <w:szCs w:val="18"/>
          <w:color w:val="auto"/>
        </w:rPr>
        <w:t>SECURITY NATIONAL FINANCIAL CORPORATION AND SUBSIDIARIES</w:t>
      </w:r>
    </w:p>
    <w:p>
      <w:pPr>
        <w:spacing w:after="0" w:line="27"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p>
      <w:pPr>
        <w:spacing w:after="0" w:line="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June 30, 2024 (Unaudited)</w:t>
      </w:r>
    </w:p>
    <w:p>
      <w:pPr>
        <w:spacing w:after="0" w:line="207" w:lineRule="exact"/>
        <w:rPr>
          <w:sz w:val="20"/>
          <w:szCs w:val="20"/>
          <w:color w:val="auto"/>
        </w:rPr>
      </w:pPr>
    </w:p>
    <w:p>
      <w:pPr>
        <w:ind w:left="200" w:hanging="192"/>
        <w:spacing w:after="0"/>
        <w:tabs>
          <w:tab w:leader="none" w:pos="2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commercial real estate held for sale is summarized as follows as of the respective dates indicated: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740" w:type="dxa"/>
            <w:vAlign w:val="bottom"/>
            <w:gridSpan w:val="6"/>
          </w:tcPr>
          <w:p>
            <w:pPr>
              <w:ind w:left="580"/>
              <w:spacing w:after="0"/>
              <w:rPr>
                <w:sz w:val="20"/>
                <w:szCs w:val="20"/>
                <w:color w:val="auto"/>
              </w:rPr>
            </w:pPr>
            <w:r>
              <w:rPr>
                <w:rFonts w:ascii="Times New Roman" w:cs="Times New Roman" w:eastAsia="Times New Roman" w:hAnsi="Times New Roman"/>
                <w:sz w:val="18"/>
                <w:szCs w:val="18"/>
                <w:color w:val="auto"/>
              </w:rPr>
              <w:t>Net Book Value</w:t>
            </w:r>
          </w:p>
        </w:tc>
        <w:tc>
          <w:tcPr>
            <w:tcW w:w="2620" w:type="dxa"/>
            <w:vAlign w:val="bottom"/>
            <w:gridSpan w:val="5"/>
          </w:tcPr>
          <w:p>
            <w:pPr>
              <w:jc w:val="right"/>
              <w:ind w:right="580"/>
              <w:spacing w:after="0"/>
              <w:rPr>
                <w:sz w:val="20"/>
                <w:szCs w:val="20"/>
                <w:color w:val="auto"/>
              </w:rPr>
            </w:pPr>
            <w:r>
              <w:rPr>
                <w:rFonts w:ascii="Times New Roman" w:cs="Times New Roman" w:eastAsia="Times New Roman" w:hAnsi="Times New Roman"/>
                <w:sz w:val="18"/>
                <w:szCs w:val="18"/>
                <w:color w:val="auto"/>
              </w:rPr>
              <w:t>Total Square Footage</w:t>
            </w:r>
          </w:p>
        </w:tc>
      </w:tr>
      <w:tr>
        <w:trPr>
          <w:trHeight w:val="198"/>
        </w:trPr>
        <w:tc>
          <w:tcPr>
            <w:tcW w:w="34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gridSpan w:val="2"/>
          </w:tcPr>
          <w:p>
            <w:pPr>
              <w:jc w:val="right"/>
              <w:ind w:right="460"/>
              <w:spacing w:after="0" w:line="198" w:lineRule="exact"/>
              <w:rPr>
                <w:sz w:val="20"/>
                <w:szCs w:val="20"/>
                <w:color w:val="auto"/>
              </w:rPr>
            </w:pPr>
            <w:r>
              <w:rPr>
                <w:rFonts w:ascii="Times New Roman" w:cs="Times New Roman" w:eastAsia="Times New Roman" w:hAnsi="Times New Roman"/>
                <w:sz w:val="18"/>
                <w:szCs w:val="18"/>
                <w:color w:val="auto"/>
              </w:rPr>
              <w:t>June 30,</w:t>
            </w:r>
          </w:p>
        </w:tc>
        <w:tc>
          <w:tcPr>
            <w:tcW w:w="1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ind w:right="10"/>
              <w:spacing w:after="0" w:line="198" w:lineRule="exact"/>
              <w:rPr>
                <w:sz w:val="20"/>
                <w:szCs w:val="20"/>
                <w:color w:val="auto"/>
              </w:rPr>
            </w:pPr>
            <w:r>
              <w:rPr>
                <w:rFonts w:ascii="Times New Roman" w:cs="Times New Roman" w:eastAsia="Times New Roman" w:hAnsi="Times New Roman"/>
                <w:sz w:val="18"/>
                <w:szCs w:val="18"/>
                <w:color w:val="auto"/>
                <w:w w:val="97"/>
              </w:rPr>
              <w:t>December 31,</w:t>
            </w:r>
          </w:p>
        </w:tc>
        <w:tc>
          <w:tcPr>
            <w:tcW w:w="260" w:type="dxa"/>
            <w:vAlign w:val="bottom"/>
          </w:tcPr>
          <w:p>
            <w:pPr>
              <w:spacing w:after="0"/>
              <w:rPr>
                <w:sz w:val="17"/>
                <w:szCs w:val="17"/>
                <w:color w:val="auto"/>
              </w:rPr>
            </w:pPr>
          </w:p>
        </w:tc>
        <w:tc>
          <w:tcPr>
            <w:tcW w:w="1400" w:type="dxa"/>
            <w:vAlign w:val="bottom"/>
            <w:tcBorders>
              <w:top w:val="single" w:sz="8" w:color="auto"/>
            </w:tcBorders>
            <w:gridSpan w:val="2"/>
          </w:tcPr>
          <w:p>
            <w:pPr>
              <w:jc w:val="right"/>
              <w:ind w:right="560"/>
              <w:spacing w:after="0" w:line="198" w:lineRule="exact"/>
              <w:rPr>
                <w:sz w:val="20"/>
                <w:szCs w:val="20"/>
                <w:color w:val="auto"/>
              </w:rPr>
            </w:pPr>
            <w:r>
              <w:rPr>
                <w:rFonts w:ascii="Times New Roman" w:cs="Times New Roman" w:eastAsia="Times New Roman" w:hAnsi="Times New Roman"/>
                <w:sz w:val="18"/>
                <w:szCs w:val="18"/>
                <w:color w:val="auto"/>
              </w:rPr>
              <w:t>June 30,</w:t>
            </w:r>
          </w:p>
        </w:tc>
        <w:tc>
          <w:tcPr>
            <w:tcW w:w="1140" w:type="dxa"/>
            <w:vAlign w:val="bottom"/>
            <w:tcBorders>
              <w:top w:val="single" w:sz="8" w:color="auto"/>
            </w:tcBorders>
            <w:gridSpan w:val="2"/>
          </w:tcPr>
          <w:p>
            <w:pPr>
              <w:jc w:val="right"/>
              <w:ind w:right="60"/>
              <w:spacing w:after="0" w:line="198" w:lineRule="exact"/>
              <w:rPr>
                <w:sz w:val="20"/>
                <w:szCs w:val="20"/>
                <w:color w:val="auto"/>
              </w:rPr>
            </w:pPr>
            <w:r>
              <w:rPr>
                <w:rFonts w:ascii="Times New Roman" w:cs="Times New Roman" w:eastAsia="Times New Roman" w:hAnsi="Times New Roman"/>
                <w:sz w:val="18"/>
                <w:szCs w:val="18"/>
                <w:color w:val="auto"/>
              </w:rPr>
              <w:t>December 31,</w:t>
            </w:r>
          </w:p>
        </w:tc>
        <w:tc>
          <w:tcPr>
            <w:tcW w:w="80" w:type="dxa"/>
            <w:vAlign w:val="bottom"/>
          </w:tcPr>
          <w:p>
            <w:pPr>
              <w:spacing w:after="0"/>
              <w:rPr>
                <w:sz w:val="17"/>
                <w:szCs w:val="17"/>
                <w:color w:val="auto"/>
              </w:rPr>
            </w:pPr>
          </w:p>
        </w:tc>
      </w:tr>
      <w:tr>
        <w:trPr>
          <w:trHeight w:val="241"/>
        </w:trPr>
        <w:tc>
          <w:tcPr>
            <w:tcW w:w="344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2024</w:t>
            </w:r>
          </w:p>
        </w:tc>
        <w:tc>
          <w:tcPr>
            <w:tcW w:w="14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2023</w:t>
            </w:r>
          </w:p>
        </w:tc>
        <w:tc>
          <w:tcPr>
            <w:tcW w:w="26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2024</w:t>
            </w:r>
          </w:p>
        </w:tc>
        <w:tc>
          <w:tcPr>
            <w:tcW w:w="26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2023</w:t>
            </w:r>
          </w:p>
        </w:tc>
        <w:tc>
          <w:tcPr>
            <w:tcW w:w="80" w:type="dxa"/>
            <w:vAlign w:val="bottom"/>
            <w:tcBorders>
              <w:bottom w:val="single" w:sz="8" w:color="CCEEFF"/>
            </w:tcBorders>
          </w:tcPr>
          <w:p>
            <w:pPr>
              <w:spacing w:after="0"/>
              <w:rPr>
                <w:sz w:val="20"/>
                <w:szCs w:val="20"/>
                <w:color w:val="auto"/>
              </w:rPr>
            </w:pPr>
          </w:p>
        </w:tc>
      </w:tr>
      <w:tr>
        <w:trPr>
          <w:trHeight w:val="237"/>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Mississippi (1)</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151,553</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3,028,973</w:t>
            </w:r>
          </w:p>
        </w:tc>
        <w:tc>
          <w:tcPr>
            <w:tcW w:w="2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19,694</w:t>
            </w:r>
          </w:p>
        </w:tc>
        <w:tc>
          <w:tcPr>
            <w:tcW w:w="80" w:type="dxa"/>
            <w:vAlign w:val="bottom"/>
            <w:shd w:val="clear" w:color="auto" w:fill="CCEEFF"/>
          </w:tcPr>
          <w:p>
            <w:pPr>
              <w:spacing w:after="0"/>
              <w:rPr>
                <w:sz w:val="20"/>
                <w:szCs w:val="20"/>
                <w:color w:val="auto"/>
              </w:rPr>
            </w:pPr>
          </w:p>
        </w:tc>
      </w:tr>
      <w:tr>
        <w:trPr>
          <w:trHeight w:val="243"/>
        </w:trPr>
        <w:tc>
          <w:tcPr>
            <w:tcW w:w="3440" w:type="dxa"/>
            <w:vAlign w:val="bottom"/>
            <w:tcBorders>
              <w:top w:val="single" w:sz="8" w:color="CCEEFF"/>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r>
      <w:tr>
        <w:trPr>
          <w:trHeight w:val="243"/>
        </w:trPr>
        <w:tc>
          <w:tcPr>
            <w:tcW w:w="344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151,553</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3,028,973</w:t>
            </w:r>
          </w:p>
        </w:tc>
        <w:tc>
          <w:tcPr>
            <w:tcW w:w="14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19,694</w:t>
            </w: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ind w:left="360" w:right="20" w:hanging="292"/>
        <w:spacing w:after="0" w:line="282" w:lineRule="auto"/>
        <w:tabs>
          <w:tab w:leader="none" w:pos="3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approximately 93 acres of undeveloped land for $151,553 for 2024 and 2023. The remaining property for $2,877,420 was sold in February 2024 for a gain of approximately $250,000.</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property is being marketed with the assistance of commercial real estate brokers in Mississippi.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Residential Real Estate Held for Investment and Held for Sale</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occasionally acquires a small portfolio of residential homes primarily because of loan foreclosures. The Company has the option to sell these properties or to continue to hold them for expected cash flow and price appreciation. The Company also invests in residential subdivision development.</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established Security National Real Estate Services (“SNRE”) to manage its residential property portfolio. SNRE cultivates and maintains the preferred vendor relationships necessary to manage costs and quality of work performed on the Company’s entire residential property portfolio.</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and six month periods ended June 30, 2024 and 2023 the Company did not record any impairment losses on residential real estate held for sale or held for investment. Impairment losses, if any, are included in gains (losses) on investment and other assets on the condensed consolidated statements of earnings.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three month periods ended June 30, 2024 and 2023, the Company recorded depreciation expense on residential real estate held for investment of $2,653 and $2,648, respectively, and $5,305 and $5,296 during the six month periods ended June 30, 2024 and 2023, respectively. Residential real estate held for investment is stated at cost and is depreciated over the estimated useful life, primarily using the straight-line method. Depreciation is included in net investment income on the consolidated statements of earnings.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residential real estate held for investment is summarized as follows as of the respective dates indicated: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60" w:type="dxa"/>
            <w:vAlign w:val="bottom"/>
            <w:gridSpan w:val="5"/>
          </w:tcPr>
          <w:p>
            <w:pPr>
              <w:ind w:left="540"/>
              <w:spacing w:after="0"/>
              <w:rPr>
                <w:sz w:val="20"/>
                <w:szCs w:val="20"/>
                <w:color w:val="auto"/>
              </w:rPr>
            </w:pPr>
            <w:r>
              <w:rPr>
                <w:rFonts w:ascii="Times New Roman" w:cs="Times New Roman" w:eastAsia="Times New Roman" w:hAnsi="Times New Roman"/>
                <w:sz w:val="18"/>
                <w:szCs w:val="18"/>
                <w:color w:val="auto"/>
              </w:rPr>
              <w:t>Net Book Value</w:t>
            </w:r>
          </w:p>
        </w:tc>
      </w:tr>
      <w:tr>
        <w:trPr>
          <w:trHeight w:val="198"/>
        </w:trPr>
        <w:tc>
          <w:tcPr>
            <w:tcW w:w="29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gridSpan w:val="2"/>
          </w:tcPr>
          <w:p>
            <w:pPr>
              <w:ind w:left="100"/>
              <w:spacing w:after="0" w:line="198" w:lineRule="exact"/>
              <w:rPr>
                <w:sz w:val="20"/>
                <w:szCs w:val="20"/>
                <w:color w:val="auto"/>
              </w:rPr>
            </w:pPr>
            <w:r>
              <w:rPr>
                <w:rFonts w:ascii="Times New Roman" w:cs="Times New Roman" w:eastAsia="Times New Roman" w:hAnsi="Times New Roman"/>
                <w:sz w:val="18"/>
                <w:szCs w:val="18"/>
                <w:color w:val="auto"/>
              </w:rPr>
              <w:t>June 30,</w:t>
            </w:r>
          </w:p>
        </w:tc>
        <w:tc>
          <w:tcPr>
            <w:tcW w:w="1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December 31,</w:t>
            </w:r>
          </w:p>
        </w:tc>
        <w:tc>
          <w:tcPr>
            <w:tcW w:w="60" w:type="dxa"/>
            <w:vAlign w:val="bottom"/>
          </w:tcPr>
          <w:p>
            <w:pPr>
              <w:spacing w:after="0"/>
              <w:rPr>
                <w:sz w:val="17"/>
                <w:szCs w:val="17"/>
                <w:color w:val="auto"/>
              </w:rPr>
            </w:pPr>
          </w:p>
        </w:tc>
      </w:tr>
      <w:tr>
        <w:trPr>
          <w:trHeight w:val="241"/>
        </w:trPr>
        <w:tc>
          <w:tcPr>
            <w:tcW w:w="29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2024</w:t>
            </w:r>
          </w:p>
        </w:tc>
        <w:tc>
          <w:tcPr>
            <w:tcW w:w="16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2023</w:t>
            </w:r>
          </w:p>
        </w:tc>
        <w:tc>
          <w:tcPr>
            <w:tcW w:w="60" w:type="dxa"/>
            <w:vAlign w:val="bottom"/>
            <w:tcBorders>
              <w:bottom w:val="single" w:sz="8" w:color="CCEEFF"/>
            </w:tcBorders>
          </w:tcPr>
          <w:p>
            <w:pPr>
              <w:spacing w:after="0"/>
              <w:rPr>
                <w:sz w:val="20"/>
                <w:szCs w:val="20"/>
                <w:color w:val="auto"/>
              </w:rPr>
            </w:pPr>
          </w:p>
        </w:tc>
      </w:tr>
      <w:tr>
        <w:trPr>
          <w:trHeight w:val="223"/>
        </w:trPr>
        <w:tc>
          <w:tcPr>
            <w:tcW w:w="2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Utah (1)</w:t>
            </w: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98"/>
              </w:rPr>
              <w:t>60,200,289</w:t>
            </w:r>
          </w:p>
        </w:tc>
        <w:tc>
          <w:tcPr>
            <w:tcW w:w="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96"/>
              </w:rPr>
              <w:t>40,924,865</w:t>
            </w:r>
          </w:p>
        </w:tc>
        <w:tc>
          <w:tcPr>
            <w:tcW w:w="60" w:type="dxa"/>
            <w:vAlign w:val="bottom"/>
            <w:tcBorders>
              <w:bottom w:val="single" w:sz="8" w:color="CCEEFF"/>
            </w:tcBorders>
            <w:shd w:val="clear" w:color="auto" w:fill="CCEEFF"/>
          </w:tcPr>
          <w:p>
            <w:pPr>
              <w:spacing w:after="0"/>
              <w:rPr>
                <w:sz w:val="19"/>
                <w:szCs w:val="19"/>
                <w:color w:val="auto"/>
              </w:rPr>
            </w:pPr>
          </w:p>
        </w:tc>
      </w:tr>
    </w:tbl>
    <w:p>
      <w:pPr>
        <w:ind w:left="3380" w:hanging="402"/>
        <w:spacing w:after="0"/>
        <w:tabs>
          <w:tab w:leader="none" w:pos="3380" w:val="left"/>
        </w:tabs>
        <w:numPr>
          <w:ilvl w:val="1"/>
          <w:numId w:val="19"/>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60,200,289  $    40,924,865</w:t>
      </w:r>
    </w:p>
    <w:p>
      <w:pPr>
        <w:spacing w:after="0" w:line="301" w:lineRule="exact"/>
        <w:rPr>
          <w:rFonts w:ascii="Times New Roman" w:cs="Times New Roman" w:eastAsia="Times New Roman" w:hAnsi="Times New Roman"/>
          <w:sz w:val="18"/>
          <w:szCs w:val="18"/>
          <w:u w:val="single" w:color="auto"/>
          <w:color w:val="auto"/>
        </w:rPr>
      </w:pPr>
    </w:p>
    <w:p>
      <w:pPr>
        <w:ind w:left="360" w:hanging="292"/>
        <w:spacing w:after="0"/>
        <w:tabs>
          <w:tab w:leader="none" w:pos="3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multiple residential subdivision development projects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1891030</wp:posOffset>
            </wp:positionH>
            <wp:positionV relativeFrom="paragraph">
              <wp:posOffset>-290830</wp:posOffset>
            </wp:positionV>
            <wp:extent cx="16459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6459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-144780</wp:posOffset>
            </wp:positionV>
            <wp:extent cx="178308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5" w:name="page26"/>
    <w:bookmarkEnd w:id="25"/>
    <w:p>
      <w:pPr>
        <w:ind w:left="2700"/>
        <w:spacing w:after="0"/>
        <w:rPr>
          <w:sz w:val="20"/>
          <w:szCs w:val="20"/>
          <w:color w:val="auto"/>
        </w:rPr>
      </w:pPr>
      <w:r>
        <w:rPr>
          <w:rFonts w:ascii="Times New Roman" w:cs="Times New Roman" w:eastAsia="Times New Roman" w:hAnsi="Times New Roman"/>
          <w:sz w:val="18"/>
          <w:szCs w:val="18"/>
          <w:color w:val="auto"/>
        </w:rPr>
        <w:t>SECURITY NATIONAL FINANCIAL CORPORATION AND SUBSIDIARIES</w:t>
      </w:r>
    </w:p>
    <w:p>
      <w:pPr>
        <w:spacing w:after="0" w:line="27"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p>
      <w:pPr>
        <w:spacing w:after="0" w:line="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June 30, 2024 (Unaudited)</w:t>
      </w:r>
    </w:p>
    <w:p>
      <w:pPr>
        <w:spacing w:after="0" w:line="207" w:lineRule="exact"/>
        <w:rPr>
          <w:sz w:val="20"/>
          <w:szCs w:val="20"/>
          <w:color w:val="auto"/>
        </w:rPr>
      </w:pPr>
    </w:p>
    <w:p>
      <w:pPr>
        <w:ind w:left="200" w:hanging="192"/>
        <w:spacing w:after="0"/>
        <w:tabs>
          <w:tab w:leader="none" w:pos="2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additional information regarding the Company’s residential subdivision development in Utah:</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June 30,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December 31,</w:t>
            </w:r>
          </w:p>
        </w:tc>
      </w:tr>
      <w:tr>
        <w:trPr>
          <w:trHeight w:val="241"/>
        </w:trPr>
        <w:tc>
          <w:tcPr>
            <w:tcW w:w="366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2023</w:t>
            </w:r>
          </w:p>
        </w:tc>
        <w:tc>
          <w:tcPr>
            <w:tcW w:w="40" w:type="dxa"/>
            <w:vAlign w:val="bottom"/>
            <w:tcBorders>
              <w:bottom w:val="single" w:sz="8" w:color="CCEEFF"/>
            </w:tcBorders>
          </w:tcPr>
          <w:p>
            <w:pPr>
              <w:spacing w:after="0"/>
              <w:rPr>
                <w:sz w:val="20"/>
                <w:szCs w:val="20"/>
                <w:color w:val="auto"/>
              </w:rPr>
            </w:pPr>
          </w:p>
        </w:tc>
      </w:tr>
      <w:tr>
        <w:trPr>
          <w:trHeight w:val="216"/>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Lots developed</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40" w:type="dxa"/>
            <w:vAlign w:val="bottom"/>
            <w:shd w:val="clear" w:color="auto" w:fill="CCEEFF"/>
          </w:tcPr>
          <w:p>
            <w:pPr>
              <w:spacing w:after="0"/>
              <w:rPr>
                <w:sz w:val="18"/>
                <w:szCs w:val="18"/>
                <w:color w:val="auto"/>
              </w:rPr>
            </w:pP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Lots to be developed</w:t>
            </w:r>
          </w:p>
        </w:tc>
        <w:tc>
          <w:tcPr>
            <w:tcW w:w="2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1,293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1,145</w:t>
            </w:r>
          </w:p>
        </w:tc>
      </w:tr>
      <w:tr>
        <w:trPr>
          <w:trHeight w:val="216"/>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Book Value</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60,019,930</w:t>
            </w: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40,739,201</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residential real estate held for sale is summarized as follows as of the respective dates indicated: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9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3"/>
          </w:tcPr>
          <w:p>
            <w:pPr>
              <w:jc w:val="right"/>
              <w:ind w:right="553"/>
              <w:spacing w:after="0"/>
              <w:rPr>
                <w:sz w:val="20"/>
                <w:szCs w:val="20"/>
                <w:color w:val="auto"/>
              </w:rPr>
            </w:pPr>
            <w:r>
              <w:rPr>
                <w:rFonts w:ascii="Times New Roman" w:cs="Times New Roman" w:eastAsia="Times New Roman" w:hAnsi="Times New Roman"/>
                <w:sz w:val="18"/>
                <w:szCs w:val="18"/>
                <w:color w:val="auto"/>
              </w:rPr>
              <w:t>Net Book Value</w:t>
            </w:r>
          </w:p>
        </w:tc>
        <w:tc>
          <w:tcPr>
            <w:tcW w:w="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198"/>
        </w:trPr>
        <w:tc>
          <w:tcPr>
            <w:tcW w:w="2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ind w:left="100"/>
              <w:spacing w:after="0" w:line="198" w:lineRule="exact"/>
              <w:rPr>
                <w:sz w:val="20"/>
                <w:szCs w:val="20"/>
                <w:color w:val="auto"/>
              </w:rPr>
            </w:pPr>
            <w:r>
              <w:rPr>
                <w:rFonts w:ascii="Times New Roman" w:cs="Times New Roman" w:eastAsia="Times New Roman" w:hAnsi="Times New Roman"/>
                <w:sz w:val="18"/>
                <w:szCs w:val="18"/>
                <w:color w:val="auto"/>
              </w:rPr>
              <w:t>June 30,</w:t>
            </w:r>
          </w:p>
        </w:tc>
        <w:tc>
          <w:tcPr>
            <w:tcW w:w="112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December 31,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41"/>
        </w:trPr>
        <w:tc>
          <w:tcPr>
            <w:tcW w:w="29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2024</w:t>
            </w:r>
          </w:p>
        </w:tc>
        <w:tc>
          <w:tcPr>
            <w:tcW w:w="16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8"/>
                <w:szCs w:val="18"/>
                <w:color w:val="auto"/>
              </w:rPr>
              <w:t>2023</w:t>
            </w: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r>
      <w:tr>
        <w:trPr>
          <w:trHeight w:val="236"/>
        </w:trPr>
        <w:tc>
          <w:tcPr>
            <w:tcW w:w="2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Utah</w:t>
            </w: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858,977</w:t>
            </w:r>
          </w:p>
        </w:tc>
        <w:tc>
          <w:tcPr>
            <w:tcW w:w="1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953"/>
              <w:spacing w:after="0"/>
              <w:rPr>
                <w:sz w:val="20"/>
                <w:szCs w:val="20"/>
                <w:color w:val="auto"/>
              </w:rPr>
            </w:pPr>
            <w:r>
              <w:rPr>
                <w:rFonts w:ascii="Times New Roman" w:cs="Times New Roman" w:eastAsia="Times New Roman" w:hAnsi="Times New Roman"/>
                <w:sz w:val="17"/>
                <w:szCs w:val="17"/>
                <w:color w:val="auto"/>
                <w:w w:val="70"/>
              </w:rPr>
              <w:t>$</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r>
      <w:tr>
        <w:trPr>
          <w:trHeight w:val="217"/>
        </w:trPr>
        <w:tc>
          <w:tcPr>
            <w:tcW w:w="2980" w:type="dxa"/>
            <w:vAlign w:val="bottom"/>
          </w:tcPr>
          <w:p>
            <w:pPr>
              <w:spacing w:after="0"/>
              <w:rPr>
                <w:sz w:val="18"/>
                <w:szCs w:val="18"/>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858,977</w:t>
            </w:r>
          </w:p>
        </w:tc>
        <w:tc>
          <w:tcPr>
            <w:tcW w:w="160" w:type="dxa"/>
            <w:vAlign w:val="bottom"/>
          </w:tcPr>
          <w:p>
            <w:pPr>
              <w:spacing w:after="0"/>
              <w:rPr>
                <w:sz w:val="18"/>
                <w:szCs w:val="18"/>
                <w:color w:val="auto"/>
              </w:rPr>
            </w:pPr>
          </w:p>
        </w:tc>
        <w:tc>
          <w:tcPr>
            <w:tcW w:w="1120" w:type="dxa"/>
            <w:vAlign w:val="bottom"/>
            <w:tcBorders>
              <w:bottom w:val="single" w:sz="8" w:color="auto"/>
            </w:tcBorders>
          </w:tcPr>
          <w:p>
            <w:pPr>
              <w:jc w:val="right"/>
              <w:ind w:right="953"/>
              <w:spacing w:after="0"/>
              <w:rPr>
                <w:sz w:val="20"/>
                <w:szCs w:val="20"/>
                <w:color w:val="auto"/>
              </w:rPr>
            </w:pPr>
            <w:r>
              <w:rPr>
                <w:rFonts w:ascii="Times New Roman" w:cs="Times New Roman" w:eastAsia="Times New Roman" w:hAnsi="Times New Roman"/>
                <w:sz w:val="17"/>
                <w:szCs w:val="17"/>
                <w:color w:val="auto"/>
                <w:w w:val="70"/>
              </w:rPr>
              <w:t>$</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2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net book value of foreclosed residential real estate included in residential real estate held for sale was $858,977 and nil as of June 30, 2024 and December 31, 2023,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Real Estate Owned and Occupied by the Company</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primary business units of the Company occupy a portion of the real estate owned by the Company. As of June 30, 2024, real estate owned and occupied by the Company is summarized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Square Footage</w:t>
            </w:r>
          </w:p>
        </w:tc>
      </w:tr>
      <w:tr>
        <w:trPr>
          <w:trHeight w:val="216"/>
        </w:trPr>
        <w:tc>
          <w:tcPr>
            <w:tcW w:w="3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Approximate</w:t>
            </w:r>
          </w:p>
        </w:tc>
        <w:tc>
          <w:tcPr>
            <w:tcW w:w="16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Occupied by the</w:t>
            </w:r>
          </w:p>
        </w:tc>
      </w:tr>
      <w:tr>
        <w:trPr>
          <w:trHeight w:val="241"/>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Location</w:t>
            </w:r>
          </w:p>
        </w:tc>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Business Segment</w:t>
            </w:r>
          </w:p>
        </w:tc>
        <w:tc>
          <w:tcPr>
            <w:tcW w:w="17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Square Footage</w:t>
            </w:r>
          </w:p>
        </w:tc>
        <w:tc>
          <w:tcPr>
            <w:tcW w:w="16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Company</w:t>
            </w:r>
          </w:p>
        </w:tc>
      </w:tr>
      <w:tr>
        <w:trPr>
          <w:trHeight w:val="198"/>
        </w:trPr>
        <w:tc>
          <w:tcPr>
            <w:tcW w:w="38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358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Corporate Offices, Life Insurance,</w:t>
            </w:r>
          </w:p>
        </w:tc>
        <w:tc>
          <w:tcPr>
            <w:tcW w:w="220" w:type="dxa"/>
            <w:vAlign w:val="bottom"/>
            <w:tcBorders>
              <w:top w:val="single" w:sz="8" w:color="CCEEFF"/>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r>
      <w:tr>
        <w:trPr>
          <w:trHeight w:val="216"/>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433 Ascension Way, Floors 4, 5 and 6, Salt Lake</w:t>
            </w:r>
          </w:p>
        </w:tc>
        <w:tc>
          <w:tcPr>
            <w:tcW w:w="3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Cemetery/Mortuary Operations, and Mortgage</w:t>
            </w:r>
          </w:p>
        </w:tc>
        <w:tc>
          <w:tcPr>
            <w:tcW w:w="1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34"/>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City, UT - Center53 Building 2 (1)</w:t>
            </w:r>
          </w:p>
        </w:tc>
        <w:tc>
          <w:tcPr>
            <w:tcW w:w="3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Operations and Sales</w:t>
            </w:r>
          </w:p>
        </w:tc>
        <w:tc>
          <w:tcPr>
            <w:tcW w:w="17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221,000</w:t>
            </w:r>
          </w:p>
        </w:tc>
        <w:tc>
          <w:tcPr>
            <w:tcW w:w="1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1818 Marshall Street, Shreveport, LA (2)</w:t>
            </w:r>
          </w:p>
        </w:tc>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Life Insurance Operations</w:t>
            </w:r>
          </w:p>
        </w:tc>
        <w:tc>
          <w:tcPr>
            <w:tcW w:w="17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12,274</w:t>
            </w: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812 Sheppard Street, Minden, LA (2) (3)</w:t>
            </w:r>
          </w:p>
        </w:tc>
        <w:tc>
          <w:tcPr>
            <w:tcW w:w="3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Life Insurance Sales</w:t>
            </w:r>
          </w:p>
        </w:tc>
        <w:tc>
          <w:tcPr>
            <w:tcW w:w="17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1,560</w:t>
            </w:r>
          </w:p>
        </w:tc>
        <w:tc>
          <w:tcPr>
            <w:tcW w:w="1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ind w:left="360" w:hanging="292"/>
        <w:spacing w:after="0"/>
        <w:tabs>
          <w:tab w:leader="none" w:pos="3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real estate held for investment on the condensed consolidated balance sheets</w:t>
      </w:r>
    </w:p>
    <w:p>
      <w:pPr>
        <w:spacing w:after="0" w:line="117" w:lineRule="exact"/>
        <w:rPr>
          <w:rFonts w:ascii="Times New Roman" w:cs="Times New Roman" w:eastAsia="Times New Roman" w:hAnsi="Times New Roman"/>
          <w:sz w:val="18"/>
          <w:szCs w:val="18"/>
          <w:color w:val="auto"/>
        </w:rPr>
      </w:pPr>
    </w:p>
    <w:p>
      <w:pPr>
        <w:ind w:left="360" w:hanging="292"/>
        <w:spacing w:after="0"/>
        <w:tabs>
          <w:tab w:leader="none" w:pos="3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property and equipment on the condensed consolidated balance sheets</w:t>
      </w:r>
    </w:p>
    <w:p>
      <w:pPr>
        <w:spacing w:after="0" w:line="117" w:lineRule="exact"/>
        <w:rPr>
          <w:rFonts w:ascii="Times New Roman" w:cs="Times New Roman" w:eastAsia="Times New Roman" w:hAnsi="Times New Roman"/>
          <w:sz w:val="18"/>
          <w:szCs w:val="18"/>
          <w:color w:val="auto"/>
        </w:rPr>
      </w:pPr>
    </w:p>
    <w:p>
      <w:pPr>
        <w:ind w:left="360" w:hanging="292"/>
        <w:spacing w:after="0"/>
        <w:tabs>
          <w:tab w:leader="none" w:pos="3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Listed for sale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Mortgage Loans Held for Investment</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Mortgage loans held for investment consist of first and second mortgages. The mortgage loans bear interest at rates ranging from 2.0% to 10.5%, maturity dates range from nine months to 30 years and the loans are secured by real estate.</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Concentrations of credit risk arise when a number of mortgage loan debtors have similar economic characteristics that would cause their ability to meet contractual obligations to be similarly affected by changes in economic conditions. Although the Company has a diversified mortgage loan portfolio consisting of residential mortgages, commercial loans and residential construction loans and requires collateral on all real estate exposures, a substantial portion of the relevant debtors’ ability to honor obligations is dependent upon the economic stability of the geographic region in which the debtors do business or are employed. As of June 30, 2024, the Company had 47%, 10%, 8%, 7% and 7%, of its mortgage loans from borrowers located in the states of Utah, Texas, Florida, California, and Arizona, respectively. As of December 31, 2023, the Company had 44%, 11%, 10%, 7% and 6% of its mortgage loans from borrowers located in the states of Utah, Florida, California, Texas, and Arizona respectively.</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6" w:name="page27"/>
    <w:bookmarkEnd w:id="26"/>
    <w:p>
      <w:pPr>
        <w:ind w:left="2700"/>
        <w:spacing w:after="0"/>
        <w:rPr>
          <w:sz w:val="20"/>
          <w:szCs w:val="20"/>
          <w:color w:val="auto"/>
        </w:rPr>
      </w:pPr>
      <w:r>
        <w:rPr>
          <w:rFonts w:ascii="Times New Roman" w:cs="Times New Roman" w:eastAsia="Times New Roman" w:hAnsi="Times New Roman"/>
          <w:sz w:val="18"/>
          <w:szCs w:val="18"/>
          <w:color w:val="auto"/>
        </w:rPr>
        <w:t>SECURITY NATIONAL FINANCIAL CORPORATION AND SUBSIDIARIES</w:t>
      </w:r>
    </w:p>
    <w:p>
      <w:pPr>
        <w:spacing w:after="0" w:line="27"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p>
      <w:pPr>
        <w:spacing w:after="0" w:line="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June 30, 2024 (Unaudited)</w:t>
      </w:r>
    </w:p>
    <w:p>
      <w:pPr>
        <w:spacing w:after="0" w:line="207" w:lineRule="exact"/>
        <w:rPr>
          <w:sz w:val="20"/>
          <w:szCs w:val="20"/>
          <w:color w:val="auto"/>
        </w:rPr>
      </w:pPr>
    </w:p>
    <w:p>
      <w:pPr>
        <w:ind w:left="200" w:hanging="192"/>
        <w:spacing w:after="0"/>
        <w:tabs>
          <w:tab w:leader="none" w:pos="2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Mortgage loans held for investment are carried at their unpaid principal balances adjusted for net deferred fees, charge-offs, premiums, discounts, and the related allowance for credit losses. Interest income is included in net investment income on the condensed consolidated statements of earnings and is recognized when earned. The Company defers related material loan origination fees, net of related direct loan origination costs, and amortizes the net fees over the terms of the loans. Origination fees are included in net investment income on the condensed consolidated statements of earnings.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Mortgage loans are secured by the underlying property and require an appraisal at the time of underwriting and funding. Generally, the Company requires that loans not exceed 80% of the fair market value of the respective loan collateral. For loans of more than 80% of the fair market value of the respective loan collateral, additional collateral or mortgage insurance by an approved third-party insurer is required.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Allowance for Credit Losses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2 regarding the adoption of ASU 2016-13.</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allowance for credit losses is a valuation account that is deducted from the amortized cost basis of the Company’s mortgage loans held for investment to present the net amount expected to be collected. The Company reports in net earnings, as a credit loss expense, the amount necessary to adjust the allowance for credit losses for the Company’s current estimate of expected credit losses on mortgage loans held for investment. This credit loss expense is included in other expenses on the condensed consolidated statements of earnings.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Once a mortgage loan is past due 90 days, it is the policy of the Company to end the accrual of interest income on the loan and reverse any interest income that had been accrued. Given this policy, the Company does not measure a credit loss allowance on accrued interest receivable. Accrued interest receivable is included in accrued investment income on the condensed consolidated balance sheets. Payments received for mortgage loans on a non-accrual status are recognized when received. The interest income recognized from payments received for mortgage loans on a non-accrual status was immaterial. Accrual of interest resumes if a mortgage loan is brought current. Interest not accrued on these loans totaled approximately $274,000 and $237,000 as of June 30, 2024 and December 31, 2023, respectively.</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measures expected credit losses based on the fair value of the collateral when the Company determines that foreclosure is probable. When a mortgage loan becomes delinquent, the Company proceeds to foreclose and all expenses for foreclosure are expensed as incurred. Once foreclosed, the property is classified as real estate held for investment or held for sale.</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To determine the allowance for credit losses, the Company has segmented its mortgage loans held for investment by loan type. The Company’s loan types are commercial, residential, and residential construction. The inherent risks within the portfolio vary depending upon the loan type as follows: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Commercial</w:t>
      </w:r>
      <w:r>
        <w:rPr>
          <w:rFonts w:ascii="Times New Roman" w:cs="Times New Roman" w:eastAsia="Times New Roman" w:hAnsi="Times New Roman"/>
          <w:sz w:val="18"/>
          <w:szCs w:val="18"/>
          <w:color w:val="auto"/>
        </w:rPr>
        <w:t xml:space="preserve"> - Underwritten in accordance with the Company’s policies to determine the borrower’s ability to repay the obligation as agreed. Commercial loans are made primarily based on the underlying collateral supporting the loan. Accordingly, the repayment of a commercial loan depends primarily on the collateral and its ability to generate income and secondarily on the borrower’s (or guarantor’s) ability to repay.</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Commercial loans are evaluated for credit loss by analyzing common metrics that are predictors for future credit losses such as debt service coverage ratio (“DSCR”), loan to value (“LTV”), local market conditions, borrower quality, and underlying collateral. The fair value of the underlying collateral is based on a third-party appraisal of the property at origination of the loan. The fair value is assessed if the loan becomes 90 days delinquent. The Company uses these metrics to pool similar loans. The allowance for credit losses is based on estimates, historical experience, probability of loss, value of the underlying collateral, and other factors that affect the collectability of the loan. The Company applies a future loss factor to the outstanding balance of each group to arrive at the allowance for credit losses.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7" w:name="page28"/>
    <w:bookmarkEnd w:id="27"/>
    <w:p>
      <w:pPr>
        <w:ind w:left="2700"/>
        <w:spacing w:after="0"/>
        <w:rPr>
          <w:sz w:val="20"/>
          <w:szCs w:val="20"/>
          <w:color w:val="auto"/>
        </w:rPr>
      </w:pPr>
      <w:r>
        <w:rPr>
          <w:rFonts w:ascii="Times New Roman" w:cs="Times New Roman" w:eastAsia="Times New Roman" w:hAnsi="Times New Roman"/>
          <w:sz w:val="18"/>
          <w:szCs w:val="18"/>
          <w:color w:val="auto"/>
        </w:rPr>
        <w:t>SECURITY NATIONAL FINANCIAL CORPORATION AND SUBSIDIARIES</w:t>
      </w:r>
    </w:p>
    <w:p>
      <w:pPr>
        <w:spacing w:after="0" w:line="27"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p>
      <w:pPr>
        <w:spacing w:after="0" w:line="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June 30, 2024 (Unaudited)</w:t>
      </w:r>
    </w:p>
    <w:p>
      <w:pPr>
        <w:spacing w:after="0" w:line="207" w:lineRule="exact"/>
        <w:rPr>
          <w:sz w:val="20"/>
          <w:szCs w:val="20"/>
          <w:color w:val="auto"/>
        </w:rPr>
      </w:pPr>
    </w:p>
    <w:p>
      <w:pPr>
        <w:ind w:left="200" w:hanging="192"/>
        <w:spacing w:after="0"/>
        <w:tabs>
          <w:tab w:leader="none" w:pos="2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Residential</w:t>
      </w:r>
      <w:r>
        <w:rPr>
          <w:rFonts w:ascii="Times New Roman" w:cs="Times New Roman" w:eastAsia="Times New Roman" w:hAnsi="Times New Roman"/>
          <w:sz w:val="18"/>
          <w:szCs w:val="18"/>
          <w:color w:val="auto"/>
        </w:rPr>
        <w:t xml:space="preserve"> — These loans are secured by first and second mortgages on single-family dwellings. The borrower’s ability to repay is sensitive to the life events and the general economic condition of the region. Where loan to value exceeds 80%, the loan is generally guaranteed by private mortgage insurance, the FHA, or VA.</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Residential loans are evaluated for credit loss by using relevant available information from both internal and external sources. Among other things, the Company uses its historical delinquency information and considers current and forecasted economic conditions. External sources include a monthly analysis of its residential portfolio by a third party. The third party uses the Company’s current loan data and runs it through various models to project cash flows and provide a projected life of loan loss. The models consider loan features such as loan type, loan to value, payment status, age, and current property values. Analyzing the information from the various sources allows the Company to arrive at the allowance for credit losses.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u w:val="single" w:color="auto"/>
          <w:color w:val="auto"/>
        </w:rPr>
        <w:t>Residential construction (including land acquisition and development)</w:t>
      </w:r>
      <w:r>
        <w:rPr>
          <w:rFonts w:ascii="Times New Roman" w:cs="Times New Roman" w:eastAsia="Times New Roman" w:hAnsi="Times New Roman"/>
          <w:sz w:val="18"/>
          <w:szCs w:val="18"/>
          <w:color w:val="auto"/>
        </w:rPr>
        <w:t xml:space="preserve"> – These loans are underwritten in accordance with the Company’s underwriting policies, which include a financial analysis of the builders, borrowers (guarantors), construction cost estimates, and independent appraisal valuations, and factor in estimates of the value of construction projects upon completion. Construction loans generally involve the disbursement of substantial funds over a short period of time with repayment substantially dependent upon the success of the completed project and the ability of the borrower to secure long-term financing.</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Additionally, land acquisition and development loans are underwritten in accordance with the Company’s underwriting policies, which include independent appraisal valuations as well as the estimated value associated with the land upon completion of development into finished lots. These loans are of a higher risk than other mortgage loans due to their ultimate repayment being sensitive to general economic conditions, availability of long-term or construction financing, and interest rate sensitivity.</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Residential construction mortgage loans are evaluated for credit loss by considering historical activity and current housing market trends to arrive at a per loan basis point allowance that is recognized at loan origination and for subsequent draws. The per loan basis point is reviewed at least annually or as loan losses or market trends require.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8" w:name="page29"/>
    <w:bookmarkEnd w:id="28"/>
    <w:p>
      <w:pPr>
        <w:ind w:left="2700"/>
        <w:spacing w:after="0"/>
        <w:rPr>
          <w:sz w:val="20"/>
          <w:szCs w:val="20"/>
          <w:color w:val="auto"/>
        </w:rPr>
      </w:pPr>
      <w:r>
        <w:rPr>
          <w:rFonts w:ascii="Times New Roman" w:cs="Times New Roman" w:eastAsia="Times New Roman" w:hAnsi="Times New Roman"/>
          <w:sz w:val="18"/>
          <w:szCs w:val="18"/>
          <w:color w:val="auto"/>
        </w:rPr>
        <w:t>SECURITY NATIONAL FINANCIAL CORPORATION AND SUBSIDIARIES</w:t>
      </w:r>
    </w:p>
    <w:p>
      <w:pPr>
        <w:spacing w:after="0" w:line="27"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p>
      <w:pPr>
        <w:spacing w:after="0" w:line="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June 30, 2024 (Unaudited)</w:t>
      </w:r>
    </w:p>
    <w:p>
      <w:pPr>
        <w:spacing w:after="0" w:line="207" w:lineRule="exact"/>
        <w:rPr>
          <w:sz w:val="20"/>
          <w:szCs w:val="20"/>
          <w:color w:val="auto"/>
        </w:rPr>
      </w:pPr>
    </w:p>
    <w:p>
      <w:pPr>
        <w:ind w:left="200" w:hanging="192"/>
        <w:spacing w:after="0"/>
        <w:tabs>
          <w:tab w:leader="none" w:pos="2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roll forward of the allowance for credit losses as of the dates indicated: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6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360" w:type="dxa"/>
            <w:vAlign w:val="bottom"/>
            <w:tcBorders>
              <w:bottom w:val="single" w:sz="8" w:color="auto"/>
            </w:tcBorders>
            <w:gridSpan w:val="5"/>
          </w:tcPr>
          <w:p>
            <w:pPr>
              <w:jc w:val="right"/>
              <w:ind w:right="1220"/>
              <w:spacing w:after="0"/>
              <w:rPr>
                <w:sz w:val="20"/>
                <w:szCs w:val="20"/>
                <w:color w:val="auto"/>
              </w:rPr>
            </w:pPr>
            <w:r>
              <w:rPr>
                <w:rFonts w:ascii="Times New Roman" w:cs="Times New Roman" w:eastAsia="Times New Roman" w:hAnsi="Times New Roman"/>
                <w:sz w:val="18"/>
                <w:szCs w:val="18"/>
                <w:color w:val="auto"/>
              </w:rPr>
              <w:t>Three Months Ended</w:t>
            </w:r>
          </w:p>
        </w:tc>
        <w:tc>
          <w:tcPr>
            <w:tcW w:w="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198"/>
        </w:trPr>
        <w:tc>
          <w:tcPr>
            <w:tcW w:w="36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gridSpan w:val="2"/>
          </w:tcPr>
          <w:p>
            <w:pPr>
              <w:jc w:val="center"/>
              <w:ind w:right="500"/>
              <w:spacing w:after="0" w:line="198" w:lineRule="exact"/>
              <w:rPr>
                <w:sz w:val="20"/>
                <w:szCs w:val="20"/>
                <w:color w:val="auto"/>
              </w:rPr>
            </w:pPr>
            <w:r>
              <w:rPr>
                <w:rFonts w:ascii="Times New Roman" w:cs="Times New Roman" w:eastAsia="Times New Roman" w:hAnsi="Times New Roman"/>
                <w:sz w:val="18"/>
                <w:szCs w:val="18"/>
                <w:color w:val="auto"/>
                <w:w w:val="98"/>
              </w:rPr>
              <w:t>Residential</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41"/>
        </w:trPr>
        <w:tc>
          <w:tcPr>
            <w:tcW w:w="36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Commercial</w:t>
            </w:r>
          </w:p>
        </w:tc>
        <w:tc>
          <w:tcPr>
            <w:tcW w:w="220" w:type="dxa"/>
            <w:vAlign w:val="bottom"/>
          </w:tcPr>
          <w:p>
            <w:pPr>
              <w:spacing w:after="0"/>
              <w:rPr>
                <w:sz w:val="20"/>
                <w:szCs w:val="20"/>
                <w:color w:val="auto"/>
              </w:rPr>
            </w:pPr>
          </w:p>
        </w:tc>
        <w:tc>
          <w:tcPr>
            <w:tcW w:w="16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Residential</w:t>
            </w:r>
          </w:p>
        </w:tc>
        <w:tc>
          <w:tcPr>
            <w:tcW w:w="180" w:type="dxa"/>
            <w:vAlign w:val="bottom"/>
          </w:tcPr>
          <w:p>
            <w:pPr>
              <w:spacing w:after="0"/>
              <w:rPr>
                <w:sz w:val="20"/>
                <w:szCs w:val="20"/>
                <w:color w:val="auto"/>
              </w:rPr>
            </w:pPr>
          </w:p>
        </w:tc>
        <w:tc>
          <w:tcPr>
            <w:tcW w:w="158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color w:val="auto"/>
                <w:w w:val="98"/>
              </w:rPr>
              <w:t>Construction</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gridSpan w:val="3"/>
          </w:tcPr>
          <w:p>
            <w:pPr>
              <w:jc w:val="right"/>
              <w:ind w:right="640"/>
              <w:spacing w:after="0"/>
              <w:rPr>
                <w:sz w:val="20"/>
                <w:szCs w:val="20"/>
                <w:color w:val="auto"/>
              </w:rPr>
            </w:pPr>
            <w:r>
              <w:rPr>
                <w:rFonts w:ascii="Times New Roman" w:cs="Times New Roman" w:eastAsia="Times New Roman" w:hAnsi="Times New Roman"/>
                <w:sz w:val="18"/>
                <w:szCs w:val="18"/>
                <w:color w:val="auto"/>
              </w:rPr>
              <w:t>Total</w:t>
            </w:r>
          </w:p>
        </w:tc>
      </w:tr>
      <w:tr>
        <w:trPr>
          <w:trHeight w:val="216"/>
        </w:trPr>
        <w:tc>
          <w:tcPr>
            <w:tcW w:w="3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 - March 31, 2024</w:t>
            </w:r>
          </w:p>
        </w:tc>
        <w:tc>
          <w:tcPr>
            <w:tcW w:w="6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859,622</w:t>
            </w:r>
          </w:p>
        </w:tc>
        <w:tc>
          <w:tcPr>
            <w:tcW w:w="3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1,862,495</w:t>
            </w:r>
          </w:p>
        </w:tc>
        <w:tc>
          <w:tcPr>
            <w:tcW w:w="3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199,497</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2,921,614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3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provision for credit losses</w:t>
            </w: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(10,299)</w:t>
            </w:r>
          </w:p>
        </w:tc>
        <w:tc>
          <w:tcPr>
            <w:tcW w:w="220" w:type="dxa"/>
            <w:vAlign w:val="bottom"/>
          </w:tcPr>
          <w:p>
            <w:pPr>
              <w:spacing w:after="0"/>
              <w:rPr>
                <w:sz w:val="18"/>
                <w:szCs w:val="18"/>
                <w:color w:val="auto"/>
              </w:rPr>
            </w:pPr>
          </w:p>
        </w:tc>
        <w:tc>
          <w:tcPr>
            <w:tcW w:w="16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(83,109)</w:t>
            </w:r>
          </w:p>
        </w:tc>
        <w:tc>
          <w:tcPr>
            <w:tcW w:w="180" w:type="dxa"/>
            <w:vAlign w:val="bottom"/>
          </w:tcPr>
          <w:p>
            <w:pPr>
              <w:spacing w:after="0"/>
              <w:rPr>
                <w:sz w:val="18"/>
                <w:szCs w:val="18"/>
                <w:color w:val="auto"/>
              </w:rPr>
            </w:pPr>
          </w:p>
        </w:tc>
        <w:tc>
          <w:tcPr>
            <w:tcW w:w="15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25,646</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(67,762)</w:t>
            </w:r>
          </w:p>
        </w:tc>
      </w:tr>
      <w:tr>
        <w:trPr>
          <w:trHeight w:val="250"/>
        </w:trPr>
        <w:tc>
          <w:tcPr>
            <w:tcW w:w="3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Charge-offs</w:t>
            </w:r>
          </w:p>
        </w:tc>
        <w:tc>
          <w:tcPr>
            <w:tcW w:w="6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r>
      <w:tr>
        <w:trPr>
          <w:trHeight w:val="256"/>
        </w:trPr>
        <w:tc>
          <w:tcPr>
            <w:tcW w:w="3680" w:type="dxa"/>
            <w:vAlign w:val="bottom"/>
            <w:tcBorders>
              <w:top w:val="single" w:sz="8" w:color="CCEEFF"/>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Ending balance - June 30, 2024</w:t>
            </w:r>
          </w:p>
        </w:tc>
        <w:tc>
          <w:tcPr>
            <w:tcW w:w="600" w:type="dxa"/>
            <w:vAlign w:val="bottom"/>
            <w:tcBorders>
              <w:top w:val="single" w:sz="8" w:color="CCEEFF"/>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849,323</w:t>
            </w:r>
          </w:p>
        </w:tc>
        <w:tc>
          <w:tcPr>
            <w:tcW w:w="340" w:type="dxa"/>
            <w:vAlign w:val="bottom"/>
            <w:tcBorders>
              <w:top w:val="single" w:sz="8" w:color="CCEEFF"/>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1,779,386</w:t>
            </w:r>
          </w:p>
        </w:tc>
        <w:tc>
          <w:tcPr>
            <w:tcW w:w="340" w:type="dxa"/>
            <w:vAlign w:val="bottom"/>
            <w:tcBorders>
              <w:top w:val="single" w:sz="8" w:color="CCEEFF"/>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225,143</w:t>
            </w:r>
          </w:p>
        </w:tc>
        <w:tc>
          <w:tcPr>
            <w:tcW w:w="320" w:type="dxa"/>
            <w:vAlign w:val="bottom"/>
            <w:tcBorders>
              <w:top w:val="single" w:sz="8" w:color="CCEEFF"/>
              <w:bottom w:val="single" w:sz="8" w:color="CCEEFF"/>
            </w:tcBorders>
          </w:tcPr>
          <w:p>
            <w:pPr>
              <w:spacing w:after="0"/>
              <w:rPr>
                <w:sz w:val="22"/>
                <w:szCs w:val="22"/>
                <w:color w:val="auto"/>
              </w:rPr>
            </w:pPr>
          </w:p>
        </w:tc>
        <w:tc>
          <w:tcPr>
            <w:tcW w:w="20" w:type="dxa"/>
            <w:vAlign w:val="bottom"/>
            <w:tcBorders>
              <w:top w:val="single" w:sz="8" w:color="CCEEFF"/>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2,853,852</w:t>
            </w:r>
          </w:p>
        </w:tc>
        <w:tc>
          <w:tcPr>
            <w:tcW w:w="20" w:type="dxa"/>
            <w:vAlign w:val="bottom"/>
            <w:tcBorders>
              <w:top w:val="single" w:sz="8" w:color="CCEEFF"/>
              <w:bottom w:val="single" w:sz="8" w:color="CCEEFF"/>
            </w:tcBorders>
          </w:tcPr>
          <w:p>
            <w:pPr>
              <w:spacing w:after="0"/>
              <w:rPr>
                <w:sz w:val="22"/>
                <w:szCs w:val="22"/>
                <w:color w:val="auto"/>
              </w:rPr>
            </w:pPr>
          </w:p>
        </w:tc>
        <w:tc>
          <w:tcPr>
            <w:tcW w:w="80" w:type="dxa"/>
            <w:vAlign w:val="bottom"/>
            <w:tcBorders>
              <w:top w:val="single" w:sz="8" w:color="CCEEFF"/>
              <w:bottom w:val="single" w:sz="8" w:color="CCEEFF"/>
            </w:tcBorders>
          </w:tcPr>
          <w:p>
            <w:pPr>
              <w:spacing w:after="0"/>
              <w:rPr>
                <w:sz w:val="22"/>
                <w:szCs w:val="22"/>
                <w:color w:val="auto"/>
              </w:rPr>
            </w:pPr>
          </w:p>
        </w:tc>
      </w:tr>
      <w:tr>
        <w:trPr>
          <w:trHeight w:val="197"/>
        </w:trPr>
        <w:tc>
          <w:tcPr>
            <w:tcW w:w="36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Beginning balance - March 31, 2023</w:t>
            </w:r>
          </w:p>
        </w:tc>
        <w:tc>
          <w:tcPr>
            <w:tcW w:w="8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758,131</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1,685,100</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292,188</w:t>
            </w:r>
          </w:p>
        </w:tc>
        <w:tc>
          <w:tcPr>
            <w:tcW w:w="320" w:type="dxa"/>
            <w:vAlign w:val="bottom"/>
            <w:gridSpan w:val="2"/>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2,735,419</w:t>
            </w:r>
          </w:p>
        </w:tc>
        <w:tc>
          <w:tcPr>
            <w:tcW w:w="80" w:type="dxa"/>
            <w:vAlign w:val="bottom"/>
          </w:tcPr>
          <w:p>
            <w:pPr>
              <w:spacing w:after="0"/>
              <w:rPr>
                <w:sz w:val="18"/>
                <w:szCs w:val="18"/>
                <w:color w:val="auto"/>
              </w:rPr>
            </w:pPr>
          </w:p>
        </w:tc>
      </w:tr>
      <w:tr>
        <w:trPr>
          <w:trHeight w:val="216"/>
        </w:trPr>
        <w:tc>
          <w:tcPr>
            <w:tcW w:w="3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provision for credit losses (2)</w:t>
            </w: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72,924</w:t>
            </w:r>
          </w:p>
        </w:tc>
        <w:tc>
          <w:tcPr>
            <w:tcW w:w="2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(95,240)</w:t>
            </w:r>
          </w:p>
        </w:tc>
        <w:tc>
          <w:tcPr>
            <w:tcW w:w="1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(49,543)</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(71,859)</w:t>
            </w:r>
          </w:p>
        </w:tc>
      </w:tr>
      <w:tr>
        <w:trPr>
          <w:trHeight w:val="236"/>
        </w:trPr>
        <w:tc>
          <w:tcPr>
            <w:tcW w:w="3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Charge-offs</w:t>
            </w: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5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r>
      <w:tr>
        <w:trPr>
          <w:trHeight w:val="230"/>
        </w:trPr>
        <w:tc>
          <w:tcPr>
            <w:tcW w:w="3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 - June 30, 2023</w:t>
            </w:r>
          </w:p>
        </w:tc>
        <w:tc>
          <w:tcPr>
            <w:tcW w:w="6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831,055</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1,589,860</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242,645</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2,663,560</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6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33"/>
        </w:trPr>
        <w:tc>
          <w:tcPr>
            <w:tcW w:w="3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gridSpan w:val="5"/>
          </w:tcPr>
          <w:p>
            <w:pPr>
              <w:jc w:val="right"/>
              <w:ind w:right="1300"/>
              <w:spacing w:after="0"/>
              <w:rPr>
                <w:sz w:val="20"/>
                <w:szCs w:val="20"/>
                <w:color w:val="auto"/>
              </w:rPr>
            </w:pPr>
            <w:r>
              <w:rPr>
                <w:rFonts w:ascii="Times New Roman" w:cs="Times New Roman" w:eastAsia="Times New Roman" w:hAnsi="Times New Roman"/>
                <w:sz w:val="18"/>
                <w:szCs w:val="18"/>
                <w:color w:val="auto"/>
              </w:rPr>
              <w:t>Six Months Ended</w:t>
            </w: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98"/>
        </w:trPr>
        <w:tc>
          <w:tcPr>
            <w:tcW w:w="36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gridSpan w:val="2"/>
          </w:tcPr>
          <w:p>
            <w:pPr>
              <w:jc w:val="center"/>
              <w:ind w:right="500"/>
              <w:spacing w:after="0" w:line="198" w:lineRule="exact"/>
              <w:rPr>
                <w:sz w:val="20"/>
                <w:szCs w:val="20"/>
                <w:color w:val="auto"/>
              </w:rPr>
            </w:pPr>
            <w:r>
              <w:rPr>
                <w:rFonts w:ascii="Times New Roman" w:cs="Times New Roman" w:eastAsia="Times New Roman" w:hAnsi="Times New Roman"/>
                <w:sz w:val="18"/>
                <w:szCs w:val="18"/>
                <w:color w:val="auto"/>
                <w:w w:val="98"/>
              </w:rPr>
              <w:t>Residential</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41"/>
        </w:trPr>
        <w:tc>
          <w:tcPr>
            <w:tcW w:w="36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Commercial</w:t>
            </w:r>
          </w:p>
        </w:tc>
        <w:tc>
          <w:tcPr>
            <w:tcW w:w="220" w:type="dxa"/>
            <w:vAlign w:val="bottom"/>
          </w:tcPr>
          <w:p>
            <w:pPr>
              <w:spacing w:after="0"/>
              <w:rPr>
                <w:sz w:val="20"/>
                <w:szCs w:val="20"/>
                <w:color w:val="auto"/>
              </w:rPr>
            </w:pPr>
          </w:p>
        </w:tc>
        <w:tc>
          <w:tcPr>
            <w:tcW w:w="16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Residential</w:t>
            </w:r>
          </w:p>
        </w:tc>
        <w:tc>
          <w:tcPr>
            <w:tcW w:w="180" w:type="dxa"/>
            <w:vAlign w:val="bottom"/>
          </w:tcPr>
          <w:p>
            <w:pPr>
              <w:spacing w:after="0"/>
              <w:rPr>
                <w:sz w:val="20"/>
                <w:szCs w:val="20"/>
                <w:color w:val="auto"/>
              </w:rPr>
            </w:pPr>
          </w:p>
        </w:tc>
        <w:tc>
          <w:tcPr>
            <w:tcW w:w="158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color w:val="auto"/>
                <w:w w:val="98"/>
              </w:rPr>
              <w:t>Construction</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gridSpan w:val="3"/>
          </w:tcPr>
          <w:p>
            <w:pPr>
              <w:jc w:val="right"/>
              <w:ind w:right="640"/>
              <w:spacing w:after="0"/>
              <w:rPr>
                <w:sz w:val="20"/>
                <w:szCs w:val="20"/>
                <w:color w:val="auto"/>
              </w:rPr>
            </w:pPr>
            <w:r>
              <w:rPr>
                <w:rFonts w:ascii="Times New Roman" w:cs="Times New Roman" w:eastAsia="Times New Roman" w:hAnsi="Times New Roman"/>
                <w:sz w:val="18"/>
                <w:szCs w:val="18"/>
                <w:color w:val="auto"/>
              </w:rPr>
              <w:t>Total</w:t>
            </w:r>
          </w:p>
        </w:tc>
      </w:tr>
      <w:tr>
        <w:trPr>
          <w:trHeight w:val="216"/>
        </w:trPr>
        <w:tc>
          <w:tcPr>
            <w:tcW w:w="3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 - January 1, 2024</w:t>
            </w:r>
          </w:p>
        </w:tc>
        <w:tc>
          <w:tcPr>
            <w:tcW w:w="6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1,219,653</w:t>
            </w:r>
          </w:p>
        </w:tc>
        <w:tc>
          <w:tcPr>
            <w:tcW w:w="3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2,390,894</w:t>
            </w:r>
          </w:p>
        </w:tc>
        <w:tc>
          <w:tcPr>
            <w:tcW w:w="3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208,106</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3,818,653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3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provision for credit losses (2)</w:t>
            </w: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(370,330)</w:t>
            </w:r>
          </w:p>
        </w:tc>
        <w:tc>
          <w:tcPr>
            <w:tcW w:w="220" w:type="dxa"/>
            <w:vAlign w:val="bottom"/>
          </w:tcPr>
          <w:p>
            <w:pPr>
              <w:spacing w:after="0"/>
              <w:rPr>
                <w:sz w:val="18"/>
                <w:szCs w:val="18"/>
                <w:color w:val="auto"/>
              </w:rPr>
            </w:pPr>
          </w:p>
        </w:tc>
        <w:tc>
          <w:tcPr>
            <w:tcW w:w="16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(611,508)</w:t>
            </w:r>
          </w:p>
        </w:tc>
        <w:tc>
          <w:tcPr>
            <w:tcW w:w="180" w:type="dxa"/>
            <w:vAlign w:val="bottom"/>
          </w:tcPr>
          <w:p>
            <w:pPr>
              <w:spacing w:after="0"/>
              <w:rPr>
                <w:sz w:val="18"/>
                <w:szCs w:val="18"/>
                <w:color w:val="auto"/>
              </w:rPr>
            </w:pPr>
          </w:p>
        </w:tc>
        <w:tc>
          <w:tcPr>
            <w:tcW w:w="15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17,037</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(964,801)</w:t>
            </w:r>
          </w:p>
        </w:tc>
      </w:tr>
      <w:tr>
        <w:trPr>
          <w:trHeight w:val="250"/>
        </w:trPr>
        <w:tc>
          <w:tcPr>
            <w:tcW w:w="3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Charge-offs</w:t>
            </w:r>
          </w:p>
        </w:tc>
        <w:tc>
          <w:tcPr>
            <w:tcW w:w="6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r>
      <w:tr>
        <w:trPr>
          <w:trHeight w:val="256"/>
        </w:trPr>
        <w:tc>
          <w:tcPr>
            <w:tcW w:w="3680" w:type="dxa"/>
            <w:vAlign w:val="bottom"/>
            <w:tcBorders>
              <w:top w:val="single" w:sz="8" w:color="CCEEFF"/>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Ending balance - June 30, 2024</w:t>
            </w:r>
          </w:p>
        </w:tc>
        <w:tc>
          <w:tcPr>
            <w:tcW w:w="600" w:type="dxa"/>
            <w:vAlign w:val="bottom"/>
            <w:tcBorders>
              <w:top w:val="single" w:sz="8" w:color="CCEEFF"/>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849,323</w:t>
            </w:r>
          </w:p>
        </w:tc>
        <w:tc>
          <w:tcPr>
            <w:tcW w:w="340" w:type="dxa"/>
            <w:vAlign w:val="bottom"/>
            <w:tcBorders>
              <w:top w:val="single" w:sz="8" w:color="CCEEFF"/>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1,779,386</w:t>
            </w:r>
          </w:p>
        </w:tc>
        <w:tc>
          <w:tcPr>
            <w:tcW w:w="340" w:type="dxa"/>
            <w:vAlign w:val="bottom"/>
            <w:tcBorders>
              <w:top w:val="single" w:sz="8" w:color="CCEEFF"/>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225,143</w:t>
            </w:r>
          </w:p>
        </w:tc>
        <w:tc>
          <w:tcPr>
            <w:tcW w:w="320" w:type="dxa"/>
            <w:vAlign w:val="bottom"/>
            <w:tcBorders>
              <w:top w:val="single" w:sz="8" w:color="CCEEFF"/>
              <w:bottom w:val="single" w:sz="8" w:color="CCEEFF"/>
            </w:tcBorders>
          </w:tcPr>
          <w:p>
            <w:pPr>
              <w:spacing w:after="0"/>
              <w:rPr>
                <w:sz w:val="22"/>
                <w:szCs w:val="22"/>
                <w:color w:val="auto"/>
              </w:rPr>
            </w:pPr>
          </w:p>
        </w:tc>
        <w:tc>
          <w:tcPr>
            <w:tcW w:w="20" w:type="dxa"/>
            <w:vAlign w:val="bottom"/>
            <w:tcBorders>
              <w:top w:val="single" w:sz="8" w:color="CCEEFF"/>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2,853,852</w:t>
            </w:r>
          </w:p>
        </w:tc>
        <w:tc>
          <w:tcPr>
            <w:tcW w:w="20" w:type="dxa"/>
            <w:vAlign w:val="bottom"/>
            <w:tcBorders>
              <w:top w:val="single" w:sz="8" w:color="CCEEFF"/>
              <w:bottom w:val="single" w:sz="8" w:color="CCEEFF"/>
            </w:tcBorders>
          </w:tcPr>
          <w:p>
            <w:pPr>
              <w:spacing w:after="0"/>
              <w:rPr>
                <w:sz w:val="22"/>
                <w:szCs w:val="22"/>
                <w:color w:val="auto"/>
              </w:rPr>
            </w:pPr>
          </w:p>
        </w:tc>
        <w:tc>
          <w:tcPr>
            <w:tcW w:w="80" w:type="dxa"/>
            <w:vAlign w:val="bottom"/>
            <w:tcBorders>
              <w:top w:val="single" w:sz="8" w:color="CCEEFF"/>
              <w:bottom w:val="single" w:sz="8" w:color="CCEEFF"/>
            </w:tcBorders>
          </w:tcPr>
          <w:p>
            <w:pPr>
              <w:spacing w:after="0"/>
              <w:rPr>
                <w:sz w:val="22"/>
                <w:szCs w:val="22"/>
                <w:color w:val="auto"/>
              </w:rPr>
            </w:pPr>
          </w:p>
        </w:tc>
      </w:tr>
      <w:tr>
        <w:trPr>
          <w:trHeight w:val="197"/>
        </w:trPr>
        <w:tc>
          <w:tcPr>
            <w:tcW w:w="36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Beginning balance - January 1, 2023</w:t>
            </w:r>
          </w:p>
        </w:tc>
        <w:tc>
          <w:tcPr>
            <w:tcW w:w="8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187,129</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1,739,980</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43,202</w:t>
            </w:r>
          </w:p>
        </w:tc>
        <w:tc>
          <w:tcPr>
            <w:tcW w:w="320" w:type="dxa"/>
            <w:vAlign w:val="bottom"/>
            <w:gridSpan w:val="2"/>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1,970,311</w:t>
            </w:r>
          </w:p>
        </w:tc>
        <w:tc>
          <w:tcPr>
            <w:tcW w:w="80" w:type="dxa"/>
            <w:vAlign w:val="bottom"/>
          </w:tcPr>
          <w:p>
            <w:pPr>
              <w:spacing w:after="0"/>
              <w:rPr>
                <w:sz w:val="18"/>
                <w:szCs w:val="18"/>
                <w:color w:val="auto"/>
              </w:rPr>
            </w:pPr>
          </w:p>
        </w:tc>
      </w:tr>
      <w:tr>
        <w:trPr>
          <w:trHeight w:val="216"/>
        </w:trPr>
        <w:tc>
          <w:tcPr>
            <w:tcW w:w="3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Adoption of ASU 2016-13 (1)</w:t>
            </w: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555,807</w:t>
            </w:r>
          </w:p>
        </w:tc>
        <w:tc>
          <w:tcPr>
            <w:tcW w:w="2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(192,607)</w:t>
            </w:r>
          </w:p>
        </w:tc>
        <w:tc>
          <w:tcPr>
            <w:tcW w:w="1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301,830</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665,030</w:t>
            </w:r>
          </w:p>
        </w:tc>
        <w:tc>
          <w:tcPr>
            <w:tcW w:w="80" w:type="dxa"/>
            <w:vAlign w:val="bottom"/>
            <w:shd w:val="clear" w:color="auto" w:fill="CCEEFF"/>
          </w:tcPr>
          <w:p>
            <w:pPr>
              <w:spacing w:after="0"/>
              <w:rPr>
                <w:sz w:val="18"/>
                <w:szCs w:val="18"/>
                <w:color w:val="auto"/>
              </w:rPr>
            </w:pPr>
          </w:p>
        </w:tc>
      </w:tr>
      <w:tr>
        <w:trPr>
          <w:trHeight w:val="216"/>
        </w:trPr>
        <w:tc>
          <w:tcPr>
            <w:tcW w:w="3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provision for credit losses (2)</w:t>
            </w: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88,119</w:t>
            </w:r>
          </w:p>
        </w:tc>
        <w:tc>
          <w:tcPr>
            <w:tcW w:w="220" w:type="dxa"/>
            <w:vAlign w:val="bottom"/>
          </w:tcPr>
          <w:p>
            <w:pPr>
              <w:spacing w:after="0"/>
              <w:rPr>
                <w:sz w:val="18"/>
                <w:szCs w:val="18"/>
                <w:color w:val="auto"/>
              </w:rPr>
            </w:pP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42,487</w:t>
            </w:r>
          </w:p>
        </w:tc>
        <w:tc>
          <w:tcPr>
            <w:tcW w:w="180" w:type="dxa"/>
            <w:vAlign w:val="bottom"/>
          </w:tcPr>
          <w:p>
            <w:pPr>
              <w:spacing w:after="0"/>
              <w:rPr>
                <w:sz w:val="18"/>
                <w:szCs w:val="18"/>
                <w:color w:val="auto"/>
              </w:rPr>
            </w:pPr>
          </w:p>
        </w:tc>
        <w:tc>
          <w:tcPr>
            <w:tcW w:w="15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(102,387)</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28,219</w:t>
            </w:r>
          </w:p>
        </w:tc>
      </w:tr>
      <w:tr>
        <w:trPr>
          <w:trHeight w:val="249"/>
        </w:trPr>
        <w:tc>
          <w:tcPr>
            <w:tcW w:w="3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Charge-offs</w:t>
            </w:r>
          </w:p>
        </w:tc>
        <w:tc>
          <w:tcPr>
            <w:tcW w:w="6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r>
      <w:tr>
        <w:trPr>
          <w:trHeight w:val="217"/>
        </w:trPr>
        <w:tc>
          <w:tcPr>
            <w:tcW w:w="36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Ending balance - June 30, 2023</w:t>
            </w:r>
          </w:p>
        </w:tc>
        <w:tc>
          <w:tcPr>
            <w:tcW w:w="600" w:type="dxa"/>
            <w:vAlign w:val="bottom"/>
            <w:tcBorders>
              <w:top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831,055</w:t>
            </w:r>
          </w:p>
        </w:tc>
        <w:tc>
          <w:tcPr>
            <w:tcW w:w="340" w:type="dxa"/>
            <w:vAlign w:val="bottom"/>
            <w:tcBorders>
              <w:top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1,589,860</w:t>
            </w:r>
          </w:p>
        </w:tc>
        <w:tc>
          <w:tcPr>
            <w:tcW w:w="34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242,645</w:t>
            </w: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2,663,560</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36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ind w:left="360" w:hanging="292"/>
        <w:spacing w:after="0"/>
        <w:tabs>
          <w:tab w:leader="none" w:pos="3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Note 2 of the notes to the condensed consolidated financial statements</w:t>
      </w:r>
    </w:p>
    <w:p>
      <w:pPr>
        <w:spacing w:after="0" w:line="117" w:lineRule="exact"/>
        <w:rPr>
          <w:rFonts w:ascii="Times New Roman" w:cs="Times New Roman" w:eastAsia="Times New Roman" w:hAnsi="Times New Roman"/>
          <w:sz w:val="18"/>
          <w:szCs w:val="18"/>
          <w:color w:val="auto"/>
        </w:rPr>
      </w:pPr>
    </w:p>
    <w:p>
      <w:pPr>
        <w:ind w:left="360" w:hanging="292"/>
        <w:spacing w:after="0"/>
        <w:tabs>
          <w:tab w:leader="none" w:pos="3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other expenses on the condensed consolidated statements of earnings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9" w:name="page30"/>
    <w:bookmarkEnd w:id="29"/>
    <w:p>
      <w:pPr>
        <w:ind w:left="2700"/>
        <w:spacing w:after="0"/>
        <w:rPr>
          <w:sz w:val="20"/>
          <w:szCs w:val="20"/>
          <w:color w:val="auto"/>
        </w:rPr>
      </w:pPr>
      <w:r>
        <w:rPr>
          <w:rFonts w:ascii="Times New Roman" w:cs="Times New Roman" w:eastAsia="Times New Roman" w:hAnsi="Times New Roman"/>
          <w:sz w:val="18"/>
          <w:szCs w:val="18"/>
          <w:color w:val="auto"/>
        </w:rPr>
        <w:t>SECURITY NATIONAL FINANCIAL CORPORATION AND SUBSIDIARIES</w:t>
      </w:r>
    </w:p>
    <w:p>
      <w:pPr>
        <w:spacing w:after="0" w:line="27"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p>
      <w:pPr>
        <w:spacing w:after="0" w:line="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June 30, 2024 (Unaudited)</w:t>
      </w:r>
    </w:p>
    <w:p>
      <w:pPr>
        <w:spacing w:after="0" w:line="207" w:lineRule="exact"/>
        <w:rPr>
          <w:sz w:val="20"/>
          <w:szCs w:val="20"/>
          <w:color w:val="auto"/>
        </w:rPr>
      </w:pPr>
    </w:p>
    <w:p>
      <w:pPr>
        <w:ind w:left="200" w:hanging="192"/>
        <w:spacing w:after="0"/>
        <w:tabs>
          <w:tab w:leader="none" w:pos="2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aging of mortgage loans held for investment by loan type as of the dates indicated: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Residential</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10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Commercial</w:t>
            </w:r>
          </w:p>
        </w:tc>
        <w:tc>
          <w:tcPr>
            <w:tcW w:w="220" w:type="dxa"/>
            <w:vAlign w:val="bottom"/>
          </w:tcPr>
          <w:p>
            <w:pPr>
              <w:spacing w:after="0"/>
              <w:rPr>
                <w:sz w:val="20"/>
                <w:szCs w:val="20"/>
                <w:color w:val="auto"/>
              </w:rPr>
            </w:pPr>
          </w:p>
        </w:tc>
        <w:tc>
          <w:tcPr>
            <w:tcW w:w="16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Residential</w:t>
            </w:r>
          </w:p>
        </w:tc>
        <w:tc>
          <w:tcPr>
            <w:tcW w:w="180" w:type="dxa"/>
            <w:vAlign w:val="bottom"/>
          </w:tcPr>
          <w:p>
            <w:pPr>
              <w:spacing w:after="0"/>
              <w:rPr>
                <w:sz w:val="20"/>
                <w:szCs w:val="20"/>
                <w:color w:val="auto"/>
              </w:rPr>
            </w:pPr>
          </w:p>
        </w:tc>
        <w:tc>
          <w:tcPr>
            <w:tcW w:w="14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Construction</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Total</w:t>
            </w:r>
          </w:p>
        </w:tc>
      </w:tr>
      <w:tr>
        <w:trPr>
          <w:trHeight w:val="196"/>
        </w:trPr>
        <w:tc>
          <w:tcPr>
            <w:tcW w:w="1020" w:type="dxa"/>
            <w:vAlign w:val="bottom"/>
            <w:tcBorders>
              <w:top w:val="single" w:sz="8" w:color="CCEEFF"/>
              <w:bottom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w w:val="99"/>
              </w:rPr>
              <w:t>June 30, 2024</w:t>
            </w:r>
          </w:p>
        </w:tc>
        <w:tc>
          <w:tcPr>
            <w:tcW w:w="264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62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CCEEFF"/>
            </w:tcBorders>
            <w:shd w:val="clear" w:color="auto" w:fill="CCEEFF"/>
          </w:tcPr>
          <w:p>
            <w:pPr>
              <w:spacing w:after="0"/>
              <w:rPr>
                <w:sz w:val="17"/>
                <w:szCs w:val="17"/>
                <w:color w:val="auto"/>
              </w:rPr>
            </w:pPr>
          </w:p>
        </w:tc>
        <w:tc>
          <w:tcPr>
            <w:tcW w:w="1280" w:type="dxa"/>
            <w:vAlign w:val="bottom"/>
            <w:tcBorders>
              <w:top w:val="single" w:sz="8" w:color="auto"/>
              <w:bottom w:val="single" w:sz="8" w:color="CCEEFF"/>
            </w:tcBorders>
            <w:shd w:val="clear" w:color="auto" w:fill="CCEEFF"/>
          </w:tcPr>
          <w:p>
            <w:pPr>
              <w:spacing w:after="0"/>
              <w:rPr>
                <w:sz w:val="17"/>
                <w:szCs w:val="17"/>
                <w:color w:val="auto"/>
              </w:rPr>
            </w:pP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CCEEFF"/>
            </w:tcBorders>
            <w:shd w:val="clear" w:color="auto" w:fill="CCEEFF"/>
          </w:tcPr>
          <w:p>
            <w:pPr>
              <w:spacing w:after="0"/>
              <w:rPr>
                <w:sz w:val="17"/>
                <w:szCs w:val="17"/>
                <w:color w:val="auto"/>
              </w:rPr>
            </w:pPr>
          </w:p>
        </w:tc>
        <w:tc>
          <w:tcPr>
            <w:tcW w:w="1260" w:type="dxa"/>
            <w:vAlign w:val="bottom"/>
            <w:tcBorders>
              <w:top w:val="single" w:sz="8" w:color="auto"/>
              <w:bottom w:val="single" w:sz="8" w:color="CCEEFF"/>
            </w:tcBorders>
            <w:shd w:val="clear" w:color="auto" w:fill="CCEEFF"/>
          </w:tcPr>
          <w:p>
            <w:pPr>
              <w:spacing w:after="0"/>
              <w:rPr>
                <w:sz w:val="17"/>
                <w:szCs w:val="17"/>
                <w:color w:val="auto"/>
              </w:rPr>
            </w:pP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CCEEFF"/>
            </w:tcBorders>
            <w:shd w:val="clear" w:color="auto" w:fill="CCEEFF"/>
          </w:tcPr>
          <w:p>
            <w:pPr>
              <w:spacing w:after="0"/>
              <w:rPr>
                <w:sz w:val="17"/>
                <w:szCs w:val="17"/>
                <w:color w:val="auto"/>
              </w:rPr>
            </w:pPr>
          </w:p>
        </w:tc>
        <w:tc>
          <w:tcPr>
            <w:tcW w:w="1260" w:type="dxa"/>
            <w:vAlign w:val="bottom"/>
            <w:tcBorders>
              <w:top w:val="single" w:sz="8" w:color="auto"/>
              <w:bottom w:val="single" w:sz="8" w:color="CCEEFF"/>
            </w:tcBorders>
            <w:shd w:val="clear" w:color="auto" w:fill="CCEEFF"/>
          </w:tcPr>
          <w:p>
            <w:pPr>
              <w:spacing w:after="0"/>
              <w:rPr>
                <w:sz w:val="17"/>
                <w:szCs w:val="17"/>
                <w:color w:val="auto"/>
              </w:rPr>
            </w:pP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CCEEFF"/>
            </w:tcBorders>
            <w:shd w:val="clear" w:color="auto" w:fill="CCEEFF"/>
          </w:tcPr>
          <w:p>
            <w:pPr>
              <w:spacing w:after="0"/>
              <w:rPr>
                <w:sz w:val="17"/>
                <w:szCs w:val="17"/>
                <w:color w:val="auto"/>
              </w:rPr>
            </w:pPr>
          </w:p>
        </w:tc>
        <w:tc>
          <w:tcPr>
            <w:tcW w:w="1140" w:type="dxa"/>
            <w:vAlign w:val="bottom"/>
            <w:tcBorders>
              <w:top w:val="single" w:sz="8" w:color="auto"/>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16"/>
        </w:trPr>
        <w:tc>
          <w:tcPr>
            <w:tcW w:w="36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30-59 days past due</w:t>
            </w:r>
          </w:p>
        </w:tc>
        <w:tc>
          <w:tcPr>
            <w:tcW w:w="8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2,150,000</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8,155,074</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10,305,074</w:t>
            </w:r>
          </w:p>
        </w:tc>
      </w:tr>
      <w:tr>
        <w:trPr>
          <w:trHeight w:val="216"/>
        </w:trPr>
        <w:tc>
          <w:tcPr>
            <w:tcW w:w="366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60-89 days past due</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109,510</w:t>
            </w:r>
          </w:p>
        </w:tc>
        <w:tc>
          <w:tcPr>
            <w:tcW w:w="2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1,807,652</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1,917,162</w:t>
            </w:r>
          </w:p>
        </w:tc>
      </w:tr>
      <w:tr>
        <w:trPr>
          <w:trHeight w:val="216"/>
        </w:trPr>
        <w:tc>
          <w:tcPr>
            <w:tcW w:w="36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Over 90 days past due (1)</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405,000</w:t>
            </w:r>
          </w:p>
        </w:tc>
        <w:tc>
          <w:tcPr>
            <w:tcW w:w="220" w:type="dxa"/>
            <w:vAlign w:val="bottom"/>
          </w:tcPr>
          <w:p>
            <w:pPr>
              <w:spacing w:after="0"/>
              <w:rPr>
                <w:sz w:val="18"/>
                <w:szCs w:val="18"/>
                <w:color w:val="auto"/>
              </w:rPr>
            </w:pP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3,367,379</w:t>
            </w:r>
          </w:p>
        </w:tc>
        <w:tc>
          <w:tcPr>
            <w:tcW w:w="18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3,772,379</w:t>
            </w:r>
          </w:p>
        </w:tc>
      </w:tr>
      <w:tr>
        <w:trPr>
          <w:trHeight w:val="249"/>
        </w:trPr>
        <w:tc>
          <w:tcPr>
            <w:tcW w:w="366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 process of foreclosure (1)</w:t>
            </w:r>
          </w:p>
        </w:tc>
        <w:tc>
          <w:tcPr>
            <w:tcW w:w="6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191,508</w:t>
            </w:r>
          </w:p>
        </w:tc>
        <w:tc>
          <w:tcPr>
            <w:tcW w:w="220" w:type="dxa"/>
            <w:vAlign w:val="bottom"/>
            <w:shd w:val="clear" w:color="auto" w:fill="CCEEFF"/>
          </w:tcPr>
          <w:p>
            <w:pPr>
              <w:spacing w:after="0"/>
              <w:rPr>
                <w:sz w:val="21"/>
                <w:szCs w:val="21"/>
                <w:color w:val="auto"/>
              </w:rPr>
            </w:pPr>
          </w:p>
        </w:tc>
        <w:tc>
          <w:tcPr>
            <w:tcW w:w="1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1,965,642</w:t>
            </w:r>
          </w:p>
        </w:tc>
        <w:tc>
          <w:tcPr>
            <w:tcW w:w="18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2,157,150</w:t>
            </w:r>
          </w:p>
        </w:tc>
      </w:tr>
      <w:tr>
        <w:trPr>
          <w:trHeight w:val="210"/>
        </w:trPr>
        <w:tc>
          <w:tcPr>
            <w:tcW w:w="3660" w:type="dxa"/>
            <w:vAlign w:val="bottom"/>
            <w:tcBorders>
              <w:top w:val="single" w:sz="8" w:color="CCEEFF"/>
              <w:bottom w:val="single" w:sz="8" w:color="CCEEFF"/>
            </w:tcBorders>
            <w:gridSpan w:val="3"/>
          </w:tcPr>
          <w:p>
            <w:pPr>
              <w:ind w:left="180"/>
              <w:spacing w:after="0" w:line="203" w:lineRule="exact"/>
              <w:rPr>
                <w:sz w:val="20"/>
                <w:szCs w:val="20"/>
                <w:color w:val="auto"/>
              </w:rPr>
            </w:pPr>
            <w:r>
              <w:rPr>
                <w:rFonts w:ascii="Times New Roman" w:cs="Times New Roman" w:eastAsia="Times New Roman" w:hAnsi="Times New Roman"/>
                <w:sz w:val="18"/>
                <w:szCs w:val="18"/>
                <w:color w:val="auto"/>
              </w:rPr>
              <w:t>Total past due</w:t>
            </w:r>
          </w:p>
        </w:tc>
        <w:tc>
          <w:tcPr>
            <w:tcW w:w="62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2,856,018</w:t>
            </w:r>
          </w:p>
        </w:tc>
        <w:tc>
          <w:tcPr>
            <w:tcW w:w="34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15,295,747</w:t>
            </w:r>
          </w:p>
        </w:tc>
        <w:tc>
          <w:tcPr>
            <w:tcW w:w="34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18,151,765</w:t>
            </w:r>
          </w:p>
        </w:tc>
        <w:tc>
          <w:tcPr>
            <w:tcW w:w="100" w:type="dxa"/>
            <w:vAlign w:val="bottom"/>
            <w:tcBorders>
              <w:top w:val="single" w:sz="8" w:color="CCEEFF"/>
              <w:bottom w:val="single" w:sz="8" w:color="CCEEFF"/>
            </w:tcBorders>
          </w:tcPr>
          <w:p>
            <w:pPr>
              <w:spacing w:after="0"/>
              <w:rPr>
                <w:sz w:val="18"/>
                <w:szCs w:val="18"/>
                <w:color w:val="auto"/>
              </w:rPr>
            </w:pPr>
          </w:p>
        </w:tc>
      </w:tr>
      <w:tr>
        <w:trPr>
          <w:trHeight w:val="236"/>
        </w:trPr>
        <w:tc>
          <w:tcPr>
            <w:tcW w:w="3660" w:type="dxa"/>
            <w:vAlign w:val="bottom"/>
            <w:tcBorders>
              <w:bottom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w:t>
            </w:r>
          </w:p>
        </w:tc>
        <w:tc>
          <w:tcPr>
            <w:tcW w:w="6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70,365,756</w:t>
            </w:r>
          </w:p>
        </w:tc>
        <w:tc>
          <w:tcPr>
            <w:tcW w:w="3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88,372,143</w:t>
            </w:r>
          </w:p>
        </w:tc>
        <w:tc>
          <w:tcPr>
            <w:tcW w:w="3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112,571,713</w:t>
            </w:r>
          </w:p>
        </w:tc>
        <w:tc>
          <w:tcPr>
            <w:tcW w:w="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271,309,612</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10"/>
        </w:trPr>
        <w:tc>
          <w:tcPr>
            <w:tcW w:w="3660" w:type="dxa"/>
            <w:vAlign w:val="bottom"/>
            <w:tcBorders>
              <w:bottom w:val="single" w:sz="8" w:color="CCEEFF"/>
            </w:tcBorders>
            <w:gridSpan w:val="3"/>
          </w:tcPr>
          <w:p>
            <w:pPr>
              <w:ind w:left="180"/>
              <w:spacing w:after="0" w:line="203" w:lineRule="exact"/>
              <w:rPr>
                <w:sz w:val="20"/>
                <w:szCs w:val="20"/>
                <w:color w:val="auto"/>
              </w:rPr>
            </w:pPr>
            <w:r>
              <w:rPr>
                <w:rFonts w:ascii="Times New Roman" w:cs="Times New Roman" w:eastAsia="Times New Roman" w:hAnsi="Times New Roman"/>
                <w:sz w:val="18"/>
                <w:szCs w:val="18"/>
                <w:color w:val="auto"/>
              </w:rPr>
              <w:t>Total mortgage loans</w:t>
            </w:r>
          </w:p>
        </w:tc>
        <w:tc>
          <w:tcPr>
            <w:tcW w:w="6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73,221,774</w:t>
            </w:r>
          </w:p>
        </w:tc>
        <w:tc>
          <w:tcPr>
            <w:tcW w:w="3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103,667,890</w:t>
            </w:r>
          </w:p>
        </w:tc>
        <w:tc>
          <w:tcPr>
            <w:tcW w:w="3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112,571,713</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289,461,377</w:t>
            </w:r>
          </w:p>
        </w:tc>
        <w:tc>
          <w:tcPr>
            <w:tcW w:w="100" w:type="dxa"/>
            <w:vAlign w:val="bottom"/>
            <w:tcBorders>
              <w:bottom w:val="single" w:sz="8" w:color="CCEEFF"/>
            </w:tcBorders>
          </w:tcPr>
          <w:p>
            <w:pPr>
              <w:spacing w:after="0"/>
              <w:rPr>
                <w:sz w:val="18"/>
                <w:szCs w:val="18"/>
                <w:color w:val="auto"/>
              </w:rPr>
            </w:pPr>
          </w:p>
        </w:tc>
      </w:tr>
      <w:tr>
        <w:trPr>
          <w:trHeight w:val="216"/>
        </w:trPr>
        <w:tc>
          <w:tcPr>
            <w:tcW w:w="366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(849,323)</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(1,779,386)</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(225,143)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(2,853,852)</w:t>
            </w:r>
          </w:p>
        </w:tc>
        <w:tc>
          <w:tcPr>
            <w:tcW w:w="100" w:type="dxa"/>
            <w:vAlign w:val="bottom"/>
            <w:shd w:val="clear" w:color="auto" w:fill="CCEEFF"/>
          </w:tcPr>
          <w:p>
            <w:pPr>
              <w:spacing w:after="0"/>
              <w:rPr>
                <w:sz w:val="18"/>
                <w:szCs w:val="18"/>
                <w:color w:val="auto"/>
              </w:rPr>
            </w:pPr>
          </w:p>
        </w:tc>
      </w:tr>
      <w:tr>
        <w:trPr>
          <w:trHeight w:val="216"/>
        </w:trPr>
        <w:tc>
          <w:tcPr>
            <w:tcW w:w="36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Unamortized deferred loan fees, net</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(119,303)</w:t>
            </w:r>
          </w:p>
        </w:tc>
        <w:tc>
          <w:tcPr>
            <w:tcW w:w="220" w:type="dxa"/>
            <w:vAlign w:val="bottom"/>
          </w:tcPr>
          <w:p>
            <w:pPr>
              <w:spacing w:after="0"/>
              <w:rPr>
                <w:sz w:val="18"/>
                <w:szCs w:val="18"/>
                <w:color w:val="auto"/>
              </w:rPr>
            </w:pPr>
          </w:p>
        </w:tc>
        <w:tc>
          <w:tcPr>
            <w:tcW w:w="16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(1,195,913)</w:t>
            </w:r>
          </w:p>
        </w:tc>
        <w:tc>
          <w:tcPr>
            <w:tcW w:w="18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(637,400)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(1,952,616)</w:t>
            </w:r>
          </w:p>
        </w:tc>
      </w:tr>
      <w:tr>
        <w:trPr>
          <w:trHeight w:val="249"/>
        </w:trPr>
        <w:tc>
          <w:tcPr>
            <w:tcW w:w="366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Unamortized discounts, net</w:t>
            </w:r>
          </w:p>
        </w:tc>
        <w:tc>
          <w:tcPr>
            <w:tcW w:w="6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(156,409)</w:t>
            </w:r>
          </w:p>
        </w:tc>
        <w:tc>
          <w:tcPr>
            <w:tcW w:w="220" w:type="dxa"/>
            <w:vAlign w:val="bottom"/>
            <w:shd w:val="clear" w:color="auto" w:fill="CCEEFF"/>
          </w:tcPr>
          <w:p>
            <w:pPr>
              <w:spacing w:after="0"/>
              <w:rPr>
                <w:sz w:val="21"/>
                <w:szCs w:val="21"/>
                <w:color w:val="auto"/>
              </w:rPr>
            </w:pPr>
          </w:p>
        </w:tc>
        <w:tc>
          <w:tcPr>
            <w:tcW w:w="16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(154,969)</w:t>
            </w:r>
          </w:p>
        </w:tc>
        <w:tc>
          <w:tcPr>
            <w:tcW w:w="18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(311,378)</w:t>
            </w:r>
          </w:p>
        </w:tc>
      </w:tr>
      <w:tr>
        <w:trPr>
          <w:trHeight w:val="257"/>
        </w:trPr>
        <w:tc>
          <w:tcPr>
            <w:tcW w:w="3660" w:type="dxa"/>
            <w:vAlign w:val="bottom"/>
            <w:tcBorders>
              <w:top w:val="single" w:sz="8" w:color="CCEEFF"/>
              <w:bottom w:val="single" w:sz="8" w:color="CCEEFF"/>
            </w:tcBorders>
            <w:gridSpan w:val="3"/>
          </w:tcPr>
          <w:p>
            <w:pPr>
              <w:ind w:left="180"/>
              <w:spacing w:after="0"/>
              <w:rPr>
                <w:sz w:val="20"/>
                <w:szCs w:val="20"/>
                <w:color w:val="auto"/>
              </w:rPr>
            </w:pPr>
            <w:r>
              <w:rPr>
                <w:rFonts w:ascii="Times New Roman" w:cs="Times New Roman" w:eastAsia="Times New Roman" w:hAnsi="Times New Roman"/>
                <w:sz w:val="18"/>
                <w:szCs w:val="18"/>
                <w:color w:val="auto"/>
              </w:rPr>
              <w:t>Net mortgage loans held for investment</w:t>
            </w:r>
          </w:p>
        </w:tc>
        <w:tc>
          <w:tcPr>
            <w:tcW w:w="620" w:type="dxa"/>
            <w:vAlign w:val="bottom"/>
            <w:tcBorders>
              <w:top w:val="single" w:sz="8" w:color="CCEEFF"/>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72,096,739</w:t>
            </w:r>
          </w:p>
        </w:tc>
        <w:tc>
          <w:tcPr>
            <w:tcW w:w="340" w:type="dxa"/>
            <w:vAlign w:val="bottom"/>
            <w:tcBorders>
              <w:top w:val="single" w:sz="8" w:color="CCEEFF"/>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100,537,622</w:t>
            </w:r>
          </w:p>
        </w:tc>
        <w:tc>
          <w:tcPr>
            <w:tcW w:w="340" w:type="dxa"/>
            <w:vAlign w:val="bottom"/>
            <w:tcBorders>
              <w:top w:val="single" w:sz="8" w:color="CCEEFF"/>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111,709,170</w:t>
            </w:r>
          </w:p>
        </w:tc>
        <w:tc>
          <w:tcPr>
            <w:tcW w:w="200" w:type="dxa"/>
            <w:vAlign w:val="bottom"/>
            <w:tcBorders>
              <w:top w:val="single" w:sz="8" w:color="CCEEFF"/>
              <w:bottom w:val="single" w:sz="8" w:color="CCEEFF"/>
            </w:tcBorders>
          </w:tcPr>
          <w:p>
            <w:pPr>
              <w:spacing w:after="0"/>
              <w:rPr>
                <w:sz w:val="22"/>
                <w:szCs w:val="22"/>
                <w:color w:val="auto"/>
              </w:rPr>
            </w:pPr>
          </w:p>
        </w:tc>
        <w:tc>
          <w:tcPr>
            <w:tcW w:w="120" w:type="dxa"/>
            <w:vAlign w:val="bottom"/>
            <w:tcBorders>
              <w:top w:val="single" w:sz="8" w:color="CCEEFF"/>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284,343,531</w:t>
            </w:r>
          </w:p>
        </w:tc>
        <w:tc>
          <w:tcPr>
            <w:tcW w:w="100" w:type="dxa"/>
            <w:vAlign w:val="bottom"/>
            <w:tcBorders>
              <w:top w:val="single" w:sz="8" w:color="CCEEFF"/>
              <w:bottom w:val="single" w:sz="8" w:color="CCEEFF"/>
            </w:tcBorders>
          </w:tcPr>
          <w:p>
            <w:pPr>
              <w:spacing w:after="0"/>
              <w:rPr>
                <w:sz w:val="22"/>
                <w:szCs w:val="22"/>
                <w:color w:val="auto"/>
              </w:rPr>
            </w:pPr>
          </w:p>
        </w:tc>
      </w:tr>
      <w:tr>
        <w:trPr>
          <w:trHeight w:val="197"/>
        </w:trPr>
        <w:tc>
          <w:tcPr>
            <w:tcW w:w="10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2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75"/>
        </w:trPr>
        <w:tc>
          <w:tcPr>
            <w:tcW w:w="366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December 31, 2023</w:t>
            </w: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
        </w:trPr>
        <w:tc>
          <w:tcPr>
            <w:tcW w:w="102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366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30-59 days past due</w:t>
            </w:r>
          </w:p>
        </w:tc>
        <w:tc>
          <w:tcPr>
            <w:tcW w:w="8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3,387,673</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3,387,673</w:t>
            </w:r>
          </w:p>
        </w:tc>
      </w:tr>
      <w:tr>
        <w:trPr>
          <w:trHeight w:val="216"/>
        </w:trPr>
        <w:tc>
          <w:tcPr>
            <w:tcW w:w="36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60-89 days past due</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3,472,760</w:t>
            </w:r>
          </w:p>
        </w:tc>
        <w:tc>
          <w:tcPr>
            <w:tcW w:w="18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3,472,760</w:t>
            </w:r>
          </w:p>
        </w:tc>
      </w:tr>
      <w:tr>
        <w:trPr>
          <w:trHeight w:val="216"/>
        </w:trPr>
        <w:tc>
          <w:tcPr>
            <w:tcW w:w="366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Over 90 days past due (1)</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405,000</w:t>
            </w:r>
          </w:p>
        </w:tc>
        <w:tc>
          <w:tcPr>
            <w:tcW w:w="2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3,480,931</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3,885,931</w:t>
            </w:r>
          </w:p>
        </w:tc>
      </w:tr>
      <w:tr>
        <w:trPr>
          <w:trHeight w:val="236"/>
        </w:trPr>
        <w:tc>
          <w:tcPr>
            <w:tcW w:w="36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In process of foreclosure (1)</w:t>
            </w: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1,241,508</w:t>
            </w:r>
          </w:p>
        </w:tc>
        <w:tc>
          <w:tcPr>
            <w:tcW w:w="220" w:type="dxa"/>
            <w:vAlign w:val="bottom"/>
          </w:tcPr>
          <w:p>
            <w:pPr>
              <w:spacing w:after="0"/>
              <w:rPr>
                <w:sz w:val="20"/>
                <w:szCs w:val="20"/>
                <w:color w:val="auto"/>
              </w:rPr>
            </w:pP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1,021,790</w:t>
            </w:r>
          </w:p>
        </w:tc>
        <w:tc>
          <w:tcPr>
            <w:tcW w:w="180" w:type="dxa"/>
            <w:vAlign w:val="bottom"/>
          </w:tcPr>
          <w:p>
            <w:pPr>
              <w:spacing w:after="0"/>
              <w:rPr>
                <w:sz w:val="20"/>
                <w:szCs w:val="20"/>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2,263,298</w:t>
            </w:r>
          </w:p>
        </w:tc>
      </w:tr>
      <w:tr>
        <w:trPr>
          <w:trHeight w:val="236"/>
        </w:trPr>
        <w:tc>
          <w:tcPr>
            <w:tcW w:w="3660" w:type="dxa"/>
            <w:vAlign w:val="bottom"/>
            <w:tcBorders>
              <w:top w:val="single" w:sz="8" w:color="CCEEFF"/>
              <w:bottom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past due</w:t>
            </w:r>
          </w:p>
        </w:tc>
        <w:tc>
          <w:tcPr>
            <w:tcW w:w="6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1,646,508</w:t>
            </w: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11,363,154</w:t>
            </w: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13,009,662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10"/>
        </w:trPr>
        <w:tc>
          <w:tcPr>
            <w:tcW w:w="3660" w:type="dxa"/>
            <w:vAlign w:val="bottom"/>
            <w:tcBorders>
              <w:bottom w:val="single" w:sz="8" w:color="CCEEFF"/>
            </w:tcBorders>
            <w:gridSpan w:val="3"/>
          </w:tcPr>
          <w:p>
            <w:pPr>
              <w:ind w:left="180"/>
              <w:spacing w:after="0" w:line="203" w:lineRule="exact"/>
              <w:rPr>
                <w:sz w:val="20"/>
                <w:szCs w:val="20"/>
                <w:color w:val="auto"/>
              </w:rPr>
            </w:pPr>
            <w:r>
              <w:rPr>
                <w:rFonts w:ascii="Times New Roman" w:cs="Times New Roman" w:eastAsia="Times New Roman" w:hAnsi="Times New Roman"/>
                <w:sz w:val="18"/>
                <w:szCs w:val="18"/>
                <w:color w:val="auto"/>
              </w:rPr>
              <w:t>Current</w:t>
            </w:r>
          </w:p>
        </w:tc>
        <w:tc>
          <w:tcPr>
            <w:tcW w:w="6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72,530,030</w:t>
            </w:r>
          </w:p>
        </w:tc>
        <w:tc>
          <w:tcPr>
            <w:tcW w:w="3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91,790,433</w:t>
            </w:r>
          </w:p>
        </w:tc>
        <w:tc>
          <w:tcPr>
            <w:tcW w:w="3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104,052,748</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268,373,211</w:t>
            </w:r>
          </w:p>
        </w:tc>
        <w:tc>
          <w:tcPr>
            <w:tcW w:w="100" w:type="dxa"/>
            <w:vAlign w:val="bottom"/>
            <w:tcBorders>
              <w:bottom w:val="single" w:sz="8" w:color="CCEEFF"/>
            </w:tcBorders>
          </w:tcPr>
          <w:p>
            <w:pPr>
              <w:spacing w:after="0"/>
              <w:rPr>
                <w:sz w:val="18"/>
                <w:szCs w:val="18"/>
                <w:color w:val="auto"/>
              </w:rPr>
            </w:pPr>
          </w:p>
        </w:tc>
      </w:tr>
      <w:tr>
        <w:trPr>
          <w:trHeight w:val="236"/>
        </w:trPr>
        <w:tc>
          <w:tcPr>
            <w:tcW w:w="3660" w:type="dxa"/>
            <w:vAlign w:val="bottom"/>
            <w:tcBorders>
              <w:bottom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mortgage loans</w:t>
            </w:r>
          </w:p>
        </w:tc>
        <w:tc>
          <w:tcPr>
            <w:tcW w:w="6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74,176,538</w:t>
            </w:r>
          </w:p>
        </w:tc>
        <w:tc>
          <w:tcPr>
            <w:tcW w:w="3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103,153,587</w:t>
            </w:r>
          </w:p>
        </w:tc>
        <w:tc>
          <w:tcPr>
            <w:tcW w:w="3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104,052,748</w:t>
            </w:r>
          </w:p>
        </w:tc>
        <w:tc>
          <w:tcPr>
            <w:tcW w:w="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281,382,873</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03"/>
        </w:trPr>
        <w:tc>
          <w:tcPr>
            <w:tcW w:w="3660" w:type="dxa"/>
            <w:vAlign w:val="bottom"/>
            <w:gridSpan w:val="3"/>
          </w:tcPr>
          <w:p>
            <w:pPr>
              <w:ind w:left="180"/>
              <w:spacing w:after="0" w:line="203" w:lineRule="exact"/>
              <w:rPr>
                <w:sz w:val="20"/>
                <w:szCs w:val="20"/>
                <w:color w:val="auto"/>
              </w:rPr>
            </w:pPr>
            <w:r>
              <w:rPr>
                <w:rFonts w:ascii="Times New Roman" w:cs="Times New Roman" w:eastAsia="Times New Roman" w:hAnsi="Times New Roman"/>
                <w:sz w:val="18"/>
                <w:szCs w:val="18"/>
                <w:color w:val="auto"/>
              </w:rPr>
              <w:t>Allowance for credit losses</w:t>
            </w: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(1,219,653)</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(2,390,894)</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(208,106)</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(3,818,653)</w:t>
            </w:r>
          </w:p>
        </w:tc>
        <w:tc>
          <w:tcPr>
            <w:tcW w:w="100" w:type="dxa"/>
            <w:vAlign w:val="bottom"/>
          </w:tcPr>
          <w:p>
            <w:pPr>
              <w:spacing w:after="0"/>
              <w:rPr>
                <w:sz w:val="17"/>
                <w:szCs w:val="17"/>
                <w:color w:val="auto"/>
              </w:rPr>
            </w:pPr>
          </w:p>
        </w:tc>
      </w:tr>
      <w:tr>
        <w:trPr>
          <w:trHeight w:val="216"/>
        </w:trPr>
        <w:tc>
          <w:tcPr>
            <w:tcW w:w="366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Unamortized deferred loan fees, net</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(172,989)</w:t>
            </w:r>
          </w:p>
        </w:tc>
        <w:tc>
          <w:tcPr>
            <w:tcW w:w="2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(1,135,491)</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(314,746)</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(1,623,226)</w:t>
            </w:r>
          </w:p>
        </w:tc>
      </w:tr>
      <w:tr>
        <w:trPr>
          <w:trHeight w:val="236"/>
        </w:trPr>
        <w:tc>
          <w:tcPr>
            <w:tcW w:w="36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Unamortized discounts, net</w:t>
            </w: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(216,705)</w:t>
            </w:r>
          </w:p>
        </w:tc>
        <w:tc>
          <w:tcPr>
            <w:tcW w:w="220" w:type="dxa"/>
            <w:vAlign w:val="bottom"/>
          </w:tcPr>
          <w:p>
            <w:pPr>
              <w:spacing w:after="0"/>
              <w:rPr>
                <w:sz w:val="20"/>
                <w:szCs w:val="20"/>
                <w:color w:val="auto"/>
              </w:rPr>
            </w:pPr>
          </w:p>
        </w:tc>
        <w:tc>
          <w:tcPr>
            <w:tcW w:w="16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(107,452)</w:t>
            </w:r>
          </w:p>
        </w:tc>
        <w:tc>
          <w:tcPr>
            <w:tcW w:w="180" w:type="dxa"/>
            <w:vAlign w:val="bottom"/>
          </w:tcPr>
          <w:p>
            <w:pPr>
              <w:spacing w:after="0"/>
              <w:rPr>
                <w:sz w:val="20"/>
                <w:szCs w:val="20"/>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(324,157)</w:t>
            </w:r>
          </w:p>
        </w:tc>
      </w:tr>
      <w:tr>
        <w:trPr>
          <w:trHeight w:val="230"/>
        </w:trPr>
        <w:tc>
          <w:tcPr>
            <w:tcW w:w="3660" w:type="dxa"/>
            <w:vAlign w:val="bottom"/>
            <w:tcBorders>
              <w:top w:val="single" w:sz="8" w:color="CCEEFF"/>
              <w:bottom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mortgage loans held for investment</w:t>
            </w:r>
          </w:p>
        </w:tc>
        <w:tc>
          <w:tcPr>
            <w:tcW w:w="6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72,567,191</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99,519,750</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103,529,896</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275,616,837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0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ind w:left="5540" w:right="3800" w:hanging="5472"/>
        <w:spacing w:after="0" w:line="657" w:lineRule="auto"/>
        <w:tabs>
          <w:tab w:leader="none" w:pos="36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income is not recognized on loans which are more than 90 days past due or in foreclosure.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-227330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0" w:name="page31"/>
    <w:bookmarkEnd w:id="30"/>
    <w:p>
      <w:pPr>
        <w:ind w:left="2700"/>
        <w:spacing w:after="0"/>
        <w:rPr>
          <w:sz w:val="20"/>
          <w:szCs w:val="20"/>
          <w:color w:val="auto"/>
        </w:rPr>
      </w:pPr>
      <w:r>
        <w:rPr>
          <w:rFonts w:ascii="Times New Roman" w:cs="Times New Roman" w:eastAsia="Times New Roman" w:hAnsi="Times New Roman"/>
          <w:sz w:val="18"/>
          <w:szCs w:val="18"/>
          <w:color w:val="auto"/>
        </w:rPr>
        <w:t>SECURITY NATIONAL FINANCIAL CORPORATION AND SUBSIDIARIES</w:t>
      </w:r>
    </w:p>
    <w:p>
      <w:pPr>
        <w:spacing w:after="0" w:line="27"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p>
      <w:pPr>
        <w:spacing w:after="0" w:line="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June 30, 2024 (Unaudited)</w:t>
      </w:r>
    </w:p>
    <w:p>
      <w:pPr>
        <w:spacing w:after="0" w:line="207" w:lineRule="exact"/>
        <w:rPr>
          <w:sz w:val="20"/>
          <w:szCs w:val="20"/>
          <w:color w:val="auto"/>
        </w:rPr>
      </w:pPr>
    </w:p>
    <w:p>
      <w:pPr>
        <w:ind w:right="9260" w:firstLine="8"/>
        <w:spacing w:after="0" w:line="500" w:lineRule="auto"/>
        <w:tabs>
          <w:tab w:leader="none" w:pos="19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Investments</w:t>
      </w:r>
      <w:r>
        <w:rPr>
          <w:rFonts w:ascii="Times New Roman" w:cs="Times New Roman" w:eastAsia="Times New Roman" w:hAnsi="Times New Roman"/>
          <w:sz w:val="18"/>
          <w:szCs w:val="18"/>
          <w:color w:val="auto"/>
        </w:rPr>
        <w:t xml:space="preserve"> (Continued) </w:t>
      </w:r>
      <w:r>
        <w:rPr>
          <w:rFonts w:ascii="Times New Roman" w:cs="Times New Roman" w:eastAsia="Times New Roman" w:hAnsi="Times New Roman"/>
          <w:sz w:val="18"/>
          <w:szCs w:val="18"/>
          <w:u w:val="single" w:color="auto"/>
          <w:color w:val="auto"/>
        </w:rPr>
        <w:t>Credit Quality Indicators</w:t>
      </w:r>
    </w:p>
    <w:p>
      <w:pPr>
        <w:spacing w:after="0" w:line="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evaluates and monitors the credit quality of its commercial loans by analyzing loan to value (“LTV”) and debt service coverage ratios (“DSCR”). Monitoring a commercial mortgage loan increases when the loan is delinquent or earlier if there is an indication of impairment.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aggregate unpaid principal balance of commercial mortgage loans by credit quality indicator and origination year was as follows as of June 30, 2024:</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 of</w:t>
            </w:r>
          </w:p>
        </w:tc>
      </w:tr>
      <w:tr>
        <w:trPr>
          <w:trHeight w:val="241"/>
        </w:trPr>
        <w:tc>
          <w:tcPr>
            <w:tcW w:w="2460" w:type="dxa"/>
            <w:vAlign w:val="bottom"/>
            <w:gridSpan w:val="4"/>
          </w:tcPr>
          <w:p>
            <w:pPr>
              <w:ind w:left="300"/>
              <w:spacing w:after="0"/>
              <w:rPr>
                <w:sz w:val="20"/>
                <w:szCs w:val="20"/>
                <w:color w:val="auto"/>
              </w:rPr>
            </w:pPr>
            <w:r>
              <w:rPr>
                <w:rFonts w:ascii="Times New Roman" w:cs="Times New Roman" w:eastAsia="Times New Roman" w:hAnsi="Times New Roman"/>
                <w:sz w:val="18"/>
                <w:szCs w:val="18"/>
                <w:color w:val="auto"/>
              </w:rPr>
              <w:t>Credit Quality Indicator</w:t>
            </w:r>
          </w:p>
        </w:tc>
        <w:tc>
          <w:tcPr>
            <w:tcW w:w="100" w:type="dxa"/>
            <w:vAlign w:val="bottom"/>
          </w:tcPr>
          <w:p>
            <w:pPr>
              <w:spacing w:after="0"/>
              <w:rPr>
                <w:sz w:val="20"/>
                <w:szCs w:val="20"/>
                <w:color w:val="auto"/>
              </w:rPr>
            </w:pPr>
          </w:p>
        </w:tc>
        <w:tc>
          <w:tcPr>
            <w:tcW w:w="8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2024</w:t>
            </w:r>
          </w:p>
        </w:tc>
        <w:tc>
          <w:tcPr>
            <w:tcW w:w="140" w:type="dxa"/>
            <w:vAlign w:val="bottom"/>
          </w:tcPr>
          <w:p>
            <w:pPr>
              <w:spacing w:after="0"/>
              <w:rPr>
                <w:sz w:val="20"/>
                <w:szCs w:val="20"/>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2023</w:t>
            </w:r>
          </w:p>
        </w:tc>
        <w:tc>
          <w:tcPr>
            <w:tcW w:w="14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2022</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2020</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Prior</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Total</w:t>
            </w:r>
          </w:p>
        </w:tc>
      </w:tr>
      <w:tr>
        <w:trPr>
          <w:trHeight w:val="196"/>
        </w:trPr>
        <w:tc>
          <w:tcPr>
            <w:tcW w:w="380" w:type="dxa"/>
            <w:vAlign w:val="bottom"/>
            <w:tcBorders>
              <w:top w:val="single" w:sz="8" w:color="auto"/>
              <w:bottom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w w:val="89"/>
              </w:rPr>
              <w:t>LTV:</w:t>
            </w:r>
          </w:p>
        </w:tc>
        <w:tc>
          <w:tcPr>
            <w:tcW w:w="1920" w:type="dxa"/>
            <w:vAlign w:val="bottom"/>
            <w:tcBorders>
              <w:top w:val="single" w:sz="8" w:color="auto"/>
              <w:bottom w:val="single" w:sz="8" w:color="CCEEFF"/>
            </w:tcBorders>
            <w:gridSpan w:val="2"/>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CCEEFF"/>
            </w:tcBorders>
            <w:shd w:val="clear" w:color="auto" w:fill="CCEEFF"/>
          </w:tcPr>
          <w:p>
            <w:pPr>
              <w:spacing w:after="0"/>
              <w:rPr>
                <w:sz w:val="17"/>
                <w:szCs w:val="17"/>
                <w:color w:val="auto"/>
              </w:rPr>
            </w:pPr>
          </w:p>
        </w:tc>
        <w:tc>
          <w:tcPr>
            <w:tcW w:w="820" w:type="dxa"/>
            <w:vAlign w:val="bottom"/>
            <w:tcBorders>
              <w:top w:val="single" w:sz="8" w:color="auto"/>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920" w:type="dxa"/>
            <w:vAlign w:val="bottom"/>
            <w:tcBorders>
              <w:top w:val="single" w:sz="8" w:color="auto"/>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840" w:type="dxa"/>
            <w:vAlign w:val="bottom"/>
            <w:tcBorders>
              <w:top w:val="single" w:sz="8" w:color="auto"/>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CCEEFF"/>
            </w:tcBorders>
            <w:shd w:val="clear" w:color="auto" w:fill="CCEEFF"/>
          </w:tcPr>
          <w:p>
            <w:pPr>
              <w:spacing w:after="0"/>
              <w:rPr>
                <w:sz w:val="17"/>
                <w:szCs w:val="17"/>
                <w:color w:val="auto"/>
              </w:rPr>
            </w:pPr>
          </w:p>
        </w:tc>
        <w:tc>
          <w:tcPr>
            <w:tcW w:w="740" w:type="dxa"/>
            <w:vAlign w:val="bottom"/>
            <w:tcBorders>
              <w:top w:val="single" w:sz="8" w:color="auto"/>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CCEEFF"/>
            </w:tcBorders>
            <w:shd w:val="clear" w:color="auto" w:fill="CCEEFF"/>
          </w:tcPr>
          <w:p>
            <w:pPr>
              <w:spacing w:after="0"/>
              <w:rPr>
                <w:sz w:val="17"/>
                <w:szCs w:val="17"/>
                <w:color w:val="auto"/>
              </w:rPr>
            </w:pPr>
          </w:p>
        </w:tc>
        <w:tc>
          <w:tcPr>
            <w:tcW w:w="740" w:type="dxa"/>
            <w:vAlign w:val="bottom"/>
            <w:tcBorders>
              <w:top w:val="single" w:sz="8" w:color="auto"/>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840" w:type="dxa"/>
            <w:vAlign w:val="bottom"/>
            <w:tcBorders>
              <w:top w:val="single" w:sz="8" w:color="auto"/>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CCEEFF"/>
            </w:tcBorders>
            <w:shd w:val="clear" w:color="auto" w:fill="CCEEFF"/>
          </w:tcPr>
          <w:p>
            <w:pPr>
              <w:spacing w:after="0"/>
              <w:rPr>
                <w:sz w:val="17"/>
                <w:szCs w:val="17"/>
                <w:color w:val="auto"/>
              </w:rPr>
            </w:pPr>
          </w:p>
        </w:tc>
        <w:tc>
          <w:tcPr>
            <w:tcW w:w="820" w:type="dxa"/>
            <w:vAlign w:val="bottom"/>
            <w:tcBorders>
              <w:top w:val="single" w:sz="8" w:color="auto"/>
              <w:bottom w:val="single" w:sz="8" w:color="CCEEFF"/>
            </w:tcBorders>
            <w:shd w:val="clear" w:color="auto" w:fill="CCEEFF"/>
          </w:tcPr>
          <w:p>
            <w:pPr>
              <w:spacing w:after="0"/>
              <w:rPr>
                <w:sz w:val="17"/>
                <w:szCs w:val="17"/>
                <w:color w:val="auto"/>
              </w:rPr>
            </w:pPr>
          </w:p>
        </w:tc>
        <w:tc>
          <w:tcPr>
            <w:tcW w:w="260" w:type="dxa"/>
            <w:vAlign w:val="bottom"/>
            <w:tcBorders>
              <w:top w:val="single" w:sz="8" w:color="CCEEFF"/>
              <w:bottom w:val="single" w:sz="8" w:color="CCEEFF"/>
            </w:tcBorders>
            <w:shd w:val="clear" w:color="auto" w:fill="CCEEFF"/>
          </w:tcPr>
          <w:p>
            <w:pPr>
              <w:spacing w:after="0"/>
              <w:rPr>
                <w:sz w:val="17"/>
                <w:szCs w:val="17"/>
                <w:color w:val="auto"/>
              </w:rPr>
            </w:pPr>
          </w:p>
        </w:tc>
        <w:tc>
          <w:tcPr>
            <w:tcW w:w="640" w:type="dxa"/>
            <w:vAlign w:val="bottom"/>
            <w:tcBorders>
              <w:top w:val="single" w:sz="8" w:color="auto"/>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16"/>
        </w:trPr>
        <w:tc>
          <w:tcPr>
            <w:tcW w:w="24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Less than 65%</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6,034,800</w:t>
            </w:r>
          </w:p>
        </w:tc>
        <w:tc>
          <w:tcPr>
            <w:tcW w:w="11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$33,954,450</w:t>
            </w:r>
          </w:p>
        </w:tc>
        <w:tc>
          <w:tcPr>
            <w:tcW w:w="11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$ 2,828,743</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9"/>
              </w:rPr>
              <w:t>3,033,422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$ 9,271,857</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8"/>
              </w:rPr>
              <w:t>55,123,272</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75.28%</w:t>
            </w:r>
          </w:p>
        </w:tc>
      </w:tr>
      <w:tr>
        <w:trPr>
          <w:trHeight w:val="216"/>
        </w:trPr>
        <w:tc>
          <w:tcPr>
            <w:tcW w:w="24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65% to 80%</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8"/>
              </w:rPr>
              <w:t>10,432,942</w:t>
            </w:r>
          </w:p>
        </w:tc>
        <w:tc>
          <w:tcPr>
            <w:tcW w:w="11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1,523,850</w:t>
            </w:r>
          </w:p>
        </w:tc>
        <w:tc>
          <w:tcPr>
            <w:tcW w:w="11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823,397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9"/>
              </w:rPr>
              <w:t>4,913,313</w:t>
            </w:r>
          </w:p>
        </w:tc>
        <w:tc>
          <w:tcPr>
            <w:tcW w:w="11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8"/>
              </w:rPr>
              <w:t>17,693,502</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24.16%</w:t>
            </w:r>
          </w:p>
        </w:tc>
      </w:tr>
      <w:tr>
        <w:trPr>
          <w:trHeight w:val="236"/>
        </w:trPr>
        <w:tc>
          <w:tcPr>
            <w:tcW w:w="24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Greater than 80%</w:t>
            </w:r>
          </w:p>
        </w:tc>
        <w:tc>
          <w:tcPr>
            <w:tcW w:w="100" w:type="dxa"/>
            <w:vAlign w:val="bottom"/>
          </w:tcPr>
          <w:p>
            <w:pPr>
              <w:spacing w:after="0"/>
              <w:rPr>
                <w:sz w:val="20"/>
                <w:szCs w:val="20"/>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405,000</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405,000</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0.55%</w:t>
            </w:r>
          </w:p>
        </w:tc>
      </w:tr>
      <w:tr>
        <w:trPr>
          <w:trHeight w:val="243"/>
        </w:trPr>
        <w:tc>
          <w:tcPr>
            <w:tcW w:w="38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8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820" w:type="dxa"/>
            <w:vAlign w:val="bottom"/>
            <w:tcBorders>
              <w:top w:val="single" w:sz="8" w:color="auto"/>
            </w:tcBorders>
            <w:shd w:val="clear" w:color="auto" w:fill="CCEEFF"/>
          </w:tcPr>
          <w:p>
            <w:pPr>
              <w:spacing w:after="0"/>
              <w:rPr>
                <w:sz w:val="21"/>
                <w:szCs w:val="21"/>
                <w:color w:val="auto"/>
              </w:rPr>
            </w:pPr>
          </w:p>
        </w:tc>
        <w:tc>
          <w:tcPr>
            <w:tcW w:w="14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920" w:type="dxa"/>
            <w:vAlign w:val="bottom"/>
            <w:tcBorders>
              <w:top w:val="single" w:sz="8" w:color="auto"/>
            </w:tcBorders>
            <w:shd w:val="clear" w:color="auto" w:fill="CCEEFF"/>
          </w:tcPr>
          <w:p>
            <w:pPr>
              <w:spacing w:after="0"/>
              <w:rPr>
                <w:sz w:val="21"/>
                <w:szCs w:val="21"/>
                <w:color w:val="auto"/>
              </w:rPr>
            </w:pPr>
          </w:p>
        </w:tc>
        <w:tc>
          <w:tcPr>
            <w:tcW w:w="14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840" w:type="dxa"/>
            <w:vAlign w:val="bottom"/>
            <w:tcBorders>
              <w:top w:val="single" w:sz="8" w:color="auto"/>
            </w:tcBorders>
            <w:shd w:val="clear" w:color="auto" w:fill="CCEEFF"/>
          </w:tcPr>
          <w:p>
            <w:pPr>
              <w:spacing w:after="0"/>
              <w:rPr>
                <w:sz w:val="21"/>
                <w:szCs w:val="21"/>
                <w:color w:val="auto"/>
              </w:rPr>
            </w:pPr>
          </w:p>
        </w:tc>
        <w:tc>
          <w:tcPr>
            <w:tcW w:w="14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74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740" w:type="dxa"/>
            <w:vAlign w:val="bottom"/>
            <w:tcBorders>
              <w:top w:val="single" w:sz="8" w:color="auto"/>
            </w:tcBorders>
            <w:shd w:val="clear" w:color="auto" w:fill="CCEEFF"/>
          </w:tcPr>
          <w:p>
            <w:pPr>
              <w:spacing w:after="0"/>
              <w:rPr>
                <w:sz w:val="21"/>
                <w:szCs w:val="21"/>
                <w:color w:val="auto"/>
              </w:rPr>
            </w:pPr>
          </w:p>
        </w:tc>
        <w:tc>
          <w:tcPr>
            <w:tcW w:w="14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840" w:type="dxa"/>
            <w:vAlign w:val="bottom"/>
            <w:tcBorders>
              <w:top w:val="single" w:sz="8" w:color="auto"/>
            </w:tcBorders>
            <w:shd w:val="clear" w:color="auto" w:fill="CCEEFF"/>
          </w:tcPr>
          <w:p>
            <w:pPr>
              <w:spacing w:after="0"/>
              <w:rPr>
                <w:sz w:val="21"/>
                <w:szCs w:val="21"/>
                <w:color w:val="auto"/>
              </w:rPr>
            </w:pPr>
          </w:p>
        </w:tc>
        <w:tc>
          <w:tcPr>
            <w:tcW w:w="14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820" w:type="dxa"/>
            <w:vAlign w:val="bottom"/>
            <w:tcBorders>
              <w:top w:val="single" w:sz="8" w:color="auto"/>
            </w:tcBorders>
            <w:shd w:val="clear" w:color="auto" w:fill="CCEEFF"/>
          </w:tcPr>
          <w:p>
            <w:pPr>
              <w:spacing w:after="0"/>
              <w:rPr>
                <w:sz w:val="21"/>
                <w:szCs w:val="21"/>
                <w:color w:val="auto"/>
              </w:rPr>
            </w:pPr>
          </w:p>
        </w:tc>
        <w:tc>
          <w:tcPr>
            <w:tcW w:w="260" w:type="dxa"/>
            <w:vAlign w:val="bottom"/>
            <w:tcBorders>
              <w:top w:val="single" w:sz="8" w:color="CCEEFF"/>
            </w:tcBorders>
            <w:shd w:val="clear" w:color="auto" w:fill="CCEEFF"/>
          </w:tcPr>
          <w:p>
            <w:pPr>
              <w:spacing w:after="0"/>
              <w:rPr>
                <w:sz w:val="21"/>
                <w:szCs w:val="21"/>
                <w:color w:val="auto"/>
              </w:rPr>
            </w:pPr>
          </w:p>
        </w:tc>
        <w:tc>
          <w:tcPr>
            <w:tcW w:w="640" w:type="dxa"/>
            <w:vAlign w:val="bottom"/>
            <w:tcBorders>
              <w:top w:val="single" w:sz="8" w:color="auto"/>
            </w:tcBorders>
            <w:shd w:val="clear" w:color="auto" w:fill="CCEEFF"/>
          </w:tcPr>
          <w:p>
            <w:pPr>
              <w:spacing w:after="0"/>
              <w:rPr>
                <w:sz w:val="21"/>
                <w:szCs w:val="21"/>
                <w:color w:val="auto"/>
              </w:rPr>
            </w:pPr>
          </w:p>
        </w:tc>
        <w:tc>
          <w:tcPr>
            <w:tcW w:w="160" w:type="dxa"/>
            <w:vAlign w:val="bottom"/>
            <w:tcBorders>
              <w:top w:val="single" w:sz="8" w:color="CCEEFF"/>
            </w:tcBorders>
            <w:shd w:val="clear" w:color="auto" w:fill="CCEEFF"/>
          </w:tcPr>
          <w:p>
            <w:pPr>
              <w:spacing w:after="0"/>
              <w:rPr>
                <w:sz w:val="21"/>
                <w:szCs w:val="21"/>
                <w:color w:val="auto"/>
              </w:rPr>
            </w:pPr>
          </w:p>
        </w:tc>
      </w:tr>
      <w:tr>
        <w:trPr>
          <w:trHeight w:val="283"/>
        </w:trPr>
        <w:tc>
          <w:tcPr>
            <w:tcW w:w="24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8"/>
              </w:rPr>
              <w:t>16,467,742</w:t>
            </w:r>
          </w:p>
        </w:tc>
        <w:tc>
          <w:tcPr>
            <w:tcW w:w="11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35,478,300</w:t>
            </w:r>
          </w:p>
        </w:tc>
        <w:tc>
          <w:tcPr>
            <w:tcW w:w="11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$ 3,652,140</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9"/>
              </w:rPr>
              <w:t>3,438,422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9"/>
              </w:rPr>
              <w:t>4,913,313</w:t>
            </w:r>
          </w:p>
        </w:tc>
        <w:tc>
          <w:tcPr>
            <w:tcW w:w="11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$ 9,271,857</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w:t>
            </w: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8"/>
              </w:rPr>
              <w:t>73,221,774</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100.00%</w:t>
            </w:r>
          </w:p>
        </w:tc>
      </w:tr>
      <w:tr>
        <w:trPr>
          <w:trHeight w:val="196"/>
        </w:trPr>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r>
      <w:tr>
        <w:trPr>
          <w:trHeight w:val="176"/>
        </w:trPr>
        <w:tc>
          <w:tcPr>
            <w:tcW w:w="246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auto"/>
              </w:rPr>
              <w:t>DSCR</w:t>
            </w: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21"/>
        </w:trPr>
        <w:tc>
          <w:tcPr>
            <w:tcW w:w="3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6"/>
        </w:trPr>
        <w:tc>
          <w:tcPr>
            <w:tcW w:w="24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&gt;1.20x</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8"/>
              </w:rPr>
              <w:t>16,034,800</w:t>
            </w:r>
          </w:p>
        </w:tc>
        <w:tc>
          <w:tcPr>
            <w:tcW w:w="11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$20,990,000</w:t>
            </w:r>
          </w:p>
        </w:tc>
        <w:tc>
          <w:tcPr>
            <w:tcW w:w="11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$ 1,000,000</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9"/>
              </w:rPr>
              <w:t>4,913,313</w:t>
            </w:r>
          </w:p>
        </w:tc>
        <w:tc>
          <w:tcPr>
            <w:tcW w:w="11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$ 5,502,594</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8"/>
              </w:rPr>
              <w:t>48,440,707</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66.16%</w:t>
            </w:r>
          </w:p>
        </w:tc>
      </w:tr>
      <w:tr>
        <w:trPr>
          <w:trHeight w:val="216"/>
        </w:trPr>
        <w:tc>
          <w:tcPr>
            <w:tcW w:w="24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1.00x - 1.20x</w:t>
            </w:r>
          </w:p>
        </w:tc>
        <w:tc>
          <w:tcPr>
            <w:tcW w:w="1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432,942</w:t>
            </w:r>
          </w:p>
        </w:tc>
        <w:tc>
          <w:tcPr>
            <w:tcW w:w="11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7,988,300</w:t>
            </w:r>
          </w:p>
        </w:tc>
        <w:tc>
          <w:tcPr>
            <w:tcW w:w="11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2,652,140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9"/>
              </w:rPr>
              <w:t>3,438,422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3,769,263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8"/>
              </w:rPr>
              <w:t>18,281,067</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24.97%</w:t>
            </w:r>
          </w:p>
        </w:tc>
      </w:tr>
      <w:tr>
        <w:trPr>
          <w:trHeight w:val="237"/>
        </w:trPr>
        <w:tc>
          <w:tcPr>
            <w:tcW w:w="24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&lt;1.00x</w:t>
            </w: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6,500,000</w:t>
            </w:r>
          </w:p>
        </w:tc>
        <w:tc>
          <w:tcPr>
            <w:tcW w:w="11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6,500,000</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8.88%</w:t>
            </w:r>
          </w:p>
        </w:tc>
      </w:tr>
      <w:tr>
        <w:trPr>
          <w:trHeight w:val="243"/>
        </w:trPr>
        <w:tc>
          <w:tcPr>
            <w:tcW w:w="38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1820" w:type="dxa"/>
            <w:vAlign w:val="bottom"/>
            <w:tcBorders>
              <w:top w:val="single" w:sz="8" w:color="CCEEFF"/>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r>
      <w:tr>
        <w:trPr>
          <w:trHeight w:val="243"/>
        </w:trPr>
        <w:tc>
          <w:tcPr>
            <w:tcW w:w="24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8"/>
              </w:rPr>
              <w:t>16,467,742</w:t>
            </w:r>
          </w:p>
        </w:tc>
        <w:tc>
          <w:tcPr>
            <w:tcW w:w="11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35,478,300</w:t>
            </w:r>
          </w:p>
        </w:tc>
        <w:tc>
          <w:tcPr>
            <w:tcW w:w="11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$ 3,652,140</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9"/>
              </w:rPr>
              <w:t>3,438,422</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9"/>
              </w:rPr>
              <w:t>4,913,313</w:t>
            </w:r>
          </w:p>
        </w:tc>
        <w:tc>
          <w:tcPr>
            <w:tcW w:w="11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$ 9,271,857</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w:t>
            </w: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8"/>
              </w:rPr>
              <w:t>73,221,774</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100.00%</w:t>
            </w:r>
          </w:p>
        </w:tc>
      </w:tr>
      <w:tr>
        <w:trPr>
          <w:trHeight w:val="20"/>
        </w:trPr>
        <w:tc>
          <w:tcPr>
            <w:tcW w:w="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aggregate unpaid principal balance of commercial mortgage loans by credit quality indicator and origination year was as follows as of December 31, 2023:</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 of</w:t>
            </w:r>
          </w:p>
        </w:tc>
      </w:tr>
      <w:tr>
        <w:trPr>
          <w:trHeight w:val="241"/>
        </w:trPr>
        <w:tc>
          <w:tcPr>
            <w:tcW w:w="242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Credit Quality Indicator</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2023</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2022</w:t>
            </w: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2021</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2020</w:t>
            </w:r>
          </w:p>
        </w:tc>
        <w:tc>
          <w:tcPr>
            <w:tcW w:w="12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2019</w:t>
            </w:r>
          </w:p>
        </w:tc>
        <w:tc>
          <w:tcPr>
            <w:tcW w:w="260" w:type="dxa"/>
            <w:vAlign w:val="bottom"/>
          </w:tcPr>
          <w:p>
            <w:pPr>
              <w:spacing w:after="0"/>
              <w:rPr>
                <w:sz w:val="20"/>
                <w:szCs w:val="20"/>
                <w:color w:val="auto"/>
              </w:rPr>
            </w:pPr>
          </w:p>
        </w:tc>
        <w:tc>
          <w:tcPr>
            <w:tcW w:w="9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Prior</w:t>
            </w:r>
          </w:p>
        </w:tc>
        <w:tc>
          <w:tcPr>
            <w:tcW w:w="140" w:type="dxa"/>
            <w:vAlign w:val="bottom"/>
          </w:tcPr>
          <w:p>
            <w:pPr>
              <w:spacing w:after="0"/>
              <w:rPr>
                <w:sz w:val="20"/>
                <w:szCs w:val="20"/>
                <w:color w:val="auto"/>
              </w:rPr>
            </w:pPr>
          </w:p>
        </w:tc>
        <w:tc>
          <w:tcPr>
            <w:tcW w:w="11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Total</w:t>
            </w: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Total</w:t>
            </w:r>
          </w:p>
        </w:tc>
      </w:tr>
      <w:tr>
        <w:trPr>
          <w:trHeight w:val="196"/>
        </w:trPr>
        <w:tc>
          <w:tcPr>
            <w:tcW w:w="380" w:type="dxa"/>
            <w:vAlign w:val="bottom"/>
            <w:tcBorders>
              <w:top w:val="single" w:sz="8" w:color="auto"/>
              <w:bottom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w w:val="89"/>
              </w:rPr>
              <w:t>LTV:</w:t>
            </w:r>
          </w:p>
        </w:tc>
        <w:tc>
          <w:tcPr>
            <w:tcW w:w="1860" w:type="dxa"/>
            <w:vAlign w:val="bottom"/>
            <w:tcBorders>
              <w:top w:val="single" w:sz="8" w:color="auto"/>
              <w:bottom w:val="single" w:sz="8" w:color="CCEEFF"/>
            </w:tcBorders>
            <w:gridSpan w:val="2"/>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400" w:type="dxa"/>
            <w:vAlign w:val="bottom"/>
            <w:tcBorders>
              <w:top w:val="single" w:sz="8" w:color="auto"/>
              <w:bottom w:val="single" w:sz="8" w:color="CCEEFF"/>
            </w:tcBorders>
            <w:shd w:val="clear" w:color="auto" w:fill="CCEEFF"/>
          </w:tcPr>
          <w:p>
            <w:pPr>
              <w:spacing w:after="0"/>
              <w:rPr>
                <w:sz w:val="17"/>
                <w:szCs w:val="17"/>
                <w:color w:val="auto"/>
              </w:rPr>
            </w:pPr>
          </w:p>
        </w:tc>
        <w:tc>
          <w:tcPr>
            <w:tcW w:w="500" w:type="dxa"/>
            <w:vAlign w:val="bottom"/>
            <w:tcBorders>
              <w:top w:val="single" w:sz="8" w:color="auto"/>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CCEEFF"/>
            </w:tcBorders>
            <w:shd w:val="clear" w:color="auto" w:fill="CCEEFF"/>
          </w:tcPr>
          <w:p>
            <w:pPr>
              <w:spacing w:after="0"/>
              <w:rPr>
                <w:sz w:val="17"/>
                <w:szCs w:val="17"/>
                <w:color w:val="auto"/>
              </w:rPr>
            </w:pPr>
          </w:p>
        </w:tc>
        <w:tc>
          <w:tcPr>
            <w:tcW w:w="820" w:type="dxa"/>
            <w:vAlign w:val="bottom"/>
            <w:tcBorders>
              <w:top w:val="single" w:sz="8" w:color="auto"/>
              <w:bottom w:val="single" w:sz="8" w:color="CCEEFF"/>
            </w:tcBorders>
            <w:shd w:val="clear" w:color="auto" w:fill="CCEEFF"/>
          </w:tcPr>
          <w:p>
            <w:pPr>
              <w:spacing w:after="0"/>
              <w:rPr>
                <w:sz w:val="17"/>
                <w:szCs w:val="17"/>
                <w:color w:val="auto"/>
              </w:rPr>
            </w:pP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CCEEFF"/>
            </w:tcBorders>
            <w:shd w:val="clear" w:color="auto" w:fill="CCEEFF"/>
          </w:tcPr>
          <w:p>
            <w:pPr>
              <w:spacing w:after="0"/>
              <w:rPr>
                <w:sz w:val="17"/>
                <w:szCs w:val="17"/>
                <w:color w:val="auto"/>
              </w:rPr>
            </w:pPr>
          </w:p>
        </w:tc>
        <w:tc>
          <w:tcPr>
            <w:tcW w:w="740" w:type="dxa"/>
            <w:vAlign w:val="bottom"/>
            <w:tcBorders>
              <w:top w:val="single" w:sz="8" w:color="auto"/>
              <w:bottom w:val="single" w:sz="8" w:color="CCEEFF"/>
            </w:tcBorders>
            <w:shd w:val="clear" w:color="auto" w:fill="CCEEFF"/>
          </w:tcPr>
          <w:p>
            <w:pPr>
              <w:spacing w:after="0"/>
              <w:rPr>
                <w:sz w:val="17"/>
                <w:szCs w:val="17"/>
                <w:color w:val="auto"/>
              </w:rPr>
            </w:pPr>
          </w:p>
        </w:tc>
        <w:tc>
          <w:tcPr>
            <w:tcW w:w="2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CCEEFF"/>
            </w:tcBorders>
            <w:shd w:val="clear" w:color="auto" w:fill="CCEEFF"/>
          </w:tcPr>
          <w:p>
            <w:pPr>
              <w:spacing w:after="0"/>
              <w:rPr>
                <w:sz w:val="17"/>
                <w:szCs w:val="17"/>
                <w:color w:val="auto"/>
              </w:rPr>
            </w:pPr>
          </w:p>
        </w:tc>
        <w:tc>
          <w:tcPr>
            <w:tcW w:w="740" w:type="dxa"/>
            <w:vAlign w:val="bottom"/>
            <w:tcBorders>
              <w:top w:val="single" w:sz="8" w:color="auto"/>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840" w:type="dxa"/>
            <w:vAlign w:val="bottom"/>
            <w:tcBorders>
              <w:top w:val="single" w:sz="8" w:color="auto"/>
              <w:bottom w:val="single" w:sz="8" w:color="CCEEFF"/>
            </w:tcBorders>
            <w:shd w:val="clear" w:color="auto" w:fill="CCEEFF"/>
          </w:tcPr>
          <w:p>
            <w:pPr>
              <w:spacing w:after="0"/>
              <w:rPr>
                <w:sz w:val="17"/>
                <w:szCs w:val="17"/>
                <w:color w:val="auto"/>
              </w:rPr>
            </w:pPr>
          </w:p>
        </w:tc>
        <w:tc>
          <w:tcPr>
            <w:tcW w:w="260" w:type="dxa"/>
            <w:vAlign w:val="bottom"/>
            <w:tcBorders>
              <w:top w:val="single" w:sz="8" w:color="CCEEFF"/>
              <w:bottom w:val="single" w:sz="8" w:color="CCEEFF"/>
            </w:tcBorders>
            <w:shd w:val="clear" w:color="auto" w:fill="CCEEFF"/>
          </w:tcPr>
          <w:p>
            <w:pPr>
              <w:spacing w:after="0"/>
              <w:rPr>
                <w:sz w:val="17"/>
                <w:szCs w:val="17"/>
                <w:color w:val="auto"/>
              </w:rPr>
            </w:pPr>
          </w:p>
        </w:tc>
        <w:tc>
          <w:tcPr>
            <w:tcW w:w="840" w:type="dxa"/>
            <w:vAlign w:val="bottom"/>
            <w:tcBorders>
              <w:top w:val="single" w:sz="8" w:color="auto"/>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920" w:type="dxa"/>
            <w:vAlign w:val="bottom"/>
            <w:tcBorders>
              <w:top w:val="single" w:sz="8" w:color="auto"/>
              <w:bottom w:val="single" w:sz="8" w:color="CCEEFF"/>
            </w:tcBorders>
            <w:shd w:val="clear" w:color="auto" w:fill="CCEEFF"/>
          </w:tcPr>
          <w:p>
            <w:pPr>
              <w:spacing w:after="0"/>
              <w:rPr>
                <w:sz w:val="17"/>
                <w:szCs w:val="17"/>
                <w:color w:val="auto"/>
              </w:rPr>
            </w:pPr>
          </w:p>
        </w:tc>
        <w:tc>
          <w:tcPr>
            <w:tcW w:w="260" w:type="dxa"/>
            <w:vAlign w:val="bottom"/>
            <w:tcBorders>
              <w:top w:val="single" w:sz="8" w:color="CCEEFF"/>
              <w:bottom w:val="single" w:sz="8" w:color="CCEEFF"/>
            </w:tcBorders>
            <w:shd w:val="clear" w:color="auto" w:fill="CCEEFF"/>
          </w:tcPr>
          <w:p>
            <w:pPr>
              <w:spacing w:after="0"/>
              <w:rPr>
                <w:sz w:val="17"/>
                <w:szCs w:val="17"/>
                <w:color w:val="auto"/>
              </w:rPr>
            </w:pPr>
          </w:p>
        </w:tc>
        <w:tc>
          <w:tcPr>
            <w:tcW w:w="640" w:type="dxa"/>
            <w:vAlign w:val="bottom"/>
            <w:tcBorders>
              <w:top w:val="single" w:sz="8" w:color="auto"/>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16"/>
        </w:trPr>
        <w:tc>
          <w:tcPr>
            <w:tcW w:w="24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Less than 65%</w:t>
            </w:r>
          </w:p>
        </w:tc>
        <w:tc>
          <w:tcPr>
            <w:tcW w:w="10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w w:val="97"/>
              </w:rPr>
              <w:t>$34,304,954</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w w:val="98"/>
              </w:rPr>
              <w:t>13,555,737</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9"/>
              </w:rPr>
              <w:t>3,778,248</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$ 2,964,740</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5"/>
              </w:rPr>
              <w:t>$ 6,565,389</w:t>
            </w:r>
          </w:p>
        </w:tc>
        <w:tc>
          <w:tcPr>
            <w:tcW w:w="13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$61,169,068</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82.46%</w:t>
            </w:r>
          </w:p>
        </w:tc>
      </w:tr>
      <w:tr>
        <w:trPr>
          <w:trHeight w:val="216"/>
        </w:trPr>
        <w:tc>
          <w:tcPr>
            <w:tcW w:w="24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65% to 80%</w:t>
            </w:r>
          </w:p>
        </w:tc>
        <w:tc>
          <w:tcPr>
            <w:tcW w:w="10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1,523,926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5,115,231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9"/>
              </w:rPr>
              <w:t>1,050,000</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9"/>
              </w:rPr>
              <w:t>4,913,313</w:t>
            </w:r>
          </w:p>
        </w:tc>
        <w:tc>
          <w:tcPr>
            <w:tcW w:w="12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12,602,470</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16.99%</w:t>
            </w:r>
          </w:p>
        </w:tc>
      </w:tr>
      <w:tr>
        <w:trPr>
          <w:trHeight w:val="236"/>
        </w:trPr>
        <w:tc>
          <w:tcPr>
            <w:tcW w:w="24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Greater than 80%</w:t>
            </w:r>
          </w:p>
        </w:tc>
        <w:tc>
          <w:tcPr>
            <w:tcW w:w="10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405,000</w:t>
            </w:r>
          </w:p>
        </w:tc>
        <w:tc>
          <w:tcPr>
            <w:tcW w:w="10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405,000</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0.55%</w:t>
            </w:r>
          </w:p>
        </w:tc>
      </w:tr>
      <w:tr>
        <w:trPr>
          <w:trHeight w:val="243"/>
        </w:trPr>
        <w:tc>
          <w:tcPr>
            <w:tcW w:w="38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76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CCEEFF"/>
            </w:tcBorders>
            <w:shd w:val="clear" w:color="auto" w:fill="CCEEFF"/>
          </w:tcPr>
          <w:p>
            <w:pPr>
              <w:spacing w:after="0"/>
              <w:rPr>
                <w:sz w:val="21"/>
                <w:szCs w:val="21"/>
                <w:color w:val="auto"/>
              </w:rPr>
            </w:pPr>
          </w:p>
        </w:tc>
        <w:tc>
          <w:tcPr>
            <w:tcW w:w="400" w:type="dxa"/>
            <w:vAlign w:val="bottom"/>
            <w:tcBorders>
              <w:top w:val="single" w:sz="8" w:color="auto"/>
            </w:tcBorders>
            <w:shd w:val="clear" w:color="auto" w:fill="CCEEFF"/>
          </w:tcPr>
          <w:p>
            <w:pPr>
              <w:spacing w:after="0"/>
              <w:rPr>
                <w:sz w:val="21"/>
                <w:szCs w:val="21"/>
                <w:color w:val="auto"/>
              </w:rPr>
            </w:pPr>
          </w:p>
        </w:tc>
        <w:tc>
          <w:tcPr>
            <w:tcW w:w="500" w:type="dxa"/>
            <w:vAlign w:val="bottom"/>
            <w:tcBorders>
              <w:top w:val="single" w:sz="8" w:color="auto"/>
            </w:tcBorders>
            <w:shd w:val="clear" w:color="auto" w:fill="CCEEFF"/>
          </w:tcPr>
          <w:p>
            <w:pPr>
              <w:spacing w:after="0"/>
              <w:rPr>
                <w:sz w:val="21"/>
                <w:szCs w:val="21"/>
                <w:color w:val="auto"/>
              </w:rPr>
            </w:pPr>
          </w:p>
        </w:tc>
        <w:tc>
          <w:tcPr>
            <w:tcW w:w="14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820" w:type="dxa"/>
            <w:vAlign w:val="bottom"/>
            <w:tcBorders>
              <w:top w:val="single" w:sz="8" w:color="auto"/>
            </w:tcBorders>
            <w:shd w:val="clear" w:color="auto" w:fill="CCEEFF"/>
          </w:tcPr>
          <w:p>
            <w:pPr>
              <w:spacing w:after="0"/>
              <w:rPr>
                <w:sz w:val="21"/>
                <w:szCs w:val="21"/>
                <w:color w:val="auto"/>
              </w:rPr>
            </w:pPr>
          </w:p>
        </w:tc>
        <w:tc>
          <w:tcPr>
            <w:tcW w:w="30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740" w:type="dxa"/>
            <w:vAlign w:val="bottom"/>
            <w:tcBorders>
              <w:top w:val="single" w:sz="8" w:color="auto"/>
            </w:tcBorders>
            <w:shd w:val="clear" w:color="auto" w:fill="CCEEFF"/>
          </w:tcPr>
          <w:p>
            <w:pPr>
              <w:spacing w:after="0"/>
              <w:rPr>
                <w:sz w:val="21"/>
                <w:szCs w:val="21"/>
                <w:color w:val="auto"/>
              </w:rPr>
            </w:pPr>
          </w:p>
        </w:tc>
        <w:tc>
          <w:tcPr>
            <w:tcW w:w="26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74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840" w:type="dxa"/>
            <w:vAlign w:val="bottom"/>
            <w:tcBorders>
              <w:top w:val="single" w:sz="8" w:color="auto"/>
            </w:tcBorders>
            <w:shd w:val="clear" w:color="auto" w:fill="CCEEFF"/>
          </w:tcPr>
          <w:p>
            <w:pPr>
              <w:spacing w:after="0"/>
              <w:rPr>
                <w:sz w:val="21"/>
                <w:szCs w:val="21"/>
                <w:color w:val="auto"/>
              </w:rPr>
            </w:pPr>
          </w:p>
        </w:tc>
        <w:tc>
          <w:tcPr>
            <w:tcW w:w="260" w:type="dxa"/>
            <w:vAlign w:val="bottom"/>
            <w:tcBorders>
              <w:top w:val="single" w:sz="8" w:color="CCEEFF"/>
            </w:tcBorders>
            <w:shd w:val="clear" w:color="auto" w:fill="CCEEFF"/>
          </w:tcPr>
          <w:p>
            <w:pPr>
              <w:spacing w:after="0"/>
              <w:rPr>
                <w:sz w:val="21"/>
                <w:szCs w:val="21"/>
                <w:color w:val="auto"/>
              </w:rPr>
            </w:pPr>
          </w:p>
        </w:tc>
        <w:tc>
          <w:tcPr>
            <w:tcW w:w="84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CCEEFF"/>
            </w:tcBorders>
            <w:shd w:val="clear" w:color="auto" w:fill="CCEEFF"/>
          </w:tcPr>
          <w:p>
            <w:pPr>
              <w:spacing w:after="0"/>
              <w:rPr>
                <w:sz w:val="21"/>
                <w:szCs w:val="21"/>
                <w:color w:val="auto"/>
              </w:rPr>
            </w:pPr>
          </w:p>
        </w:tc>
        <w:tc>
          <w:tcPr>
            <w:tcW w:w="920" w:type="dxa"/>
            <w:vAlign w:val="bottom"/>
            <w:tcBorders>
              <w:top w:val="single" w:sz="8" w:color="auto"/>
            </w:tcBorders>
            <w:shd w:val="clear" w:color="auto" w:fill="CCEEFF"/>
          </w:tcPr>
          <w:p>
            <w:pPr>
              <w:spacing w:after="0"/>
              <w:rPr>
                <w:sz w:val="21"/>
                <w:szCs w:val="21"/>
                <w:color w:val="auto"/>
              </w:rPr>
            </w:pPr>
          </w:p>
        </w:tc>
        <w:tc>
          <w:tcPr>
            <w:tcW w:w="260" w:type="dxa"/>
            <w:vAlign w:val="bottom"/>
            <w:tcBorders>
              <w:top w:val="single" w:sz="8" w:color="CCEEFF"/>
            </w:tcBorders>
            <w:shd w:val="clear" w:color="auto" w:fill="CCEEFF"/>
          </w:tcPr>
          <w:p>
            <w:pPr>
              <w:spacing w:after="0"/>
              <w:rPr>
                <w:sz w:val="21"/>
                <w:szCs w:val="21"/>
                <w:color w:val="auto"/>
              </w:rPr>
            </w:pPr>
          </w:p>
        </w:tc>
        <w:tc>
          <w:tcPr>
            <w:tcW w:w="640" w:type="dxa"/>
            <w:vAlign w:val="bottom"/>
            <w:tcBorders>
              <w:top w:val="single" w:sz="8" w:color="auto"/>
            </w:tcBorders>
            <w:shd w:val="clear" w:color="auto" w:fill="CCEEFF"/>
          </w:tcPr>
          <w:p>
            <w:pPr>
              <w:spacing w:after="0"/>
              <w:rPr>
                <w:sz w:val="21"/>
                <w:szCs w:val="21"/>
                <w:color w:val="auto"/>
              </w:rPr>
            </w:pPr>
          </w:p>
        </w:tc>
        <w:tc>
          <w:tcPr>
            <w:tcW w:w="160" w:type="dxa"/>
            <w:vAlign w:val="bottom"/>
            <w:tcBorders>
              <w:top w:val="single" w:sz="8" w:color="CCEEFF"/>
            </w:tcBorders>
            <w:shd w:val="clear" w:color="auto" w:fill="CCEEFF"/>
          </w:tcPr>
          <w:p>
            <w:pPr>
              <w:spacing w:after="0"/>
              <w:rPr>
                <w:sz w:val="21"/>
                <w:szCs w:val="21"/>
                <w:color w:val="auto"/>
              </w:rPr>
            </w:pPr>
          </w:p>
        </w:tc>
      </w:tr>
      <w:tr>
        <w:trPr>
          <w:trHeight w:val="283"/>
        </w:trPr>
        <w:tc>
          <w:tcPr>
            <w:tcW w:w="24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Total</w:t>
            </w:r>
          </w:p>
        </w:tc>
        <w:tc>
          <w:tcPr>
            <w:tcW w:w="10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35,828,880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w w:val="98"/>
              </w:rPr>
              <w:t>18,670,968</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9"/>
              </w:rPr>
              <w:t>5,233,248</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9"/>
              </w:rPr>
              <w:t>4,913,313</w:t>
            </w:r>
          </w:p>
        </w:tc>
        <w:tc>
          <w:tcPr>
            <w:tcW w:w="12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$ 2,964,740</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5"/>
              </w:rPr>
              <w:t>$ 6,565,389</w:t>
            </w:r>
          </w:p>
        </w:tc>
        <w:tc>
          <w:tcPr>
            <w:tcW w:w="13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74,176,538</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100.00%</w:t>
            </w:r>
          </w:p>
        </w:tc>
      </w:tr>
      <w:tr>
        <w:trPr>
          <w:trHeight w:val="196"/>
        </w:trPr>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7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r>
      <w:tr>
        <w:trPr>
          <w:trHeight w:val="175"/>
        </w:trPr>
        <w:tc>
          <w:tcPr>
            <w:tcW w:w="242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auto"/>
              </w:rPr>
              <w:t>DSCR</w:t>
            </w:r>
          </w:p>
        </w:tc>
        <w:tc>
          <w:tcPr>
            <w:tcW w:w="4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21"/>
        </w:trPr>
        <w:tc>
          <w:tcPr>
            <w:tcW w:w="3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6"/>
        </w:trPr>
        <w:tc>
          <w:tcPr>
            <w:tcW w:w="24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&gt;1.20x</w:t>
            </w:r>
          </w:p>
        </w:tc>
        <w:tc>
          <w:tcPr>
            <w:tcW w:w="10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7"/>
              </w:rPr>
              <w:t>$20,990,000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1,000,000</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700,000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9"/>
              </w:rPr>
              <w:t>4,913,313</w:t>
            </w:r>
          </w:p>
        </w:tc>
        <w:tc>
          <w:tcPr>
            <w:tcW w:w="12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$ 2,964,740</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5"/>
              </w:rPr>
              <w:t>$ 2,612,625</w:t>
            </w:r>
          </w:p>
        </w:tc>
        <w:tc>
          <w:tcPr>
            <w:tcW w:w="13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$33,180,678</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44.73%</w:t>
            </w:r>
          </w:p>
        </w:tc>
      </w:tr>
      <w:tr>
        <w:trPr>
          <w:trHeight w:val="216"/>
        </w:trPr>
        <w:tc>
          <w:tcPr>
            <w:tcW w:w="24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1.00x - 1.20x</w:t>
            </w:r>
          </w:p>
        </w:tc>
        <w:tc>
          <w:tcPr>
            <w:tcW w:w="10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8,338,880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8,496,127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9"/>
              </w:rPr>
              <w:t>3,483,248</w:t>
            </w:r>
          </w:p>
        </w:tc>
        <w:tc>
          <w:tcPr>
            <w:tcW w:w="1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3,952,764</w:t>
            </w:r>
          </w:p>
        </w:tc>
        <w:tc>
          <w:tcPr>
            <w:tcW w:w="13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24,271,019</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32.72%</w:t>
            </w:r>
          </w:p>
        </w:tc>
      </w:tr>
      <w:tr>
        <w:trPr>
          <w:trHeight w:val="237"/>
        </w:trPr>
        <w:tc>
          <w:tcPr>
            <w:tcW w:w="24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&lt;1.00x</w:t>
            </w:r>
          </w:p>
        </w:tc>
        <w:tc>
          <w:tcPr>
            <w:tcW w:w="10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6,500,000</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9,174,841(1)</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9"/>
              </w:rPr>
              <w:t>1,050,000</w:t>
            </w: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16,724,841</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22.55%</w:t>
            </w:r>
          </w:p>
        </w:tc>
      </w:tr>
      <w:tr>
        <w:trPr>
          <w:trHeight w:val="243"/>
        </w:trPr>
        <w:tc>
          <w:tcPr>
            <w:tcW w:w="38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176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30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r>
      <w:tr>
        <w:trPr>
          <w:trHeight w:val="243"/>
        </w:trPr>
        <w:tc>
          <w:tcPr>
            <w:tcW w:w="24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0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35,828,880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w w:val="98"/>
              </w:rPr>
              <w:t>18,670,968</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9"/>
              </w:rPr>
              <w:t>5,233,248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9"/>
              </w:rPr>
              <w:t>4,913,313</w:t>
            </w:r>
          </w:p>
        </w:tc>
        <w:tc>
          <w:tcPr>
            <w:tcW w:w="12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$ 2,964,740</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5"/>
              </w:rPr>
              <w:t>$ 6,565,389</w:t>
            </w:r>
          </w:p>
        </w:tc>
        <w:tc>
          <w:tcPr>
            <w:tcW w:w="13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74,176,538</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100.00%</w:t>
            </w:r>
          </w:p>
        </w:tc>
      </w:tr>
      <w:tr>
        <w:trPr>
          <w:trHeight w:val="20"/>
        </w:trPr>
        <w:tc>
          <w:tcPr>
            <w:tcW w:w="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r>
        <w:trPr>
          <w:trHeight w:val="204"/>
        </w:trPr>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980" w:type="dxa"/>
            <w:vAlign w:val="bottom"/>
            <w:gridSpan w:val="5"/>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4"/>
        </w:trPr>
        <w:tc>
          <w:tcPr>
            <w:tcW w:w="2820" w:type="dxa"/>
            <w:vAlign w:val="bottom"/>
            <w:tcBorders>
              <w:top w:val="single" w:sz="8" w:color="auto"/>
            </w:tcBorders>
            <w:gridSpan w:val="5"/>
          </w:tcPr>
          <w:p>
            <w:pPr>
              <w:ind w:left="60"/>
              <w:spacing w:after="0"/>
              <w:rPr>
                <w:sz w:val="20"/>
                <w:szCs w:val="20"/>
                <w:color w:val="auto"/>
              </w:rPr>
            </w:pPr>
            <w:r>
              <w:rPr>
                <w:rFonts w:ascii="Times New Roman" w:cs="Times New Roman" w:eastAsia="Times New Roman" w:hAnsi="Times New Roman"/>
                <w:sz w:val="18"/>
                <w:szCs w:val="18"/>
                <w:color w:val="auto"/>
              </w:rPr>
              <w:t>(1) Commercial construction loan</w:t>
            </w:r>
          </w:p>
        </w:tc>
        <w:tc>
          <w:tcPr>
            <w:tcW w:w="640" w:type="dxa"/>
            <w:vAlign w:val="bottom"/>
            <w:gridSpan w:val="2"/>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542"/>
        </w:trPr>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1" w:right="339" w:bottom="1440" w:gutter="0" w:footer="0" w:header="0"/>
        </w:sectPr>
      </w:pPr>
    </w:p>
    <w:bookmarkStart w:id="31" w:name="page32"/>
    <w:bookmarkEnd w:id="31"/>
    <w:p>
      <w:pPr>
        <w:ind w:left="2700"/>
        <w:spacing w:after="0"/>
        <w:rPr>
          <w:sz w:val="20"/>
          <w:szCs w:val="20"/>
          <w:color w:val="auto"/>
        </w:rPr>
      </w:pPr>
      <w:r>
        <w:rPr>
          <w:rFonts w:ascii="Times New Roman" w:cs="Times New Roman" w:eastAsia="Times New Roman" w:hAnsi="Times New Roman"/>
          <w:sz w:val="18"/>
          <w:szCs w:val="18"/>
          <w:color w:val="auto"/>
        </w:rPr>
        <w:t>SECURITY NATIONAL FINANCIAL CORPORATION AND SUBSIDIARIES</w:t>
      </w:r>
    </w:p>
    <w:p>
      <w:pPr>
        <w:spacing w:after="0" w:line="27"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p>
      <w:pPr>
        <w:spacing w:after="0" w:line="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June 30, 2024 (Unaudited)</w:t>
      </w:r>
    </w:p>
    <w:p>
      <w:pPr>
        <w:spacing w:after="0" w:line="207" w:lineRule="exact"/>
        <w:rPr>
          <w:sz w:val="20"/>
          <w:szCs w:val="20"/>
          <w:color w:val="auto"/>
        </w:rPr>
      </w:pPr>
    </w:p>
    <w:p>
      <w:pPr>
        <w:ind w:left="200" w:hanging="192"/>
        <w:spacing w:after="0"/>
        <w:tabs>
          <w:tab w:leader="none" w:pos="2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evaluates and monitors the credit quality of its residential mortgage loans by analyzing LTV and loan performance. The Company defines non-performing mortgage loans as loans more than 90 days past due and on a non-accrual status. Monitoring a residential mortgage loan increases when the loan is delinquent or earlier if there is an indication of impairment.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aggregate unpaid principal balance of residential mortgage loans by credit quality indicator and origination year was as follows as of June 30, 2024:</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 of</w:t>
            </w:r>
          </w:p>
        </w:tc>
      </w:tr>
      <w:tr>
        <w:trPr>
          <w:trHeight w:val="241"/>
        </w:trPr>
        <w:tc>
          <w:tcPr>
            <w:tcW w:w="222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Credit Quality Indicator</w:t>
            </w:r>
          </w:p>
        </w:tc>
        <w:tc>
          <w:tcPr>
            <w:tcW w:w="9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2024</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2023</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2022</w:t>
            </w:r>
          </w:p>
        </w:tc>
        <w:tc>
          <w:tcPr>
            <w:tcW w:w="260" w:type="dxa"/>
            <w:vAlign w:val="bottom"/>
          </w:tcPr>
          <w:p>
            <w:pPr>
              <w:spacing w:after="0"/>
              <w:rPr>
                <w:sz w:val="20"/>
                <w:szCs w:val="20"/>
                <w:color w:val="auto"/>
              </w:rPr>
            </w:pPr>
          </w:p>
        </w:tc>
        <w:tc>
          <w:tcPr>
            <w:tcW w:w="8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2021</w:t>
            </w:r>
          </w:p>
        </w:tc>
        <w:tc>
          <w:tcPr>
            <w:tcW w:w="14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2020</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Prior</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Total</w:t>
            </w: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Total</w:t>
            </w:r>
          </w:p>
        </w:tc>
      </w:tr>
      <w:tr>
        <w:trPr>
          <w:trHeight w:val="196"/>
        </w:trPr>
        <w:tc>
          <w:tcPr>
            <w:tcW w:w="2220" w:type="dxa"/>
            <w:vAlign w:val="bottom"/>
            <w:tcBorders>
              <w:top w:val="single" w:sz="8" w:color="auto"/>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Performance Indicators:</w:t>
            </w:r>
          </w:p>
        </w:tc>
        <w:tc>
          <w:tcPr>
            <w:tcW w:w="16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r>
      <w:tr>
        <w:trPr>
          <w:trHeight w:val="216"/>
        </w:trPr>
        <w:tc>
          <w:tcPr>
            <w:tcW w:w="17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Performing</w:t>
            </w:r>
          </w:p>
        </w:tc>
        <w:tc>
          <w:tcPr>
            <w:tcW w:w="4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gridSpan w:val="4"/>
          </w:tcPr>
          <w:p>
            <w:pPr>
              <w:jc w:val="right"/>
              <w:ind w:right="260"/>
              <w:spacing w:after="0"/>
              <w:rPr>
                <w:sz w:val="20"/>
                <w:szCs w:val="20"/>
                <w:color w:val="auto"/>
              </w:rPr>
            </w:pPr>
            <w:r>
              <w:rPr>
                <w:rFonts w:ascii="Times New Roman" w:cs="Times New Roman" w:eastAsia="Times New Roman" w:hAnsi="Times New Roman"/>
                <w:sz w:val="18"/>
                <w:szCs w:val="18"/>
                <w:color w:val="auto"/>
              </w:rPr>
              <w:t>$ 5,918,960</w:t>
            </w:r>
          </w:p>
        </w:tc>
        <w:tc>
          <w:tcPr>
            <w:tcW w:w="1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CCEEFF"/>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8"/>
              </w:rPr>
              <w:t>13,236,536</w:t>
            </w:r>
          </w:p>
        </w:tc>
        <w:tc>
          <w:tcPr>
            <w:tcW w:w="220" w:type="dxa"/>
            <w:vAlign w:val="bottom"/>
            <w:tcBorders>
              <w:top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CCEEFF"/>
            </w:tcBorders>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8"/>
              </w:rPr>
              <w:t>50,568,628</w:t>
            </w:r>
          </w:p>
        </w:tc>
        <w:tc>
          <w:tcPr>
            <w:tcW w:w="960" w:type="dxa"/>
            <w:vAlign w:val="bottom"/>
            <w:tcBorders>
              <w:top w:val="single" w:sz="8" w:color="CCEEFF"/>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5"/>
              </w:rPr>
              <w:t>$ 6,657,886</w:t>
            </w:r>
          </w:p>
        </w:tc>
        <w:tc>
          <w:tcPr>
            <w:tcW w:w="1220" w:type="dxa"/>
            <w:vAlign w:val="bottom"/>
            <w:tcBorders>
              <w:top w:val="single" w:sz="8" w:color="CCEEFF"/>
            </w:tcBorders>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$ 7,669,161</w:t>
            </w:r>
          </w:p>
        </w:tc>
        <w:tc>
          <w:tcPr>
            <w:tcW w:w="1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CCEEFF"/>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8"/>
              </w:rPr>
              <w:t>14,283,699</w:t>
            </w:r>
          </w:p>
        </w:tc>
        <w:tc>
          <w:tcPr>
            <w:tcW w:w="240" w:type="dxa"/>
            <w:vAlign w:val="bottom"/>
            <w:tcBorders>
              <w:top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CCEEFF"/>
            </w:tcBorders>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98,334,870</w:t>
            </w:r>
          </w:p>
        </w:tc>
        <w:tc>
          <w:tcPr>
            <w:tcW w:w="800" w:type="dxa"/>
            <w:vAlign w:val="bottom"/>
            <w:tcBorders>
              <w:top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94.86%</w:t>
            </w:r>
          </w:p>
        </w:tc>
      </w:tr>
      <w:tr>
        <w:trPr>
          <w:trHeight w:val="237"/>
        </w:trPr>
        <w:tc>
          <w:tcPr>
            <w:tcW w:w="2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Non-performing (1)</w:t>
            </w:r>
          </w:p>
        </w:tc>
        <w:tc>
          <w:tcPr>
            <w:tcW w:w="124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2,880,161</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696,461</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365,061</w:t>
            </w:r>
          </w:p>
        </w:tc>
        <w:tc>
          <w:tcPr>
            <w:tcW w:w="12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406,356</w:t>
            </w: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984,981</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5,333,020</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5.14%</w:t>
            </w:r>
          </w:p>
        </w:tc>
      </w:tr>
      <w:tr>
        <w:trPr>
          <w:trHeight w:val="243"/>
        </w:trPr>
        <w:tc>
          <w:tcPr>
            <w:tcW w:w="380" w:type="dxa"/>
            <w:vAlign w:val="bottom"/>
            <w:tcBorders>
              <w:top w:val="single" w:sz="8" w:color="CCEEFF"/>
            </w:tcBorders>
          </w:tcPr>
          <w:p>
            <w:pPr>
              <w:spacing w:after="0"/>
              <w:rPr>
                <w:sz w:val="21"/>
                <w:szCs w:val="21"/>
                <w:color w:val="auto"/>
              </w:rPr>
            </w:pPr>
          </w:p>
        </w:tc>
        <w:tc>
          <w:tcPr>
            <w:tcW w:w="1360" w:type="dxa"/>
            <w:vAlign w:val="bottom"/>
            <w:tcBorders>
              <w:top w:val="single" w:sz="8" w:color="CCEEFF"/>
            </w:tcBorders>
          </w:tcPr>
          <w:p>
            <w:pPr>
              <w:spacing w:after="0"/>
              <w:rPr>
                <w:sz w:val="21"/>
                <w:szCs w:val="21"/>
                <w:color w:val="auto"/>
              </w:rPr>
            </w:pPr>
          </w:p>
        </w:tc>
        <w:tc>
          <w:tcPr>
            <w:tcW w:w="480" w:type="dxa"/>
            <w:vAlign w:val="bottom"/>
            <w:tcBorders>
              <w:top w:val="single" w:sz="8" w:color="CCEEFF"/>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r>
      <w:tr>
        <w:trPr>
          <w:trHeight w:val="243"/>
        </w:trPr>
        <w:tc>
          <w:tcPr>
            <w:tcW w:w="2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24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$ 5,918,960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8"/>
              </w:rPr>
              <w:t>16,116,697</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w:t>
            </w: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8"/>
              </w:rPr>
              <w:t>51,265,089</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5"/>
              </w:rPr>
              <w:t>$ 7,022,947</w:t>
            </w:r>
          </w:p>
        </w:tc>
        <w:tc>
          <w:tcPr>
            <w:tcW w:w="12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$ 8,075,517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8"/>
              </w:rPr>
              <w:t>15,268,680</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7"/>
              </w:rPr>
              <w:t>103,667,890</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100.00%</w:t>
            </w:r>
          </w:p>
        </w:tc>
      </w:tr>
      <w:tr>
        <w:trPr>
          <w:trHeight w:val="20"/>
        </w:trPr>
        <w:tc>
          <w:tcPr>
            <w:tcW w:w="3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gridSpan w:val="2"/>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Borders>
              <w:top w:val="single" w:sz="8" w:color="CCEEFF"/>
            </w:tcBorders>
            <w:gridSpan w:val="2"/>
          </w:tcPr>
          <w:p>
            <w:pPr>
              <w:spacing w:after="0" w:line="20" w:lineRule="exact"/>
              <w:rPr>
                <w:sz w:val="1"/>
                <w:szCs w:val="1"/>
                <w:color w:val="auto"/>
              </w:rPr>
            </w:pPr>
          </w:p>
        </w:tc>
        <w:tc>
          <w:tcPr>
            <w:tcW w:w="92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r>
        <w:trPr>
          <w:trHeight w:val="203"/>
        </w:trPr>
        <w:tc>
          <w:tcPr>
            <w:tcW w:w="3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3"/>
          </w:tcPr>
          <w:p>
            <w:pPr>
              <w:spacing w:after="0"/>
              <w:rPr>
                <w:sz w:val="17"/>
                <w:szCs w:val="17"/>
                <w:color w:val="auto"/>
              </w:rPr>
            </w:pPr>
          </w:p>
        </w:tc>
        <w:tc>
          <w:tcPr>
            <w:tcW w:w="3960" w:type="dxa"/>
            <w:vAlign w:val="bottom"/>
            <w:gridSpan w:val="11"/>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4"/>
        </w:trPr>
        <w:tc>
          <w:tcPr>
            <w:tcW w:w="6780" w:type="dxa"/>
            <w:vAlign w:val="bottom"/>
            <w:gridSpan w:val="16"/>
          </w:tcPr>
          <w:p>
            <w:pPr>
              <w:ind w:left="60"/>
              <w:spacing w:after="0"/>
              <w:rPr>
                <w:sz w:val="20"/>
                <w:szCs w:val="20"/>
                <w:color w:val="auto"/>
              </w:rPr>
            </w:pPr>
            <w:r>
              <w:rPr>
                <w:rFonts w:ascii="Times New Roman" w:cs="Times New Roman" w:eastAsia="Times New Roman" w:hAnsi="Times New Roman"/>
                <w:sz w:val="18"/>
                <w:szCs w:val="18"/>
                <w:color w:val="auto"/>
              </w:rPr>
              <w:t>(1) Includes residential mortgage loans in the process of foreclosure of $1,965,642</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95"/>
        </w:trPr>
        <w:tc>
          <w:tcPr>
            <w:tcW w:w="2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LTV:</w:t>
            </w: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8"/>
        </w:trPr>
        <w:tc>
          <w:tcPr>
            <w:tcW w:w="380" w:type="dxa"/>
            <w:vAlign w:val="bottom"/>
            <w:tcBorders>
              <w:top w:val="single" w:sz="8" w:color="auto"/>
            </w:tcBorders>
          </w:tcPr>
          <w:p>
            <w:pPr>
              <w:spacing w:after="0"/>
              <w:rPr>
                <w:sz w:val="4"/>
                <w:szCs w:val="4"/>
                <w:color w:val="auto"/>
              </w:rPr>
            </w:pPr>
          </w:p>
        </w:tc>
        <w:tc>
          <w:tcPr>
            <w:tcW w:w="1360" w:type="dxa"/>
            <w:vAlign w:val="bottom"/>
          </w:tcPr>
          <w:p>
            <w:pPr>
              <w:spacing w:after="0"/>
              <w:rPr>
                <w:sz w:val="4"/>
                <w:szCs w:val="4"/>
                <w:color w:val="auto"/>
              </w:rPr>
            </w:pPr>
          </w:p>
        </w:tc>
        <w:tc>
          <w:tcPr>
            <w:tcW w:w="480" w:type="dxa"/>
            <w:vAlign w:val="bottom"/>
          </w:tcPr>
          <w:p>
            <w:pPr>
              <w:spacing w:after="0"/>
              <w:rPr>
                <w:sz w:val="4"/>
                <w:szCs w:val="4"/>
                <w:color w:val="auto"/>
              </w:rPr>
            </w:pPr>
          </w:p>
        </w:tc>
        <w:tc>
          <w:tcPr>
            <w:tcW w:w="160" w:type="dxa"/>
            <w:vAlign w:val="bottom"/>
          </w:tcPr>
          <w:p>
            <w:pPr>
              <w:spacing w:after="0"/>
              <w:rPr>
                <w:sz w:val="4"/>
                <w:szCs w:val="4"/>
                <w:color w:val="auto"/>
              </w:rPr>
            </w:pPr>
          </w:p>
        </w:tc>
        <w:tc>
          <w:tcPr>
            <w:tcW w:w="440" w:type="dxa"/>
            <w:vAlign w:val="bottom"/>
          </w:tcPr>
          <w:p>
            <w:pPr>
              <w:spacing w:after="0"/>
              <w:rPr>
                <w:sz w:val="4"/>
                <w:szCs w:val="4"/>
                <w:color w:val="auto"/>
              </w:rPr>
            </w:pPr>
          </w:p>
        </w:tc>
        <w:tc>
          <w:tcPr>
            <w:tcW w:w="3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2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r>
      <w:tr>
        <w:trPr>
          <w:trHeight w:val="216"/>
        </w:trPr>
        <w:tc>
          <w:tcPr>
            <w:tcW w:w="2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than 65%</w:t>
            </w:r>
          </w:p>
        </w:tc>
        <w:tc>
          <w:tcPr>
            <w:tcW w:w="124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$ 1,196,344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3,388,129</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6,276,467</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5"/>
              </w:rPr>
              <w:t>$ 2,422,737</w:t>
            </w:r>
          </w:p>
        </w:tc>
        <w:tc>
          <w:tcPr>
            <w:tcW w:w="12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$ 2,343,791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6,296,278</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21,923,746</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21.15%</w:t>
            </w:r>
          </w:p>
        </w:tc>
      </w:tr>
      <w:tr>
        <w:trPr>
          <w:trHeight w:val="216"/>
        </w:trPr>
        <w:tc>
          <w:tcPr>
            <w:tcW w:w="2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65% to 80%</w:t>
            </w:r>
          </w:p>
        </w:tc>
        <w:tc>
          <w:tcPr>
            <w:tcW w:w="124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color w:val="auto"/>
              </w:rPr>
              <w:t>4,722,616</w:t>
            </w:r>
          </w:p>
        </w:tc>
        <w:tc>
          <w:tcPr>
            <w:tcW w:w="1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8"/>
              </w:rPr>
              <w:t>10,345,277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8"/>
              </w:rPr>
              <w:t>40,410,742</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3,134,505</w:t>
            </w:r>
          </w:p>
        </w:tc>
        <w:tc>
          <w:tcPr>
            <w:tcW w:w="12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3,829,636</w:t>
            </w:r>
          </w:p>
        </w:tc>
        <w:tc>
          <w:tcPr>
            <w:tcW w:w="1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7,013,035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69,455,811</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67.00%</w:t>
            </w:r>
          </w:p>
        </w:tc>
      </w:tr>
      <w:tr>
        <w:trPr>
          <w:trHeight w:val="237"/>
        </w:trPr>
        <w:tc>
          <w:tcPr>
            <w:tcW w:w="2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Greater than 80%</w:t>
            </w:r>
          </w:p>
        </w:tc>
        <w:tc>
          <w:tcPr>
            <w:tcW w:w="124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2,383,291</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4,577,880</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1,465,705</w:t>
            </w:r>
          </w:p>
        </w:tc>
        <w:tc>
          <w:tcPr>
            <w:tcW w:w="12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1,902,090</w:t>
            </w: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1,959,367</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12,288,333</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11.85%</w:t>
            </w:r>
          </w:p>
        </w:tc>
      </w:tr>
      <w:tr>
        <w:trPr>
          <w:trHeight w:val="243"/>
        </w:trPr>
        <w:tc>
          <w:tcPr>
            <w:tcW w:w="380" w:type="dxa"/>
            <w:vAlign w:val="bottom"/>
            <w:tcBorders>
              <w:top w:val="single" w:sz="8" w:color="CCEEFF"/>
            </w:tcBorders>
          </w:tcPr>
          <w:p>
            <w:pPr>
              <w:spacing w:after="0"/>
              <w:rPr>
                <w:sz w:val="21"/>
                <w:szCs w:val="21"/>
                <w:color w:val="auto"/>
              </w:rPr>
            </w:pPr>
          </w:p>
        </w:tc>
        <w:tc>
          <w:tcPr>
            <w:tcW w:w="1360" w:type="dxa"/>
            <w:vAlign w:val="bottom"/>
            <w:tcBorders>
              <w:top w:val="single" w:sz="8" w:color="CCEEFF"/>
            </w:tcBorders>
          </w:tcPr>
          <w:p>
            <w:pPr>
              <w:spacing w:after="0"/>
              <w:rPr>
                <w:sz w:val="21"/>
                <w:szCs w:val="21"/>
                <w:color w:val="auto"/>
              </w:rPr>
            </w:pPr>
          </w:p>
        </w:tc>
        <w:tc>
          <w:tcPr>
            <w:tcW w:w="480" w:type="dxa"/>
            <w:vAlign w:val="bottom"/>
            <w:tcBorders>
              <w:top w:val="single" w:sz="8" w:color="CCEEFF"/>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r>
      <w:tr>
        <w:trPr>
          <w:trHeight w:val="243"/>
        </w:trPr>
        <w:tc>
          <w:tcPr>
            <w:tcW w:w="2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24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$ 5,918,960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8"/>
              </w:rPr>
              <w:t>16,116,697</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w:t>
            </w: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8"/>
              </w:rPr>
              <w:t>51,265,089</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5"/>
              </w:rPr>
              <w:t>$ 7,022,947</w:t>
            </w:r>
          </w:p>
        </w:tc>
        <w:tc>
          <w:tcPr>
            <w:tcW w:w="12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$ 8,075,517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8"/>
              </w:rPr>
              <w:t>15,268,680</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7"/>
              </w:rPr>
              <w:t>103,667,890</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100.00%</w:t>
            </w:r>
          </w:p>
        </w:tc>
      </w:tr>
      <w:tr>
        <w:trPr>
          <w:trHeight w:val="20"/>
        </w:trPr>
        <w:tc>
          <w:tcPr>
            <w:tcW w:w="3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aggregate unpaid principal balance of residential mortgage loans by credit quality indicator and origination year was as follows as of December 31, 2023:</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 of</w:t>
            </w:r>
          </w:p>
        </w:tc>
      </w:tr>
      <w:tr>
        <w:trPr>
          <w:trHeight w:val="241"/>
        </w:trPr>
        <w:tc>
          <w:tcPr>
            <w:tcW w:w="222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Credit Quality Indicator</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2023</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2022</w:t>
            </w:r>
          </w:p>
        </w:tc>
        <w:tc>
          <w:tcPr>
            <w:tcW w:w="14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2021</w:t>
            </w:r>
          </w:p>
        </w:tc>
        <w:tc>
          <w:tcPr>
            <w:tcW w:w="260" w:type="dxa"/>
            <w:vAlign w:val="bottom"/>
          </w:tcPr>
          <w:p>
            <w:pPr>
              <w:spacing w:after="0"/>
              <w:rPr>
                <w:sz w:val="20"/>
                <w:szCs w:val="20"/>
                <w:color w:val="auto"/>
              </w:rPr>
            </w:pPr>
          </w:p>
        </w:tc>
        <w:tc>
          <w:tcPr>
            <w:tcW w:w="8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2020</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2019</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Prior</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Total</w:t>
            </w: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Total</w:t>
            </w:r>
          </w:p>
        </w:tc>
      </w:tr>
      <w:tr>
        <w:trPr>
          <w:trHeight w:val="196"/>
        </w:trPr>
        <w:tc>
          <w:tcPr>
            <w:tcW w:w="2220" w:type="dxa"/>
            <w:vAlign w:val="bottom"/>
            <w:tcBorders>
              <w:top w:val="single" w:sz="8" w:color="auto"/>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Performance Indicators:</w:t>
            </w: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r>
      <w:tr>
        <w:trPr>
          <w:trHeight w:val="216"/>
        </w:trPr>
        <w:tc>
          <w:tcPr>
            <w:tcW w:w="17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Performing</w:t>
            </w:r>
          </w:p>
        </w:tc>
        <w:tc>
          <w:tcPr>
            <w:tcW w:w="4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CCEEFF"/>
            </w:tcBorders>
            <w:gridSpan w:val="3"/>
          </w:tcPr>
          <w:p>
            <w:pPr>
              <w:jc w:val="right"/>
              <w:ind w:right="260"/>
              <w:spacing w:after="0"/>
              <w:rPr>
                <w:sz w:val="20"/>
                <w:szCs w:val="20"/>
                <w:color w:val="auto"/>
              </w:rPr>
            </w:pPr>
            <w:r>
              <w:rPr>
                <w:rFonts w:ascii="Times New Roman" w:cs="Times New Roman" w:eastAsia="Times New Roman" w:hAnsi="Times New Roman"/>
                <w:sz w:val="18"/>
                <w:szCs w:val="18"/>
                <w:color w:val="auto"/>
                <w:w w:val="98"/>
              </w:rPr>
              <w:t>15,337,828</w:t>
            </w:r>
          </w:p>
        </w:tc>
        <w:tc>
          <w:tcPr>
            <w:tcW w:w="1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CCEEFF"/>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8"/>
              </w:rPr>
              <w:t>53,875,389</w:t>
            </w:r>
          </w:p>
        </w:tc>
        <w:tc>
          <w:tcPr>
            <w:tcW w:w="1220" w:type="dxa"/>
            <w:vAlign w:val="bottom"/>
            <w:tcBorders>
              <w:top w:val="single" w:sz="8" w:color="CCEEFF"/>
            </w:tcBorders>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$ 7,156,934</w:t>
            </w:r>
          </w:p>
        </w:tc>
        <w:tc>
          <w:tcPr>
            <w:tcW w:w="960" w:type="dxa"/>
            <w:vAlign w:val="bottom"/>
            <w:tcBorders>
              <w:top w:val="single" w:sz="8" w:color="CCEEFF"/>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5"/>
              </w:rPr>
              <w:t>$ 7,453,796</w:t>
            </w:r>
          </w:p>
        </w:tc>
        <w:tc>
          <w:tcPr>
            <w:tcW w:w="240" w:type="dxa"/>
            <w:vAlign w:val="bottom"/>
            <w:tcBorders>
              <w:top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CCEEFF"/>
            </w:tcBorders>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7"/>
              </w:rPr>
              <w:t>2,786,562</w:t>
            </w:r>
          </w:p>
        </w:tc>
        <w:tc>
          <w:tcPr>
            <w:tcW w:w="1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CCEEFF"/>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8"/>
              </w:rPr>
              <w:t>12,040,357</w:t>
            </w:r>
          </w:p>
        </w:tc>
        <w:tc>
          <w:tcPr>
            <w:tcW w:w="240" w:type="dxa"/>
            <w:vAlign w:val="bottom"/>
            <w:tcBorders>
              <w:top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CCEEFF"/>
            </w:tcBorders>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98,650,866</w:t>
            </w:r>
          </w:p>
        </w:tc>
        <w:tc>
          <w:tcPr>
            <w:tcW w:w="800" w:type="dxa"/>
            <w:vAlign w:val="bottom"/>
            <w:tcBorders>
              <w:top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95.63%</w:t>
            </w:r>
          </w:p>
        </w:tc>
      </w:tr>
      <w:tr>
        <w:trPr>
          <w:trHeight w:val="236"/>
        </w:trPr>
        <w:tc>
          <w:tcPr>
            <w:tcW w:w="2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Non-performing (1)</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2,202,114</w:t>
            </w:r>
          </w:p>
        </w:tc>
        <w:tc>
          <w:tcPr>
            <w:tcW w:w="12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365,061</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613,101</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1,322,445</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4,502,721</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4.37%</w:t>
            </w:r>
          </w:p>
        </w:tc>
      </w:tr>
      <w:tr>
        <w:trPr>
          <w:trHeight w:val="243"/>
        </w:trPr>
        <w:tc>
          <w:tcPr>
            <w:tcW w:w="380" w:type="dxa"/>
            <w:vAlign w:val="bottom"/>
            <w:tcBorders>
              <w:top w:val="single" w:sz="8" w:color="CCEEFF"/>
            </w:tcBorders>
          </w:tcPr>
          <w:p>
            <w:pPr>
              <w:spacing w:after="0"/>
              <w:rPr>
                <w:sz w:val="21"/>
                <w:szCs w:val="21"/>
                <w:color w:val="auto"/>
              </w:rPr>
            </w:pPr>
          </w:p>
        </w:tc>
        <w:tc>
          <w:tcPr>
            <w:tcW w:w="1360" w:type="dxa"/>
            <w:vAlign w:val="bottom"/>
            <w:tcBorders>
              <w:top w:val="single" w:sz="8" w:color="CCEEFF"/>
            </w:tcBorders>
          </w:tcPr>
          <w:p>
            <w:pPr>
              <w:spacing w:after="0"/>
              <w:rPr>
                <w:sz w:val="21"/>
                <w:szCs w:val="21"/>
                <w:color w:val="auto"/>
              </w:rPr>
            </w:pPr>
          </w:p>
        </w:tc>
        <w:tc>
          <w:tcPr>
            <w:tcW w:w="480" w:type="dxa"/>
            <w:vAlign w:val="bottom"/>
            <w:tcBorders>
              <w:top w:val="single" w:sz="8" w:color="CCEEFF"/>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r>
      <w:tr>
        <w:trPr>
          <w:trHeight w:val="243"/>
        </w:trPr>
        <w:tc>
          <w:tcPr>
            <w:tcW w:w="2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10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8"/>
              </w:rPr>
              <w:t>15,337,828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8"/>
              </w:rPr>
              <w:t>56,077,503</w:t>
            </w:r>
          </w:p>
        </w:tc>
        <w:tc>
          <w:tcPr>
            <w:tcW w:w="12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$ 7,521,995</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5"/>
              </w:rPr>
              <w:t>$ 8,066,897</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7"/>
              </w:rPr>
              <w:t>2,786,562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8"/>
              </w:rPr>
              <w:t>13,362,802</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7"/>
              </w:rPr>
              <w:t>103,153,587</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100.00%</w:t>
            </w:r>
          </w:p>
        </w:tc>
      </w:tr>
      <w:tr>
        <w:trPr>
          <w:trHeight w:val="20"/>
        </w:trPr>
        <w:tc>
          <w:tcPr>
            <w:tcW w:w="3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gridSpan w:val="2"/>
          </w:tcPr>
          <w:p>
            <w:pPr>
              <w:spacing w:after="0" w:line="20" w:lineRule="exact"/>
              <w:rPr>
                <w:sz w:val="1"/>
                <w:szCs w:val="1"/>
                <w:color w:val="auto"/>
              </w:rPr>
            </w:pPr>
          </w:p>
        </w:tc>
        <w:tc>
          <w:tcPr>
            <w:tcW w:w="440" w:type="dxa"/>
            <w:vAlign w:val="bottom"/>
            <w:tcBorders>
              <w:top w:val="single" w:sz="8" w:color="auto"/>
              <w:bottom w:val="single" w:sz="8" w:color="auto"/>
            </w:tcBorders>
            <w:gridSpan w:val="2"/>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Borders>
              <w:top w:val="single" w:sz="8" w:color="CCEEFF"/>
            </w:tcBorders>
            <w:gridSpan w:val="2"/>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r>
        <w:trPr>
          <w:trHeight w:val="203"/>
        </w:trPr>
        <w:tc>
          <w:tcPr>
            <w:tcW w:w="3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4"/>
          </w:tcPr>
          <w:p>
            <w:pPr>
              <w:spacing w:after="0"/>
              <w:rPr>
                <w:sz w:val="17"/>
                <w:szCs w:val="17"/>
                <w:color w:val="auto"/>
              </w:rPr>
            </w:pPr>
          </w:p>
        </w:tc>
        <w:tc>
          <w:tcPr>
            <w:tcW w:w="3960" w:type="dxa"/>
            <w:vAlign w:val="bottom"/>
            <w:gridSpan w:val="10"/>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4"/>
        </w:trPr>
        <w:tc>
          <w:tcPr>
            <w:tcW w:w="6780" w:type="dxa"/>
            <w:vAlign w:val="bottom"/>
            <w:gridSpan w:val="16"/>
          </w:tcPr>
          <w:p>
            <w:pPr>
              <w:ind w:left="60"/>
              <w:spacing w:after="0"/>
              <w:rPr>
                <w:sz w:val="20"/>
                <w:szCs w:val="20"/>
                <w:color w:val="auto"/>
              </w:rPr>
            </w:pPr>
            <w:r>
              <w:rPr>
                <w:rFonts w:ascii="Times New Roman" w:cs="Times New Roman" w:eastAsia="Times New Roman" w:hAnsi="Times New Roman"/>
                <w:sz w:val="18"/>
                <w:szCs w:val="18"/>
                <w:color w:val="auto"/>
              </w:rPr>
              <w:t>(1) Includes residential mortgage loans in the process of foreclosure of $1,021,790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95"/>
        </w:trPr>
        <w:tc>
          <w:tcPr>
            <w:tcW w:w="2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LTV:</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8"/>
        </w:trPr>
        <w:tc>
          <w:tcPr>
            <w:tcW w:w="380" w:type="dxa"/>
            <w:vAlign w:val="bottom"/>
            <w:tcBorders>
              <w:top w:val="single" w:sz="8" w:color="auto"/>
            </w:tcBorders>
          </w:tcPr>
          <w:p>
            <w:pPr>
              <w:spacing w:after="0"/>
              <w:rPr>
                <w:sz w:val="4"/>
                <w:szCs w:val="4"/>
                <w:color w:val="auto"/>
              </w:rPr>
            </w:pPr>
          </w:p>
        </w:tc>
        <w:tc>
          <w:tcPr>
            <w:tcW w:w="1360" w:type="dxa"/>
            <w:vAlign w:val="bottom"/>
          </w:tcPr>
          <w:p>
            <w:pPr>
              <w:spacing w:after="0"/>
              <w:rPr>
                <w:sz w:val="4"/>
                <w:szCs w:val="4"/>
                <w:color w:val="auto"/>
              </w:rPr>
            </w:pPr>
          </w:p>
        </w:tc>
        <w:tc>
          <w:tcPr>
            <w:tcW w:w="4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4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2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r>
      <w:tr>
        <w:trPr>
          <w:trHeight w:val="216"/>
        </w:trPr>
        <w:tc>
          <w:tcPr>
            <w:tcW w:w="2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than 65%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3,280,144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7,049,522</w:t>
            </w:r>
          </w:p>
        </w:tc>
        <w:tc>
          <w:tcPr>
            <w:tcW w:w="12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$ 1,843,286</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5"/>
              </w:rPr>
              <w:t>$ 1,746,970</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446,675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5,206,095</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19,572,692</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18.97%</w:t>
            </w:r>
          </w:p>
        </w:tc>
      </w:tr>
      <w:tr>
        <w:trPr>
          <w:trHeight w:val="216"/>
        </w:trPr>
        <w:tc>
          <w:tcPr>
            <w:tcW w:w="2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65% to 80%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w w:val="98"/>
              </w:rPr>
              <w:t>10,962,770</w:t>
            </w:r>
          </w:p>
        </w:tc>
        <w:tc>
          <w:tcPr>
            <w:tcW w:w="1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8"/>
              </w:rPr>
              <w:t>44,371,320</w:t>
            </w:r>
          </w:p>
        </w:tc>
        <w:tc>
          <w:tcPr>
            <w:tcW w:w="12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4,269,894</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4,222,170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7"/>
              </w:rPr>
              <w:t>2,339,887</w:t>
            </w:r>
          </w:p>
        </w:tc>
        <w:tc>
          <w:tcPr>
            <w:tcW w:w="1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5,711,440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71,877,481</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69.68%</w:t>
            </w:r>
          </w:p>
        </w:tc>
      </w:tr>
      <w:tr>
        <w:trPr>
          <w:trHeight w:val="237"/>
        </w:trPr>
        <w:tc>
          <w:tcPr>
            <w:tcW w:w="2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Greater than 80%</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1,094,914</w:t>
            </w: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4,656,661</w:t>
            </w:r>
          </w:p>
        </w:tc>
        <w:tc>
          <w:tcPr>
            <w:tcW w:w="12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1,408,815</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2,097,757</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2,445,267</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11,703,414</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11.35%</w:t>
            </w:r>
          </w:p>
        </w:tc>
      </w:tr>
      <w:tr>
        <w:trPr>
          <w:trHeight w:val="243"/>
        </w:trPr>
        <w:tc>
          <w:tcPr>
            <w:tcW w:w="380" w:type="dxa"/>
            <w:vAlign w:val="bottom"/>
            <w:tcBorders>
              <w:top w:val="single" w:sz="8" w:color="CCEEFF"/>
            </w:tcBorders>
          </w:tcPr>
          <w:p>
            <w:pPr>
              <w:spacing w:after="0"/>
              <w:rPr>
                <w:sz w:val="21"/>
                <w:szCs w:val="21"/>
                <w:color w:val="auto"/>
              </w:rPr>
            </w:pPr>
          </w:p>
        </w:tc>
        <w:tc>
          <w:tcPr>
            <w:tcW w:w="1360" w:type="dxa"/>
            <w:vAlign w:val="bottom"/>
            <w:tcBorders>
              <w:top w:val="single" w:sz="8" w:color="CCEEFF"/>
            </w:tcBorders>
          </w:tcPr>
          <w:p>
            <w:pPr>
              <w:spacing w:after="0"/>
              <w:rPr>
                <w:sz w:val="21"/>
                <w:szCs w:val="21"/>
                <w:color w:val="auto"/>
              </w:rPr>
            </w:pPr>
          </w:p>
        </w:tc>
        <w:tc>
          <w:tcPr>
            <w:tcW w:w="480" w:type="dxa"/>
            <w:vAlign w:val="bottom"/>
            <w:tcBorders>
              <w:top w:val="single" w:sz="8" w:color="CCEEFF"/>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r>
      <w:tr>
        <w:trPr>
          <w:trHeight w:val="243"/>
        </w:trPr>
        <w:tc>
          <w:tcPr>
            <w:tcW w:w="2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10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8"/>
              </w:rPr>
              <w:t>15,337,828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8"/>
              </w:rPr>
              <w:t>56,077,503</w:t>
            </w:r>
          </w:p>
        </w:tc>
        <w:tc>
          <w:tcPr>
            <w:tcW w:w="12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$ 7,521,995</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5"/>
              </w:rPr>
              <w:t>$ 8,066,897</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7"/>
              </w:rPr>
              <w:t>2,786,562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8"/>
              </w:rPr>
              <w:t>13,362,802</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7"/>
              </w:rPr>
              <w:t>103,153,587</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100.00%</w:t>
            </w:r>
          </w:p>
        </w:tc>
      </w:tr>
      <w:tr>
        <w:trPr>
          <w:trHeight w:val="20"/>
        </w:trPr>
        <w:tc>
          <w:tcPr>
            <w:tcW w:w="3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r>
        <w:trPr>
          <w:trHeight w:val="419"/>
        </w:trPr>
        <w:tc>
          <w:tcPr>
            <w:tcW w:w="3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29</w:t>
            </w:r>
          </w:p>
        </w:tc>
        <w:tc>
          <w:tcPr>
            <w:tcW w:w="8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1" w:right="339" w:bottom="1440" w:gutter="0" w:footer="0" w:header="0"/>
        </w:sectPr>
      </w:pPr>
    </w:p>
    <w:bookmarkStart w:id="32" w:name="page33"/>
    <w:bookmarkEnd w:id="32"/>
    <w:p>
      <w:pPr>
        <w:ind w:left="2700"/>
        <w:spacing w:after="0"/>
        <w:rPr>
          <w:sz w:val="20"/>
          <w:szCs w:val="20"/>
          <w:color w:val="auto"/>
        </w:rPr>
      </w:pPr>
      <w:r>
        <w:rPr>
          <w:rFonts w:ascii="Times New Roman" w:cs="Times New Roman" w:eastAsia="Times New Roman" w:hAnsi="Times New Roman"/>
          <w:sz w:val="18"/>
          <w:szCs w:val="18"/>
          <w:color w:val="auto"/>
        </w:rPr>
        <w:t>SECURITY NATIONAL FINANCIAL CORPORATION AND SUBSIDIARIES</w:t>
      </w:r>
    </w:p>
    <w:p>
      <w:pPr>
        <w:spacing w:after="0" w:line="27"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p>
      <w:pPr>
        <w:spacing w:after="0" w:line="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June 30, 2024 (Unaudited)</w:t>
      </w:r>
    </w:p>
    <w:p>
      <w:pPr>
        <w:spacing w:after="0" w:line="207" w:lineRule="exact"/>
        <w:rPr>
          <w:sz w:val="20"/>
          <w:szCs w:val="20"/>
          <w:color w:val="auto"/>
        </w:rPr>
      </w:pPr>
    </w:p>
    <w:p>
      <w:pPr>
        <w:ind w:left="200" w:hanging="192"/>
        <w:spacing w:after="0"/>
        <w:tabs>
          <w:tab w:leader="none" w:pos="2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evaluates and monitors the credit quality of its residential construction loans (including land acquisition and development loans) by analyzing LTV and loan performance. Monitoring a residential construction mortgage loan increases when the loan is delinquent or earlier if there is an indication of impairment.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aggregate unpaid principal balance of residential construction mortgage loans by credit quality indicator and origination year was as follows as of June 30, 2024:</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 of</w:t>
            </w:r>
          </w:p>
        </w:tc>
      </w:tr>
      <w:tr>
        <w:trPr>
          <w:trHeight w:val="241"/>
        </w:trPr>
        <w:tc>
          <w:tcPr>
            <w:tcW w:w="380" w:type="dxa"/>
            <w:vAlign w:val="bottom"/>
          </w:tcPr>
          <w:p>
            <w:pPr>
              <w:spacing w:after="0"/>
              <w:rPr>
                <w:sz w:val="20"/>
                <w:szCs w:val="20"/>
                <w:color w:val="auto"/>
              </w:rPr>
            </w:pPr>
          </w:p>
        </w:tc>
        <w:tc>
          <w:tcPr>
            <w:tcW w:w="29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Credit Quality Indicator</w:t>
            </w: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Pr>
          <w:p>
            <w:pPr>
              <w:spacing w:after="0"/>
              <w:rPr>
                <w:sz w:val="20"/>
                <w:szCs w:val="20"/>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Pr>
          <w:p>
            <w:pPr>
              <w:spacing w:after="0"/>
              <w:rPr>
                <w:sz w:val="20"/>
                <w:szCs w:val="20"/>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Total</w:t>
            </w:r>
          </w:p>
        </w:tc>
      </w:tr>
      <w:tr>
        <w:trPr>
          <w:trHeight w:val="196"/>
        </w:trPr>
        <w:tc>
          <w:tcPr>
            <w:tcW w:w="3280" w:type="dxa"/>
            <w:vAlign w:val="bottom"/>
            <w:tcBorders>
              <w:top w:val="single" w:sz="8" w:color="auto"/>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Performance Indicators:</w:t>
            </w:r>
          </w:p>
        </w:tc>
        <w:tc>
          <w:tcPr>
            <w:tcW w:w="18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r>
      <w:tr>
        <w:trPr>
          <w:trHeight w:val="216"/>
        </w:trPr>
        <w:tc>
          <w:tcPr>
            <w:tcW w:w="17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Performing</w:t>
            </w:r>
          </w:p>
        </w:tc>
        <w:tc>
          <w:tcPr>
            <w:tcW w:w="154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$60,704,074</w:t>
            </w:r>
          </w:p>
        </w:tc>
        <w:tc>
          <w:tcPr>
            <w:tcW w:w="1160" w:type="dxa"/>
            <w:vAlign w:val="bottom"/>
            <w:tcBorders>
              <w:top w:val="single" w:sz="8" w:color="CCEEFF"/>
            </w:tcBorders>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$35,864,948</w:t>
            </w:r>
          </w:p>
        </w:tc>
        <w:tc>
          <w:tcPr>
            <w:tcW w:w="1080" w:type="dxa"/>
            <w:vAlign w:val="bottom"/>
            <w:tcBorders>
              <w:top w:val="single" w:sz="8" w:color="CCEEFF"/>
            </w:tcBorders>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$4,585,632</w:t>
            </w:r>
          </w:p>
        </w:tc>
        <w:tc>
          <w:tcPr>
            <w:tcW w:w="1160" w:type="dxa"/>
            <w:vAlign w:val="bottom"/>
            <w:tcBorders>
              <w:top w:val="single" w:sz="8" w:color="CCEEFF"/>
            </w:tcBorders>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$11,417,059</w:t>
            </w:r>
          </w:p>
        </w:tc>
        <w:tc>
          <w:tcPr>
            <w:tcW w:w="240" w:type="dxa"/>
            <w:vAlign w:val="bottom"/>
            <w:tcBorders>
              <w:top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CCEEFF"/>
            </w:tcBorders>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7"/>
              </w:rPr>
              <w:t>112,571,713</w:t>
            </w:r>
          </w:p>
        </w:tc>
        <w:tc>
          <w:tcPr>
            <w:tcW w:w="84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100.00%</w:t>
            </w:r>
          </w:p>
        </w:tc>
      </w:tr>
      <w:tr>
        <w:trPr>
          <w:trHeight w:val="236"/>
        </w:trPr>
        <w:tc>
          <w:tcPr>
            <w:tcW w:w="3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Non-performing</w:t>
            </w:r>
          </w:p>
        </w:tc>
        <w:tc>
          <w:tcPr>
            <w:tcW w:w="12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r>
      <w:tr>
        <w:trPr>
          <w:trHeight w:val="243"/>
        </w:trPr>
        <w:tc>
          <w:tcPr>
            <w:tcW w:w="380" w:type="dxa"/>
            <w:vAlign w:val="bottom"/>
            <w:tcBorders>
              <w:top w:val="single" w:sz="8" w:color="CCEEFF"/>
            </w:tcBorders>
          </w:tcPr>
          <w:p>
            <w:pPr>
              <w:spacing w:after="0"/>
              <w:rPr>
                <w:sz w:val="21"/>
                <w:szCs w:val="21"/>
                <w:color w:val="auto"/>
              </w:rPr>
            </w:pPr>
          </w:p>
        </w:tc>
        <w:tc>
          <w:tcPr>
            <w:tcW w:w="1360" w:type="dxa"/>
            <w:vAlign w:val="bottom"/>
            <w:tcBorders>
              <w:top w:val="single" w:sz="8" w:color="CCEEFF"/>
            </w:tcBorders>
          </w:tcPr>
          <w:p>
            <w:pPr>
              <w:spacing w:after="0"/>
              <w:rPr>
                <w:sz w:val="21"/>
                <w:szCs w:val="21"/>
                <w:color w:val="auto"/>
              </w:rPr>
            </w:pPr>
          </w:p>
        </w:tc>
        <w:tc>
          <w:tcPr>
            <w:tcW w:w="154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r>
      <w:tr>
        <w:trPr>
          <w:trHeight w:val="243"/>
        </w:trPr>
        <w:tc>
          <w:tcPr>
            <w:tcW w:w="3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2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60,704,074</w:t>
            </w:r>
          </w:p>
        </w:tc>
        <w:tc>
          <w:tcPr>
            <w:tcW w:w="11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35,864,948</w:t>
            </w:r>
          </w:p>
        </w:tc>
        <w:tc>
          <w:tcPr>
            <w:tcW w:w="10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4,585,632</w:t>
            </w:r>
          </w:p>
        </w:tc>
        <w:tc>
          <w:tcPr>
            <w:tcW w:w="11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11,417,059</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7"/>
              </w:rPr>
              <w:t>112,571,713</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r>
      <w:tr>
        <w:trPr>
          <w:trHeight w:val="20"/>
        </w:trPr>
        <w:tc>
          <w:tcPr>
            <w:tcW w:w="3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r>
        <w:trPr>
          <w:trHeight w:val="197"/>
        </w:trPr>
        <w:tc>
          <w:tcPr>
            <w:tcW w:w="3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196"/>
        </w:trPr>
        <w:tc>
          <w:tcPr>
            <w:tcW w:w="380" w:type="dxa"/>
            <w:vAlign w:val="bottom"/>
            <w:tcBorders>
              <w:bottom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w w:val="89"/>
              </w:rPr>
              <w:t>LTV:</w:t>
            </w:r>
          </w:p>
        </w:tc>
        <w:tc>
          <w:tcPr>
            <w:tcW w:w="2900" w:type="dxa"/>
            <w:vAlign w:val="bottom"/>
            <w:tcBorders>
              <w:bottom w:val="single" w:sz="8" w:color="CCEEFF"/>
            </w:tcBorders>
            <w:gridSpan w:val="2"/>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r>
      <w:tr>
        <w:trPr>
          <w:trHeight w:val="216"/>
        </w:trPr>
        <w:tc>
          <w:tcPr>
            <w:tcW w:w="3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Less than 65%</w:t>
            </w:r>
          </w:p>
        </w:tc>
        <w:tc>
          <w:tcPr>
            <w:tcW w:w="12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$18,845,154</w:t>
            </w:r>
          </w:p>
        </w:tc>
        <w:tc>
          <w:tcPr>
            <w:tcW w:w="11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$26,531,552</w:t>
            </w:r>
          </w:p>
        </w:tc>
        <w:tc>
          <w:tcPr>
            <w:tcW w:w="10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$3,038,388</w:t>
            </w:r>
          </w:p>
        </w:tc>
        <w:tc>
          <w:tcPr>
            <w:tcW w:w="11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$11,417,059</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59,832,153</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53.15%</w:t>
            </w:r>
          </w:p>
        </w:tc>
      </w:tr>
      <w:tr>
        <w:trPr>
          <w:trHeight w:val="216"/>
        </w:trPr>
        <w:tc>
          <w:tcPr>
            <w:tcW w:w="3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65% to 80%</w:t>
            </w:r>
          </w:p>
        </w:tc>
        <w:tc>
          <w:tcPr>
            <w:tcW w:w="12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41,858,920</w:t>
            </w:r>
          </w:p>
        </w:tc>
        <w:tc>
          <w:tcPr>
            <w:tcW w:w="11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9,333,396</w:t>
            </w:r>
          </w:p>
        </w:tc>
        <w:tc>
          <w:tcPr>
            <w:tcW w:w="10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1,547,244</w:t>
            </w:r>
          </w:p>
        </w:tc>
        <w:tc>
          <w:tcPr>
            <w:tcW w:w="11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52,739,560</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46.85%</w:t>
            </w:r>
          </w:p>
        </w:tc>
      </w:tr>
      <w:tr>
        <w:trPr>
          <w:trHeight w:val="237"/>
        </w:trPr>
        <w:tc>
          <w:tcPr>
            <w:tcW w:w="3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Greater than 80%</w:t>
            </w:r>
          </w:p>
        </w:tc>
        <w:tc>
          <w:tcPr>
            <w:tcW w:w="12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0.00%</w:t>
            </w:r>
          </w:p>
        </w:tc>
      </w:tr>
      <w:tr>
        <w:trPr>
          <w:trHeight w:val="243"/>
        </w:trPr>
        <w:tc>
          <w:tcPr>
            <w:tcW w:w="380" w:type="dxa"/>
            <w:vAlign w:val="bottom"/>
            <w:tcBorders>
              <w:top w:val="single" w:sz="8" w:color="CCEEFF"/>
            </w:tcBorders>
            <w:shd w:val="clear" w:color="auto" w:fill="CCEEFF"/>
          </w:tcPr>
          <w:p>
            <w:pPr>
              <w:spacing w:after="0"/>
              <w:rPr>
                <w:sz w:val="21"/>
                <w:szCs w:val="21"/>
                <w:color w:val="auto"/>
              </w:rPr>
            </w:pPr>
          </w:p>
        </w:tc>
        <w:tc>
          <w:tcPr>
            <w:tcW w:w="1360" w:type="dxa"/>
            <w:vAlign w:val="bottom"/>
            <w:tcBorders>
              <w:top w:val="single" w:sz="8" w:color="CCEEFF"/>
            </w:tcBorders>
            <w:shd w:val="clear" w:color="auto" w:fill="CCEEFF"/>
          </w:tcPr>
          <w:p>
            <w:pPr>
              <w:spacing w:after="0"/>
              <w:rPr>
                <w:sz w:val="21"/>
                <w:szCs w:val="21"/>
                <w:color w:val="auto"/>
              </w:rPr>
            </w:pPr>
          </w:p>
        </w:tc>
        <w:tc>
          <w:tcPr>
            <w:tcW w:w="154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CCEEFF"/>
            </w:tcBorders>
            <w:shd w:val="clear" w:color="auto" w:fill="CCEEFF"/>
          </w:tcPr>
          <w:p>
            <w:pPr>
              <w:spacing w:after="0"/>
              <w:rPr>
                <w:sz w:val="21"/>
                <w:szCs w:val="21"/>
                <w:color w:val="auto"/>
              </w:rPr>
            </w:pPr>
          </w:p>
        </w:tc>
        <w:tc>
          <w:tcPr>
            <w:tcW w:w="90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CCEEFF"/>
            </w:tcBorders>
            <w:shd w:val="clear" w:color="auto" w:fill="CCEEFF"/>
          </w:tcPr>
          <w:p>
            <w:pPr>
              <w:spacing w:after="0"/>
              <w:rPr>
                <w:sz w:val="21"/>
                <w:szCs w:val="21"/>
                <w:color w:val="auto"/>
              </w:rPr>
            </w:pPr>
          </w:p>
        </w:tc>
        <w:tc>
          <w:tcPr>
            <w:tcW w:w="90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CCEEFF"/>
            </w:tcBorders>
            <w:shd w:val="clear" w:color="auto" w:fill="CCEEFF"/>
          </w:tcPr>
          <w:p>
            <w:pPr>
              <w:spacing w:after="0"/>
              <w:rPr>
                <w:sz w:val="21"/>
                <w:szCs w:val="21"/>
                <w:color w:val="auto"/>
              </w:rPr>
            </w:pPr>
          </w:p>
        </w:tc>
        <w:tc>
          <w:tcPr>
            <w:tcW w:w="82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CCEEFF"/>
            </w:tcBorders>
            <w:shd w:val="clear" w:color="auto" w:fill="CCEEFF"/>
          </w:tcPr>
          <w:p>
            <w:pPr>
              <w:spacing w:after="0"/>
              <w:rPr>
                <w:sz w:val="21"/>
                <w:szCs w:val="21"/>
                <w:color w:val="auto"/>
              </w:rPr>
            </w:pPr>
          </w:p>
        </w:tc>
        <w:tc>
          <w:tcPr>
            <w:tcW w:w="90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900" w:type="dxa"/>
            <w:vAlign w:val="bottom"/>
            <w:tcBorders>
              <w:top w:val="single" w:sz="8" w:color="auto"/>
            </w:tcBorders>
            <w:shd w:val="clear" w:color="auto" w:fill="CCEEFF"/>
          </w:tcPr>
          <w:p>
            <w:pPr>
              <w:spacing w:after="0"/>
              <w:rPr>
                <w:sz w:val="21"/>
                <w:szCs w:val="21"/>
                <w:color w:val="auto"/>
              </w:rPr>
            </w:pPr>
          </w:p>
        </w:tc>
        <w:tc>
          <w:tcPr>
            <w:tcW w:w="240" w:type="dxa"/>
            <w:vAlign w:val="bottom"/>
            <w:tcBorders>
              <w:top w:val="single" w:sz="8" w:color="CCEEFF"/>
            </w:tcBorders>
            <w:shd w:val="clear" w:color="auto" w:fill="CCEEFF"/>
          </w:tcPr>
          <w:p>
            <w:pPr>
              <w:spacing w:after="0"/>
              <w:rPr>
                <w:sz w:val="21"/>
                <w:szCs w:val="21"/>
                <w:color w:val="auto"/>
              </w:rPr>
            </w:pPr>
          </w:p>
        </w:tc>
        <w:tc>
          <w:tcPr>
            <w:tcW w:w="680" w:type="dxa"/>
            <w:vAlign w:val="bottom"/>
            <w:tcBorders>
              <w:top w:val="single" w:sz="8" w:color="auto"/>
            </w:tcBorders>
            <w:shd w:val="clear" w:color="auto" w:fill="CCEEFF"/>
          </w:tcPr>
          <w:p>
            <w:pPr>
              <w:spacing w:after="0"/>
              <w:rPr>
                <w:sz w:val="21"/>
                <w:szCs w:val="21"/>
                <w:color w:val="auto"/>
              </w:rPr>
            </w:pPr>
          </w:p>
        </w:tc>
        <w:tc>
          <w:tcPr>
            <w:tcW w:w="160" w:type="dxa"/>
            <w:vAlign w:val="bottom"/>
            <w:tcBorders>
              <w:top w:val="single" w:sz="8" w:color="CCEEFF"/>
            </w:tcBorders>
            <w:shd w:val="clear" w:color="auto" w:fill="CCEEFF"/>
          </w:tcPr>
          <w:p>
            <w:pPr>
              <w:spacing w:after="0"/>
              <w:rPr>
                <w:sz w:val="21"/>
                <w:szCs w:val="21"/>
                <w:color w:val="auto"/>
              </w:rPr>
            </w:pPr>
          </w:p>
        </w:tc>
      </w:tr>
      <w:tr>
        <w:trPr>
          <w:trHeight w:val="243"/>
        </w:trPr>
        <w:tc>
          <w:tcPr>
            <w:tcW w:w="3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w:t>
            </w:r>
          </w:p>
        </w:tc>
        <w:tc>
          <w:tcPr>
            <w:tcW w:w="12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60,704,074</w:t>
            </w:r>
          </w:p>
        </w:tc>
        <w:tc>
          <w:tcPr>
            <w:tcW w:w="11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35,864,948</w:t>
            </w:r>
          </w:p>
        </w:tc>
        <w:tc>
          <w:tcPr>
            <w:tcW w:w="10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4,585,632</w:t>
            </w:r>
          </w:p>
        </w:tc>
        <w:tc>
          <w:tcPr>
            <w:tcW w:w="11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11,417,059</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7"/>
              </w:rPr>
              <w:t>112,571,713</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100.00%</w:t>
            </w:r>
          </w:p>
        </w:tc>
      </w:tr>
      <w:tr>
        <w:trPr>
          <w:trHeight w:val="20"/>
        </w:trPr>
        <w:tc>
          <w:tcPr>
            <w:tcW w:w="3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aggregate unpaid principal balance of residential construction mortgage loans by credit quality indicator and origination year was as follows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80" w:type="dxa"/>
            <w:vAlign w:val="bottom"/>
          </w:tcPr>
          <w:p>
            <w:pPr>
              <w:spacing w:after="0"/>
              <w:rPr>
                <w:sz w:val="20"/>
                <w:szCs w:val="20"/>
                <w:color w:val="auto"/>
              </w:rPr>
            </w:pPr>
          </w:p>
        </w:tc>
        <w:tc>
          <w:tcPr>
            <w:tcW w:w="31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Credit Quality Indicator</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2023</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2022</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2021</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Total</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 of Total</w:t>
            </w:r>
          </w:p>
        </w:tc>
        <w:tc>
          <w:tcPr>
            <w:tcW w:w="1140" w:type="dxa"/>
            <w:vAlign w:val="bottom"/>
          </w:tcPr>
          <w:p>
            <w:pPr>
              <w:spacing w:after="0"/>
              <w:rPr>
                <w:sz w:val="20"/>
                <w:szCs w:val="20"/>
                <w:color w:val="auto"/>
              </w:rPr>
            </w:pPr>
          </w:p>
        </w:tc>
      </w:tr>
      <w:tr>
        <w:trPr>
          <w:trHeight w:val="196"/>
        </w:trPr>
        <w:tc>
          <w:tcPr>
            <w:tcW w:w="3540" w:type="dxa"/>
            <w:vAlign w:val="bottom"/>
            <w:tcBorders>
              <w:top w:val="single" w:sz="8" w:color="auto"/>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Performance Indicators:</w:t>
            </w: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140" w:type="dxa"/>
            <w:vAlign w:val="bottom"/>
          </w:tcPr>
          <w:p>
            <w:pPr>
              <w:spacing w:after="0"/>
              <w:rPr>
                <w:sz w:val="17"/>
                <w:szCs w:val="17"/>
                <w:color w:val="auto"/>
              </w:rPr>
            </w:pPr>
          </w:p>
        </w:tc>
      </w:tr>
      <w:tr>
        <w:trPr>
          <w:trHeight w:val="216"/>
        </w:trPr>
        <w:tc>
          <w:tcPr>
            <w:tcW w:w="17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Performing</w:t>
            </w:r>
          </w:p>
        </w:tc>
        <w:tc>
          <w:tcPr>
            <w:tcW w:w="18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CCEEFF"/>
            </w:tcBorders>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60,311,679</w:t>
            </w:r>
          </w:p>
        </w:tc>
        <w:tc>
          <w:tcPr>
            <w:tcW w:w="1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CCEEFF"/>
            </w:tcBorders>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16,624,182</w:t>
            </w:r>
          </w:p>
        </w:tc>
        <w:tc>
          <w:tcPr>
            <w:tcW w:w="1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CCEEFF"/>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27,116,887</w:t>
            </w:r>
          </w:p>
        </w:tc>
        <w:tc>
          <w:tcPr>
            <w:tcW w:w="24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CCEEFF"/>
            </w:tcBorders>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97"/>
              </w:rPr>
              <w:t>104,052,748</w:t>
            </w:r>
          </w:p>
        </w:tc>
        <w:tc>
          <w:tcPr>
            <w:tcW w:w="116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140" w:type="dxa"/>
            <w:vAlign w:val="bottom"/>
          </w:tcPr>
          <w:p>
            <w:pPr>
              <w:spacing w:after="0"/>
              <w:rPr>
                <w:sz w:val="18"/>
                <w:szCs w:val="18"/>
                <w:color w:val="auto"/>
              </w:rPr>
            </w:pPr>
          </w:p>
        </w:tc>
      </w:tr>
      <w:tr>
        <w:trPr>
          <w:trHeight w:val="237"/>
        </w:trPr>
        <w:tc>
          <w:tcPr>
            <w:tcW w:w="3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Non-performing</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140" w:type="dxa"/>
            <w:vAlign w:val="bottom"/>
          </w:tcPr>
          <w:p>
            <w:pPr>
              <w:spacing w:after="0"/>
              <w:rPr>
                <w:sz w:val="20"/>
                <w:szCs w:val="20"/>
                <w:color w:val="auto"/>
              </w:rPr>
            </w:pPr>
          </w:p>
        </w:tc>
      </w:tr>
      <w:tr>
        <w:trPr>
          <w:trHeight w:val="243"/>
        </w:trPr>
        <w:tc>
          <w:tcPr>
            <w:tcW w:w="380" w:type="dxa"/>
            <w:vAlign w:val="bottom"/>
            <w:tcBorders>
              <w:top w:val="single" w:sz="8" w:color="CCEEFF"/>
            </w:tcBorders>
          </w:tcPr>
          <w:p>
            <w:pPr>
              <w:spacing w:after="0"/>
              <w:rPr>
                <w:sz w:val="21"/>
                <w:szCs w:val="21"/>
                <w:color w:val="auto"/>
              </w:rPr>
            </w:pPr>
          </w:p>
        </w:tc>
        <w:tc>
          <w:tcPr>
            <w:tcW w:w="1360" w:type="dxa"/>
            <w:vAlign w:val="bottom"/>
            <w:tcBorders>
              <w:top w:val="single" w:sz="8" w:color="CCEEFF"/>
            </w:tcBorders>
          </w:tcPr>
          <w:p>
            <w:pPr>
              <w:spacing w:after="0"/>
              <w:rPr>
                <w:sz w:val="21"/>
                <w:szCs w:val="21"/>
                <w:color w:val="auto"/>
              </w:rPr>
            </w:pPr>
          </w:p>
        </w:tc>
        <w:tc>
          <w:tcPr>
            <w:tcW w:w="1800" w:type="dxa"/>
            <w:vAlign w:val="bottom"/>
            <w:tcBorders>
              <w:top w:val="single" w:sz="8" w:color="CCEEFF"/>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300" w:type="dxa"/>
            <w:vAlign w:val="bottom"/>
            <w:tcBorders>
              <w:top w:val="single" w:sz="8" w:color="CCEEFF"/>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280" w:type="dxa"/>
            <w:vAlign w:val="bottom"/>
            <w:tcBorders>
              <w:top w:val="single" w:sz="8" w:color="CCEEFF"/>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280" w:type="dxa"/>
            <w:vAlign w:val="bottom"/>
            <w:tcBorders>
              <w:top w:val="single" w:sz="8" w:color="CCEEFF"/>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1140" w:type="dxa"/>
            <w:vAlign w:val="bottom"/>
          </w:tcPr>
          <w:p>
            <w:pPr>
              <w:spacing w:after="0"/>
              <w:rPr>
                <w:sz w:val="21"/>
                <w:szCs w:val="21"/>
                <w:color w:val="auto"/>
              </w:rPr>
            </w:pPr>
          </w:p>
        </w:tc>
      </w:tr>
      <w:tr>
        <w:trPr>
          <w:trHeight w:val="243"/>
        </w:trPr>
        <w:tc>
          <w:tcPr>
            <w:tcW w:w="3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60,311,679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16,624,182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27,116,887</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97"/>
              </w:rPr>
              <w:t>104,052,748</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140" w:type="dxa"/>
            <w:vAlign w:val="bottom"/>
          </w:tcPr>
          <w:p>
            <w:pPr>
              <w:spacing w:after="0"/>
              <w:rPr>
                <w:sz w:val="21"/>
                <w:szCs w:val="21"/>
                <w:color w:val="auto"/>
              </w:rPr>
            </w:pPr>
          </w:p>
        </w:tc>
      </w:tr>
      <w:tr>
        <w:trPr>
          <w:trHeight w:val="20"/>
        </w:trPr>
        <w:tc>
          <w:tcPr>
            <w:tcW w:w="3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7"/>
        </w:trPr>
        <w:tc>
          <w:tcPr>
            <w:tcW w:w="3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96"/>
        </w:trPr>
        <w:tc>
          <w:tcPr>
            <w:tcW w:w="380" w:type="dxa"/>
            <w:vAlign w:val="bottom"/>
            <w:tcBorders>
              <w:bottom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w w:val="89"/>
              </w:rPr>
              <w:t>LTV:</w:t>
            </w:r>
          </w:p>
        </w:tc>
        <w:tc>
          <w:tcPr>
            <w:tcW w:w="3160" w:type="dxa"/>
            <w:vAlign w:val="bottom"/>
            <w:tcBorders>
              <w:bottom w:val="single" w:sz="8" w:color="CCEEFF"/>
            </w:tcBorders>
            <w:gridSpan w:val="2"/>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40" w:type="dxa"/>
            <w:vAlign w:val="bottom"/>
          </w:tcPr>
          <w:p>
            <w:pPr>
              <w:spacing w:after="0"/>
              <w:rPr>
                <w:sz w:val="17"/>
                <w:szCs w:val="17"/>
                <w:color w:val="auto"/>
              </w:rPr>
            </w:pPr>
          </w:p>
        </w:tc>
      </w:tr>
      <w:tr>
        <w:trPr>
          <w:trHeight w:val="216"/>
        </w:trPr>
        <w:tc>
          <w:tcPr>
            <w:tcW w:w="3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Less than 65%</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40,215,360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8,732,500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20,442,302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69,390,162</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66.69%</w:t>
            </w:r>
          </w:p>
        </w:tc>
        <w:tc>
          <w:tcPr>
            <w:tcW w:w="1140" w:type="dxa"/>
            <w:vAlign w:val="bottom"/>
          </w:tcPr>
          <w:p>
            <w:pPr>
              <w:spacing w:after="0"/>
              <w:rPr>
                <w:sz w:val="18"/>
                <w:szCs w:val="18"/>
                <w:color w:val="auto"/>
              </w:rPr>
            </w:pPr>
          </w:p>
        </w:tc>
      </w:tr>
      <w:tr>
        <w:trPr>
          <w:trHeight w:val="216"/>
        </w:trPr>
        <w:tc>
          <w:tcPr>
            <w:tcW w:w="3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65% to 80%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20,096,319</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7,891,682</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6,674,585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34,662,586</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33.31%</w:t>
            </w:r>
          </w:p>
        </w:tc>
        <w:tc>
          <w:tcPr>
            <w:tcW w:w="1140" w:type="dxa"/>
            <w:vAlign w:val="bottom"/>
          </w:tcPr>
          <w:p>
            <w:pPr>
              <w:spacing w:after="0"/>
              <w:rPr>
                <w:sz w:val="18"/>
                <w:szCs w:val="18"/>
                <w:color w:val="auto"/>
              </w:rPr>
            </w:pPr>
          </w:p>
        </w:tc>
      </w:tr>
      <w:tr>
        <w:trPr>
          <w:trHeight w:val="236"/>
        </w:trPr>
        <w:tc>
          <w:tcPr>
            <w:tcW w:w="3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Greater than 80%</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140" w:type="dxa"/>
            <w:vAlign w:val="bottom"/>
          </w:tcPr>
          <w:p>
            <w:pPr>
              <w:spacing w:after="0"/>
              <w:rPr>
                <w:sz w:val="20"/>
                <w:szCs w:val="20"/>
                <w:color w:val="auto"/>
              </w:rPr>
            </w:pPr>
          </w:p>
        </w:tc>
      </w:tr>
      <w:tr>
        <w:trPr>
          <w:trHeight w:val="243"/>
        </w:trPr>
        <w:tc>
          <w:tcPr>
            <w:tcW w:w="380" w:type="dxa"/>
            <w:vAlign w:val="bottom"/>
            <w:tcBorders>
              <w:top w:val="single" w:sz="8" w:color="CCEEFF"/>
            </w:tcBorders>
            <w:shd w:val="clear" w:color="auto" w:fill="CCEEFF"/>
          </w:tcPr>
          <w:p>
            <w:pPr>
              <w:spacing w:after="0"/>
              <w:rPr>
                <w:sz w:val="21"/>
                <w:szCs w:val="21"/>
                <w:color w:val="auto"/>
              </w:rPr>
            </w:pPr>
          </w:p>
        </w:tc>
        <w:tc>
          <w:tcPr>
            <w:tcW w:w="1360" w:type="dxa"/>
            <w:vAlign w:val="bottom"/>
            <w:tcBorders>
              <w:top w:val="single" w:sz="8" w:color="CCEEFF"/>
            </w:tcBorders>
            <w:shd w:val="clear" w:color="auto" w:fill="CCEEFF"/>
          </w:tcPr>
          <w:p>
            <w:pPr>
              <w:spacing w:after="0"/>
              <w:rPr>
                <w:sz w:val="21"/>
                <w:szCs w:val="21"/>
                <w:color w:val="auto"/>
              </w:rPr>
            </w:pPr>
          </w:p>
        </w:tc>
        <w:tc>
          <w:tcPr>
            <w:tcW w:w="18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880" w:type="dxa"/>
            <w:vAlign w:val="bottom"/>
            <w:tcBorders>
              <w:top w:val="single" w:sz="8" w:color="auto"/>
            </w:tcBorders>
            <w:shd w:val="clear" w:color="auto" w:fill="CCEEFF"/>
          </w:tcPr>
          <w:p>
            <w:pPr>
              <w:spacing w:after="0"/>
              <w:rPr>
                <w:sz w:val="21"/>
                <w:szCs w:val="21"/>
                <w:color w:val="auto"/>
              </w:rPr>
            </w:pPr>
          </w:p>
        </w:tc>
        <w:tc>
          <w:tcPr>
            <w:tcW w:w="3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860" w:type="dxa"/>
            <w:vAlign w:val="bottom"/>
            <w:tcBorders>
              <w:top w:val="single" w:sz="8" w:color="auto"/>
            </w:tcBorders>
            <w:shd w:val="clear" w:color="auto" w:fill="CCEEFF"/>
          </w:tcPr>
          <w:p>
            <w:pPr>
              <w:spacing w:after="0"/>
              <w:rPr>
                <w:sz w:val="21"/>
                <w:szCs w:val="21"/>
                <w:color w:val="auto"/>
              </w:rPr>
            </w:pPr>
          </w:p>
        </w:tc>
        <w:tc>
          <w:tcPr>
            <w:tcW w:w="28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860" w:type="dxa"/>
            <w:vAlign w:val="bottom"/>
            <w:tcBorders>
              <w:top w:val="single" w:sz="8" w:color="auto"/>
            </w:tcBorders>
            <w:shd w:val="clear" w:color="auto" w:fill="CCEEFF"/>
          </w:tcPr>
          <w:p>
            <w:pPr>
              <w:spacing w:after="0"/>
              <w:rPr>
                <w:sz w:val="21"/>
                <w:szCs w:val="21"/>
                <w:color w:val="auto"/>
              </w:rPr>
            </w:pPr>
          </w:p>
        </w:tc>
        <w:tc>
          <w:tcPr>
            <w:tcW w:w="14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900" w:type="dxa"/>
            <w:vAlign w:val="bottom"/>
            <w:tcBorders>
              <w:top w:val="single" w:sz="8" w:color="auto"/>
            </w:tcBorders>
            <w:shd w:val="clear" w:color="auto" w:fill="CCEEFF"/>
          </w:tcPr>
          <w:p>
            <w:pPr>
              <w:spacing w:after="0"/>
              <w:rPr>
                <w:sz w:val="21"/>
                <w:szCs w:val="21"/>
                <w:color w:val="auto"/>
              </w:rPr>
            </w:pPr>
          </w:p>
        </w:tc>
        <w:tc>
          <w:tcPr>
            <w:tcW w:w="280" w:type="dxa"/>
            <w:vAlign w:val="bottom"/>
            <w:tcBorders>
              <w:top w:val="single" w:sz="8" w:color="CCEEFF"/>
            </w:tcBorders>
            <w:shd w:val="clear" w:color="auto" w:fill="CCEEFF"/>
          </w:tcPr>
          <w:p>
            <w:pPr>
              <w:spacing w:after="0"/>
              <w:rPr>
                <w:sz w:val="21"/>
                <w:szCs w:val="21"/>
                <w:color w:val="auto"/>
              </w:rPr>
            </w:pPr>
          </w:p>
        </w:tc>
        <w:tc>
          <w:tcPr>
            <w:tcW w:w="1000" w:type="dxa"/>
            <w:vAlign w:val="bottom"/>
            <w:tcBorders>
              <w:top w:val="single" w:sz="8" w:color="auto"/>
            </w:tcBorders>
            <w:shd w:val="clear" w:color="auto" w:fill="CCEEFF"/>
          </w:tcPr>
          <w:p>
            <w:pPr>
              <w:spacing w:after="0"/>
              <w:rPr>
                <w:sz w:val="21"/>
                <w:szCs w:val="21"/>
                <w:color w:val="auto"/>
              </w:rPr>
            </w:pPr>
          </w:p>
        </w:tc>
        <w:tc>
          <w:tcPr>
            <w:tcW w:w="160" w:type="dxa"/>
            <w:vAlign w:val="bottom"/>
            <w:tcBorders>
              <w:top w:val="single" w:sz="8" w:color="CCEEFF"/>
            </w:tcBorders>
            <w:shd w:val="clear" w:color="auto" w:fill="CCEEFF"/>
          </w:tcPr>
          <w:p>
            <w:pPr>
              <w:spacing w:after="0"/>
              <w:rPr>
                <w:sz w:val="21"/>
                <w:szCs w:val="21"/>
                <w:color w:val="auto"/>
              </w:rPr>
            </w:pPr>
          </w:p>
        </w:tc>
        <w:tc>
          <w:tcPr>
            <w:tcW w:w="1140" w:type="dxa"/>
            <w:vAlign w:val="bottom"/>
          </w:tcPr>
          <w:p>
            <w:pPr>
              <w:spacing w:after="0"/>
              <w:rPr>
                <w:sz w:val="21"/>
                <w:szCs w:val="21"/>
                <w:color w:val="auto"/>
              </w:rPr>
            </w:pPr>
          </w:p>
        </w:tc>
      </w:tr>
      <w:tr>
        <w:trPr>
          <w:trHeight w:val="243"/>
        </w:trPr>
        <w:tc>
          <w:tcPr>
            <w:tcW w:w="3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60,311,679</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16,624,182</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27,116,887</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97"/>
              </w:rPr>
              <w:t>104,052,748</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140" w:type="dxa"/>
            <w:vAlign w:val="bottom"/>
          </w:tcPr>
          <w:p>
            <w:pPr>
              <w:spacing w:after="0"/>
              <w:rPr>
                <w:sz w:val="21"/>
                <w:szCs w:val="21"/>
                <w:color w:val="auto"/>
              </w:rPr>
            </w:pPr>
          </w:p>
        </w:tc>
      </w:tr>
      <w:tr>
        <w:trPr>
          <w:trHeight w:val="20"/>
        </w:trPr>
        <w:tc>
          <w:tcPr>
            <w:tcW w:w="3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9"/>
        </w:trPr>
        <w:tc>
          <w:tcPr>
            <w:tcW w:w="3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30</w:t>
            </w:r>
          </w:p>
        </w:tc>
        <w:tc>
          <w:tcPr>
            <w:tcW w:w="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1" w:right="339" w:bottom="1440" w:gutter="0" w:footer="0" w:header="0"/>
        </w:sectPr>
      </w:pPr>
    </w:p>
    <w:bookmarkStart w:id="33" w:name="page34"/>
    <w:bookmarkEnd w:id="33"/>
    <w:p>
      <w:pPr>
        <w:ind w:left="2700"/>
        <w:spacing w:after="0"/>
        <w:rPr>
          <w:sz w:val="20"/>
          <w:szCs w:val="20"/>
          <w:color w:val="auto"/>
        </w:rPr>
      </w:pPr>
      <w:r>
        <w:rPr>
          <w:rFonts w:ascii="Times New Roman" w:cs="Times New Roman" w:eastAsia="Times New Roman" w:hAnsi="Times New Roman"/>
          <w:sz w:val="18"/>
          <w:szCs w:val="18"/>
          <w:color w:val="auto"/>
        </w:rPr>
        <w:t>SECURITY NATIONAL FINANCIAL CORPORATION AND SUBSIDIARIES</w:t>
      </w:r>
    </w:p>
    <w:p>
      <w:pPr>
        <w:spacing w:after="0" w:line="27"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p>
      <w:pPr>
        <w:spacing w:after="0" w:line="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June 30, 2024 (Unaudited)</w:t>
      </w:r>
    </w:p>
    <w:p>
      <w:pPr>
        <w:spacing w:after="0" w:line="207" w:lineRule="exact"/>
        <w:rPr>
          <w:sz w:val="20"/>
          <w:szCs w:val="20"/>
          <w:color w:val="auto"/>
        </w:rPr>
      </w:pPr>
    </w:p>
    <w:p>
      <w:pPr>
        <w:ind w:left="200" w:hanging="192"/>
        <w:spacing w:after="0"/>
        <w:tabs>
          <w:tab w:leader="none" w:pos="2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Investments</w:t>
      </w:r>
      <w:r>
        <w:rPr>
          <w:rFonts w:ascii="Times New Roman" w:cs="Times New Roman" w:eastAsia="Times New Roman" w:hAnsi="Times New Roman"/>
          <w:sz w:val="18"/>
          <w:szCs w:val="18"/>
          <w:color w:val="auto"/>
        </w:rPr>
        <w:t xml:space="preserve"> (Continued)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Insurance Assignments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aging of insurance assignments, included in other investments and policy loans on the condensed consolidated balance sheets: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401"/>
              <w:spacing w:after="0"/>
              <w:rPr>
                <w:sz w:val="20"/>
                <w:szCs w:val="20"/>
                <w:color w:val="auto"/>
              </w:rPr>
            </w:pPr>
            <w:r>
              <w:rPr>
                <w:rFonts w:ascii="Times New Roman" w:cs="Times New Roman" w:eastAsia="Times New Roman" w:hAnsi="Times New Roman"/>
                <w:sz w:val="18"/>
                <w:szCs w:val="18"/>
                <w:color w:val="auto"/>
              </w:rPr>
              <w:t>As of June 30,</w:t>
            </w:r>
          </w:p>
        </w:tc>
        <w:tc>
          <w:tcPr>
            <w:tcW w:w="156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As of December 31,</w:t>
            </w:r>
          </w:p>
        </w:tc>
      </w:tr>
      <w:tr>
        <w:trPr>
          <w:trHeight w:val="241"/>
        </w:trPr>
        <w:tc>
          <w:tcPr>
            <w:tcW w:w="45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2023</w:t>
            </w:r>
          </w:p>
        </w:tc>
        <w:tc>
          <w:tcPr>
            <w:tcW w:w="2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30-59 days past due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10,983,745</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10,829,629</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60-89 days past due</w:t>
            </w:r>
          </w:p>
        </w:tc>
        <w:tc>
          <w:tcPr>
            <w:tcW w:w="140" w:type="dxa"/>
            <w:vAlign w:val="bottom"/>
          </w:tcPr>
          <w:p>
            <w:pPr>
              <w:spacing w:after="0"/>
              <w:rPr>
                <w:sz w:val="18"/>
                <w:szCs w:val="18"/>
                <w:color w:val="auto"/>
              </w:rPr>
            </w:pPr>
          </w:p>
        </w:tc>
        <w:tc>
          <w:tcPr>
            <w:tcW w:w="15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4,082,558</w:t>
            </w:r>
          </w:p>
        </w:tc>
        <w:tc>
          <w:tcPr>
            <w:tcW w:w="32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3,709,754</w:t>
            </w:r>
          </w:p>
        </w:tc>
        <w:tc>
          <w:tcPr>
            <w:tcW w:w="40" w:type="dxa"/>
            <w:vAlign w:val="bottom"/>
          </w:tcPr>
          <w:p>
            <w:pPr>
              <w:spacing w:after="0"/>
              <w:rPr>
                <w:sz w:val="18"/>
                <w:szCs w:val="18"/>
                <w:color w:val="auto"/>
              </w:rPr>
            </w:pPr>
          </w:p>
        </w:tc>
      </w:tr>
      <w:tr>
        <w:trPr>
          <w:trHeight w:val="250"/>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Over 90 days past due</w:t>
            </w:r>
          </w:p>
        </w:tc>
        <w:tc>
          <w:tcPr>
            <w:tcW w:w="14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5,580,886</w:t>
            </w:r>
          </w:p>
        </w:tc>
        <w:tc>
          <w:tcPr>
            <w:tcW w:w="3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4,329,468</w:t>
            </w:r>
          </w:p>
        </w:tc>
        <w:tc>
          <w:tcPr>
            <w:tcW w:w="40" w:type="dxa"/>
            <w:vAlign w:val="bottom"/>
            <w:shd w:val="clear" w:color="auto" w:fill="CCEEFF"/>
          </w:tcPr>
          <w:p>
            <w:pPr>
              <w:spacing w:after="0"/>
              <w:rPr>
                <w:sz w:val="21"/>
                <w:szCs w:val="21"/>
                <w:color w:val="auto"/>
              </w:rPr>
            </w:pPr>
          </w:p>
        </w:tc>
      </w:tr>
      <w:tr>
        <w:trPr>
          <w:trHeight w:val="210"/>
        </w:trPr>
        <w:tc>
          <w:tcPr>
            <w:tcW w:w="45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past due</w:t>
            </w:r>
          </w:p>
        </w:tc>
        <w:tc>
          <w:tcPr>
            <w:tcW w:w="14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20,647,189</w:t>
            </w:r>
          </w:p>
        </w:tc>
        <w:tc>
          <w:tcPr>
            <w:tcW w:w="220" w:type="dxa"/>
            <w:vAlign w:val="bottom"/>
            <w:tcBorders>
              <w:top w:val="single" w:sz="8" w:color="CCEEFF"/>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18,868,851</w:t>
            </w:r>
          </w:p>
        </w:tc>
        <w:tc>
          <w:tcPr>
            <w:tcW w:w="20" w:type="dxa"/>
            <w:vAlign w:val="bottom"/>
            <w:tcBorders>
              <w:top w:val="single" w:sz="8" w:color="CCEEFF"/>
              <w:bottom w:val="single" w:sz="8" w:color="CCEEFF"/>
            </w:tcBorders>
          </w:tcPr>
          <w:p>
            <w:pPr>
              <w:spacing w:after="0"/>
              <w:rPr>
                <w:sz w:val="18"/>
                <w:szCs w:val="18"/>
                <w:color w:val="auto"/>
              </w:rPr>
            </w:pPr>
          </w:p>
        </w:tc>
        <w:tc>
          <w:tcPr>
            <w:tcW w:w="40" w:type="dxa"/>
            <w:vAlign w:val="bottom"/>
            <w:tcBorders>
              <w:top w:val="single" w:sz="8" w:color="CCEEFF"/>
              <w:bottom w:val="single" w:sz="8" w:color="CCEEFF"/>
            </w:tcBorders>
          </w:tcPr>
          <w:p>
            <w:pPr>
              <w:spacing w:after="0"/>
              <w:rPr>
                <w:sz w:val="18"/>
                <w:szCs w:val="18"/>
                <w:color w:val="auto"/>
              </w:rPr>
            </w:pPr>
          </w:p>
        </w:tc>
      </w:tr>
      <w:tr>
        <w:trPr>
          <w:trHeight w:val="236"/>
        </w:trPr>
        <w:tc>
          <w:tcPr>
            <w:tcW w:w="4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w:t>
            </w:r>
          </w:p>
        </w:tc>
        <w:tc>
          <w:tcPr>
            <w:tcW w:w="14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27,759,501</w:t>
            </w:r>
          </w:p>
        </w:tc>
        <w:tc>
          <w:tcPr>
            <w:tcW w:w="2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26,736,471</w:t>
            </w:r>
          </w:p>
        </w:tc>
        <w:tc>
          <w:tcPr>
            <w:tcW w:w="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r>
      <w:tr>
        <w:trPr>
          <w:trHeight w:val="210"/>
        </w:trPr>
        <w:tc>
          <w:tcPr>
            <w:tcW w:w="458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insurance assignments</w:t>
            </w: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48,406,690</w:t>
            </w:r>
          </w:p>
        </w:tc>
        <w:tc>
          <w:tcPr>
            <w:tcW w:w="2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45,605,322</w:t>
            </w:r>
          </w:p>
        </w:tc>
        <w:tc>
          <w:tcPr>
            <w:tcW w:w="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r>
      <w:tr>
        <w:trPr>
          <w:trHeight w:val="236"/>
        </w:trPr>
        <w:tc>
          <w:tcPr>
            <w:tcW w:w="4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14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(1,535,324</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(1,553,836</w:t>
            </w:r>
          </w:p>
        </w:tc>
        <w:tc>
          <w:tcPr>
            <w:tcW w:w="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7"/>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Net insurance assignments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46,871,366</w:t>
            </w:r>
          </w:p>
        </w:tc>
        <w:tc>
          <w:tcPr>
            <w:tcW w:w="220" w:type="dxa"/>
            <w:vAlign w:val="bottom"/>
          </w:tcPr>
          <w:p>
            <w:pPr>
              <w:spacing w:after="0"/>
              <w:rPr>
                <w:sz w:val="18"/>
                <w:szCs w:val="18"/>
                <w:color w:val="auto"/>
              </w:rPr>
            </w:pPr>
          </w:p>
        </w:tc>
        <w:tc>
          <w:tcPr>
            <w:tcW w:w="32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44,051,486</w:t>
            </w:r>
          </w:p>
        </w:tc>
        <w:tc>
          <w:tcPr>
            <w:tcW w:w="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4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records an allowance for credit losses when the insurance assignment is funded. Once an insurance assignment moves to 90 days or legal proceedings, it is monitored for write-off and collectability, and any adjustments to the allowance are recorded at that time. See Note 2 regarding the adoption of ASU 2016-13.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roll forward of the allowance for credit losses for insurance assignments as of the dates indicated: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9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Three Months Ended</w:t>
            </w:r>
          </w:p>
        </w:tc>
      </w:tr>
      <w:tr>
        <w:trPr>
          <w:trHeight w:val="216"/>
        </w:trPr>
        <w:tc>
          <w:tcPr>
            <w:tcW w:w="9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 - March 31, 2024</w:t>
            </w: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1,587,525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provision for credit losses (1)</w:t>
            </w:r>
          </w:p>
        </w:tc>
        <w:tc>
          <w:tcPr>
            <w:tcW w:w="180" w:type="dxa"/>
            <w:vAlign w:val="bottom"/>
          </w:tcPr>
          <w:p>
            <w:pPr>
              <w:spacing w:after="0"/>
              <w:rPr>
                <w:sz w:val="18"/>
                <w:szCs w:val="18"/>
                <w:color w:val="auto"/>
              </w:rPr>
            </w:pPr>
          </w:p>
        </w:tc>
        <w:tc>
          <w:tcPr>
            <w:tcW w:w="2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242,046</w:t>
            </w:r>
          </w:p>
        </w:tc>
      </w:tr>
      <w:tr>
        <w:trPr>
          <w:trHeight w:val="250"/>
        </w:trPr>
        <w:tc>
          <w:tcPr>
            <w:tcW w:w="9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Charge-offs</w:t>
            </w:r>
          </w:p>
        </w:tc>
        <w:tc>
          <w:tcPr>
            <w:tcW w:w="180" w:type="dxa"/>
            <w:vAlign w:val="bottom"/>
            <w:shd w:val="clear" w:color="auto" w:fill="CCEEFF"/>
          </w:tcPr>
          <w:p>
            <w:pPr>
              <w:spacing w:after="0"/>
              <w:rPr>
                <w:sz w:val="21"/>
                <w:szCs w:val="21"/>
                <w:color w:val="auto"/>
              </w:rPr>
            </w:pPr>
          </w:p>
        </w:tc>
        <w:tc>
          <w:tcPr>
            <w:tcW w:w="2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(294,247)</w:t>
            </w:r>
          </w:p>
        </w:tc>
      </w:tr>
      <w:tr>
        <w:trPr>
          <w:trHeight w:val="257"/>
        </w:trPr>
        <w:tc>
          <w:tcPr>
            <w:tcW w:w="9020" w:type="dxa"/>
            <w:vAlign w:val="bottom"/>
            <w:tcBorders>
              <w:top w:val="single" w:sz="8" w:color="CCEEFF"/>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Ending balance - June 30, 2024</w:t>
            </w: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1,535,324</w:t>
            </w:r>
          </w:p>
        </w:tc>
        <w:tc>
          <w:tcPr>
            <w:tcW w:w="100" w:type="dxa"/>
            <w:vAlign w:val="bottom"/>
            <w:tcBorders>
              <w:top w:val="single" w:sz="8" w:color="CCEEFF"/>
              <w:bottom w:val="single" w:sz="8" w:color="CCEEFF"/>
            </w:tcBorders>
          </w:tcPr>
          <w:p>
            <w:pPr>
              <w:spacing w:after="0"/>
              <w:rPr>
                <w:sz w:val="22"/>
                <w:szCs w:val="22"/>
                <w:color w:val="auto"/>
              </w:rPr>
            </w:pPr>
          </w:p>
        </w:tc>
      </w:tr>
      <w:tr>
        <w:trPr>
          <w:trHeight w:val="196"/>
        </w:trPr>
        <w:tc>
          <w:tcPr>
            <w:tcW w:w="9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bl>
    <w:p>
      <w:pPr>
        <w:spacing w:after="0" w:line="1" w:lineRule="exact"/>
        <w:rPr>
          <w:sz w:val="20"/>
          <w:szCs w:val="20"/>
          <w:color w:val="auto"/>
        </w:rPr>
      </w:pPr>
    </w:p>
    <w:p>
      <w:pPr>
        <w:sectPr>
          <w:pgSz w:w="11900" w:h="16838" w:orient="portrait"/>
          <w:cols w:equalWidth="0" w:num="1">
            <w:col w:w="11240"/>
          </w:cols>
          <w:pgMar w:left="320" w:top="661" w:right="33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Beginning balance - March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7"/>
          <w:szCs w:val="17"/>
          <w:color w:val="auto"/>
        </w:rPr>
        <w:t>Change in provision for credit losses (1)</w:t>
      </w:r>
    </w:p>
    <w:p>
      <w:pPr>
        <w:spacing w:after="0" w:line="2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Charge-offs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Ending balance - June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631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8"/>
        </w:trPr>
        <w:tc>
          <w:tcPr>
            <w:tcW w:w="740" w:type="dxa"/>
            <w:vAlign w:val="bottom"/>
            <w:gridSpan w:val="2"/>
          </w:tcPr>
          <w:p>
            <w:pPr>
              <w:jc w:val="right"/>
              <w:ind w:right="604"/>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1,685,901</w:t>
            </w:r>
          </w:p>
        </w:tc>
        <w:tc>
          <w:tcPr>
            <w:tcW w:w="6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219,213</w:t>
            </w:r>
          </w:p>
        </w:tc>
        <w:tc>
          <w:tcPr>
            <w:tcW w:w="60" w:type="dxa"/>
            <w:vAlign w:val="bottom"/>
          </w:tcPr>
          <w:p>
            <w:pPr>
              <w:spacing w:after="0"/>
              <w:rPr>
                <w:sz w:val="18"/>
                <w:szCs w:val="18"/>
                <w:color w:val="auto"/>
              </w:rPr>
            </w:pPr>
          </w:p>
        </w:tc>
      </w:tr>
      <w:tr>
        <w:trPr>
          <w:trHeight w:val="255"/>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(214,421)</w:t>
            </w:r>
          </w:p>
        </w:tc>
      </w:tr>
      <w:tr>
        <w:trPr>
          <w:trHeight w:val="230"/>
        </w:trPr>
        <w:tc>
          <w:tcPr>
            <w:tcW w:w="20" w:type="dxa"/>
            <w:vAlign w:val="bottom"/>
            <w:tcBorders>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604"/>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1,690,693</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300" w:space="720"/>
            <w:col w:w="2220"/>
          </w:cols>
          <w:pgMar w:left="320" w:top="661" w:right="339" w:bottom="1440" w:gutter="0" w:footer="0" w:header="0"/>
          <w:type w:val="continuous"/>
        </w:sectPr>
      </w:pPr>
    </w:p>
    <w:p>
      <w:pPr>
        <w:spacing w:after="0" w:line="11"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17"/>
          <w:szCs w:val="17"/>
          <w:color w:val="auto"/>
        </w:rPr>
        <w:t>Six Months Ended</w:t>
      </w:r>
    </w:p>
    <w:p>
      <w:pPr>
        <w:sectPr>
          <w:pgSz w:w="11900" w:h="16838" w:orient="portrait"/>
          <w:cols w:equalWidth="0" w:num="1">
            <w:col w:w="11240"/>
          </w:cols>
          <w:pgMar w:left="320" w:top="661" w:right="3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Beginning balance - January 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Change in provision for credit losses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1543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Charge-offs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Ending balance - June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132320" cy="1543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Beginning balance - January 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371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Change in provision for credit losses (1)</w:t>
      </w:r>
    </w:p>
    <w:p>
      <w:pPr>
        <w:spacing w:after="0" w:line="2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Charge-offs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Ending balance - June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625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197485</wp:posOffset>
            </wp:positionV>
            <wp:extent cx="178308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5"/>
        </w:trPr>
        <w:tc>
          <w:tcPr>
            <w:tcW w:w="740" w:type="dxa"/>
            <w:vAlign w:val="bottom"/>
            <w:tcBorders>
              <w:top w:val="single" w:sz="8" w:color="auto"/>
            </w:tcBorders>
            <w:gridSpan w:val="2"/>
          </w:tcPr>
          <w:p>
            <w:pPr>
              <w:jc w:val="right"/>
              <w:ind w:right="604"/>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top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1,553,836</w:t>
            </w:r>
          </w:p>
        </w:tc>
        <w:tc>
          <w:tcPr>
            <w:tcW w:w="6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492,613</w:t>
            </w:r>
          </w:p>
        </w:tc>
        <w:tc>
          <w:tcPr>
            <w:tcW w:w="60" w:type="dxa"/>
            <w:vAlign w:val="bottom"/>
          </w:tcPr>
          <w:p>
            <w:pPr>
              <w:spacing w:after="0"/>
              <w:rPr>
                <w:sz w:val="18"/>
                <w:szCs w:val="18"/>
                <w:color w:val="auto"/>
              </w:rPr>
            </w:pPr>
          </w:p>
        </w:tc>
      </w:tr>
      <w:tr>
        <w:trPr>
          <w:trHeight w:val="255"/>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(511,125)</w:t>
            </w:r>
          </w:p>
        </w:tc>
      </w:tr>
      <w:tr>
        <w:trPr>
          <w:trHeight w:val="229"/>
        </w:trPr>
        <w:tc>
          <w:tcPr>
            <w:tcW w:w="20" w:type="dxa"/>
            <w:vAlign w:val="bottom"/>
            <w:tcBorders>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604"/>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1,535,324</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94"/>
        </w:trPr>
        <w:tc>
          <w:tcPr>
            <w:tcW w:w="740" w:type="dxa"/>
            <w:vAlign w:val="bottom"/>
            <w:gridSpan w:val="2"/>
          </w:tcPr>
          <w:p>
            <w:pPr>
              <w:jc w:val="right"/>
              <w:ind w:right="604"/>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1,609,951</w:t>
            </w:r>
          </w:p>
        </w:tc>
        <w:tc>
          <w:tcPr>
            <w:tcW w:w="6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452,326</w:t>
            </w:r>
          </w:p>
        </w:tc>
        <w:tc>
          <w:tcPr>
            <w:tcW w:w="60" w:type="dxa"/>
            <w:vAlign w:val="bottom"/>
          </w:tcPr>
          <w:p>
            <w:pPr>
              <w:spacing w:after="0"/>
              <w:rPr>
                <w:sz w:val="18"/>
                <w:szCs w:val="18"/>
                <w:color w:val="auto"/>
              </w:rPr>
            </w:pPr>
          </w:p>
        </w:tc>
      </w:tr>
      <w:tr>
        <w:trPr>
          <w:trHeight w:val="255"/>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(371,584)</w:t>
            </w:r>
          </w:p>
        </w:tc>
      </w:tr>
      <w:tr>
        <w:trPr>
          <w:trHeight w:val="230"/>
        </w:trPr>
        <w:tc>
          <w:tcPr>
            <w:tcW w:w="20" w:type="dxa"/>
            <w:vAlign w:val="bottom"/>
            <w:tcBorders>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604"/>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1,690,693</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300" w:space="720"/>
            <w:col w:w="2220"/>
          </w:cols>
          <w:pgMar w:left="320" w:top="661" w:right="339" w:bottom="1440" w:gutter="0" w:footer="0" w:header="0"/>
          <w:type w:val="continuous"/>
        </w:sectPr>
      </w:pPr>
    </w:p>
    <w:p>
      <w:pPr>
        <w:spacing w:after="0" w:line="38" w:lineRule="exact"/>
        <w:rPr>
          <w:sz w:val="20"/>
          <w:szCs w:val="20"/>
          <w:color w:val="auto"/>
        </w:rPr>
      </w:pPr>
    </w:p>
    <w:p>
      <w:pPr>
        <w:ind w:left="5540" w:right="5060" w:hanging="5472"/>
        <w:spacing w:after="0" w:line="475" w:lineRule="auto"/>
        <w:tabs>
          <w:tab w:leader="none" w:pos="365"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Included in other expenses on the condensed consolidated statements of earnings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type w:val="continuous"/>
        </w:sectPr>
      </w:pPr>
    </w:p>
    <w:bookmarkStart w:id="34" w:name="page35"/>
    <w:bookmarkEnd w:id="34"/>
    <w:p>
      <w:pPr>
        <w:ind w:left="2700"/>
        <w:spacing w:after="0"/>
        <w:rPr>
          <w:sz w:val="20"/>
          <w:szCs w:val="20"/>
          <w:color w:val="auto"/>
        </w:rPr>
      </w:pPr>
      <w:r>
        <w:rPr>
          <w:rFonts w:ascii="Times New Roman" w:cs="Times New Roman" w:eastAsia="Times New Roman" w:hAnsi="Times New Roman"/>
          <w:sz w:val="18"/>
          <w:szCs w:val="18"/>
          <w:color w:val="auto"/>
        </w:rPr>
        <w:t>SECURITY NATIONAL FINANCIAL CORPORATION AND SUBSIDIARIES</w:t>
      </w:r>
    </w:p>
    <w:p>
      <w:pPr>
        <w:spacing w:after="0" w:line="27"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p>
      <w:pPr>
        <w:spacing w:after="0" w:line="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June 30, 2024 (Unaudited)</w:t>
      </w:r>
    </w:p>
    <w:p>
      <w:pPr>
        <w:spacing w:after="0" w:line="207" w:lineRule="exact"/>
        <w:rPr>
          <w:sz w:val="20"/>
          <w:szCs w:val="20"/>
          <w:color w:val="auto"/>
        </w:rPr>
      </w:pPr>
    </w:p>
    <w:p>
      <w:pPr>
        <w:ind w:left="200" w:hanging="192"/>
        <w:spacing w:after="0"/>
        <w:tabs>
          <w:tab w:leader="none" w:pos="2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Investments</w:t>
      </w:r>
      <w:r>
        <w:rPr>
          <w:rFonts w:ascii="Times New Roman" w:cs="Times New Roman" w:eastAsia="Times New Roman" w:hAnsi="Times New Roman"/>
          <w:sz w:val="18"/>
          <w:szCs w:val="18"/>
          <w:color w:val="auto"/>
        </w:rPr>
        <w:t xml:space="preserve"> (Continued)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Related Earnings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realized gains and losses from sales, calls, and maturities, and unrealized gains and losses on equity securities from investments and other assets: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300" w:type="dxa"/>
            <w:vAlign w:val="bottom"/>
            <w:gridSpan w:val="5"/>
          </w:tcPr>
          <w:p>
            <w:pPr>
              <w:jc w:val="right"/>
              <w:ind w:right="900"/>
              <w:spacing w:after="0"/>
              <w:rPr>
                <w:sz w:val="20"/>
                <w:szCs w:val="20"/>
                <w:color w:val="auto"/>
              </w:rPr>
            </w:pPr>
            <w:r>
              <w:rPr>
                <w:rFonts w:ascii="Times New Roman" w:cs="Times New Roman" w:eastAsia="Times New Roman" w:hAnsi="Times New Roman"/>
                <w:sz w:val="18"/>
                <w:szCs w:val="18"/>
                <w:color w:val="auto"/>
              </w:rPr>
              <w:t>Three Months Ended June 30,</w:t>
            </w:r>
          </w:p>
        </w:tc>
        <w:tc>
          <w:tcPr>
            <w:tcW w:w="320" w:type="dxa"/>
            <w:vAlign w:val="bottom"/>
          </w:tcPr>
          <w:p>
            <w:pPr>
              <w:spacing w:after="0"/>
              <w:rPr>
                <w:sz w:val="20"/>
                <w:szCs w:val="20"/>
                <w:color w:val="auto"/>
              </w:rPr>
            </w:pPr>
          </w:p>
        </w:tc>
        <w:tc>
          <w:tcPr>
            <w:tcW w:w="3000" w:type="dxa"/>
            <w:vAlign w:val="bottom"/>
            <w:gridSpan w:val="6"/>
          </w:tcPr>
          <w:p>
            <w:pPr>
              <w:jc w:val="right"/>
              <w:ind w:right="720"/>
              <w:spacing w:after="0"/>
              <w:rPr>
                <w:sz w:val="20"/>
                <w:szCs w:val="20"/>
                <w:color w:val="auto"/>
              </w:rPr>
            </w:pPr>
            <w:r>
              <w:rPr>
                <w:rFonts w:ascii="Times New Roman" w:cs="Times New Roman" w:eastAsia="Times New Roman" w:hAnsi="Times New Roman"/>
                <w:sz w:val="18"/>
                <w:szCs w:val="18"/>
                <w:color w:val="auto"/>
              </w:rPr>
              <w:t>Six Months Ended June 30,</w:t>
            </w:r>
          </w:p>
        </w:tc>
      </w:tr>
      <w:tr>
        <w:trPr>
          <w:trHeight w:val="237"/>
        </w:trPr>
        <w:tc>
          <w:tcPr>
            <w:tcW w:w="416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2024</w:t>
            </w:r>
          </w:p>
        </w:tc>
        <w:tc>
          <w:tcPr>
            <w:tcW w:w="340" w:type="dxa"/>
            <w:vAlign w:val="bottom"/>
            <w:tcBorders>
              <w:top w:val="single" w:sz="8" w:color="auto"/>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2023</w:t>
            </w:r>
          </w:p>
        </w:tc>
        <w:tc>
          <w:tcPr>
            <w:tcW w:w="340" w:type="dxa"/>
            <w:vAlign w:val="bottom"/>
            <w:tcBorders>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2024</w:t>
            </w:r>
          </w:p>
        </w:tc>
        <w:tc>
          <w:tcPr>
            <w:tcW w:w="200" w:type="dxa"/>
            <w:vAlign w:val="bottom"/>
            <w:tcBorders>
              <w:top w:val="single" w:sz="8" w:color="auto"/>
              <w:bottom w:val="single" w:sz="8" w:color="CCEEFF"/>
            </w:tcBorders>
          </w:tcPr>
          <w:p>
            <w:pPr>
              <w:spacing w:after="0"/>
              <w:rPr>
                <w:sz w:val="20"/>
                <w:szCs w:val="20"/>
                <w:color w:val="auto"/>
              </w:rPr>
            </w:pPr>
          </w:p>
        </w:tc>
        <w:tc>
          <w:tcPr>
            <w:tcW w:w="120" w:type="dxa"/>
            <w:vAlign w:val="bottom"/>
            <w:tcBorders>
              <w:top w:val="single" w:sz="8" w:color="auto"/>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tcPr>
          <w:p>
            <w:pPr>
              <w:spacing w:after="0"/>
              <w:rPr>
                <w:sz w:val="20"/>
                <w:szCs w:val="20"/>
                <w:color w:val="auto"/>
              </w:rPr>
            </w:pP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maturity securities:</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Gross realized gains</w:t>
            </w:r>
          </w:p>
        </w:tc>
        <w:tc>
          <w:tcPr>
            <w:tcW w:w="4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24,031</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1,563</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24,334</w:t>
            </w:r>
          </w:p>
        </w:tc>
        <w:tc>
          <w:tcPr>
            <w:tcW w:w="4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17,054</w:t>
            </w:r>
          </w:p>
        </w:tc>
      </w:tr>
      <w:tr>
        <w:trPr>
          <w:trHeight w:val="216"/>
        </w:trPr>
        <w:tc>
          <w:tcPr>
            <w:tcW w:w="4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realized losses</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(36,646)</w:t>
            </w:r>
          </w:p>
        </w:tc>
        <w:tc>
          <w:tcPr>
            <w:tcW w:w="3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(36,908)</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(37,499)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(91,799)</w:t>
            </w:r>
          </w:p>
        </w:tc>
      </w:tr>
      <w:tr>
        <w:trPr>
          <w:trHeight w:val="216"/>
        </w:trPr>
        <w:tc>
          <w:tcPr>
            <w:tcW w:w="4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credit loss release (provision)</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16,289</w:t>
            </w:r>
          </w:p>
        </w:tc>
        <w:tc>
          <w:tcPr>
            <w:tcW w:w="34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(44,505)</w:t>
            </w:r>
          </w:p>
        </w:tc>
        <w:tc>
          <w:tcPr>
            <w:tcW w:w="32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(79,711)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(224,005)</w:t>
            </w:r>
          </w:p>
        </w:tc>
      </w:tr>
      <w:tr>
        <w:trPr>
          <w:trHeight w:val="216"/>
        </w:trPr>
        <w:tc>
          <w:tcPr>
            <w:tcW w:w="4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Gains (losses) on securities sold</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43,733</w:t>
            </w:r>
          </w:p>
        </w:tc>
        <w:tc>
          <w:tcPr>
            <w:tcW w:w="3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5,363</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(17,370)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(46,952)</w:t>
            </w:r>
          </w:p>
        </w:tc>
      </w:tr>
      <w:tr>
        <w:trPr>
          <w:trHeight w:val="198"/>
        </w:trPr>
        <w:tc>
          <w:tcPr>
            <w:tcW w:w="416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Unrealized gains (losses) on securities held at the end</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4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of the period</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8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(424,455)</w:t>
            </w:r>
          </w:p>
        </w:tc>
        <w:tc>
          <w:tcPr>
            <w:tcW w:w="340" w:type="dxa"/>
            <w:vAlign w:val="bottom"/>
          </w:tcPr>
          <w:p>
            <w:pPr>
              <w:spacing w:after="0"/>
              <w:rPr>
                <w:sz w:val="20"/>
                <w:szCs w:val="20"/>
                <w:color w:val="auto"/>
              </w:rPr>
            </w:pP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566,633</w:t>
            </w:r>
          </w:p>
        </w:tc>
        <w:tc>
          <w:tcPr>
            <w:tcW w:w="32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1,118,405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898,064</w:t>
            </w:r>
          </w:p>
        </w:tc>
      </w:tr>
      <w:tr>
        <w:trPr>
          <w:trHeight w:val="216"/>
        </w:trPr>
        <w:tc>
          <w:tcPr>
            <w:tcW w:w="4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Real estate held for investment and sale:</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realized gains</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38,890</w:t>
            </w:r>
          </w:p>
        </w:tc>
        <w:tc>
          <w:tcPr>
            <w:tcW w:w="3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161,028</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288,852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161,028</w:t>
            </w:r>
          </w:p>
        </w:tc>
      </w:tr>
      <w:tr>
        <w:trPr>
          <w:trHeight w:val="216"/>
        </w:trPr>
        <w:tc>
          <w:tcPr>
            <w:tcW w:w="4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Gross realized losses</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(39,081)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realized gains</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(39,081)</w:t>
            </w:r>
          </w:p>
        </w:tc>
        <w:tc>
          <w:tcPr>
            <w:tcW w:w="3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163,410</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35,486</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214,348</w:t>
            </w:r>
          </w:p>
        </w:tc>
      </w:tr>
      <w:tr>
        <w:trPr>
          <w:trHeight w:val="237"/>
        </w:trPr>
        <w:tc>
          <w:tcPr>
            <w:tcW w:w="4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Gross realized losses</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8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(1,229)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16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(377,239</w:t>
            </w:r>
          </w:p>
        </w:tc>
        <w:tc>
          <w:tcPr>
            <w:tcW w:w="340" w:type="dxa"/>
            <w:vAlign w:val="bottom"/>
            <w:tcBorders>
              <w:top w:val="single" w:sz="8" w:color="CCEEFF"/>
              <w:bottom w:val="single" w:sz="8" w:color="CCEEFF"/>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816,584</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1,292,187</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927,738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realized gains and losses on the sale of securities are recorded on the trade date, and the cost of the securities sold is determined using the specific identification method.</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realized gains and losses includes gains and losses by the restricted assets and cemetery perpetual care trust investments of the cemeteries and mortuaries of $202,800 in net losses and $197,580 in net gains for the three month periods ended June 30, 2024 and 2023, respectively, and of $379,363 and $251,510 in net gains for the six month periods ended June 30, 2024 and 2023, respectively.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5" w:name="page36"/>
    <w:bookmarkEnd w:id="35"/>
    <w:p>
      <w:pPr>
        <w:ind w:left="2700"/>
        <w:spacing w:after="0"/>
        <w:rPr>
          <w:sz w:val="20"/>
          <w:szCs w:val="20"/>
          <w:color w:val="auto"/>
        </w:rPr>
      </w:pPr>
      <w:r>
        <w:rPr>
          <w:rFonts w:ascii="Times New Roman" w:cs="Times New Roman" w:eastAsia="Times New Roman" w:hAnsi="Times New Roman"/>
          <w:sz w:val="18"/>
          <w:szCs w:val="18"/>
          <w:color w:val="auto"/>
        </w:rPr>
        <w:t>SECURITY NATIONAL FINANCIAL CORPORATION AND SUBSIDIARIES</w:t>
      </w:r>
    </w:p>
    <w:p>
      <w:pPr>
        <w:spacing w:after="0" w:line="27"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p>
      <w:pPr>
        <w:spacing w:after="0" w:line="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June 30, 2024 (Unaudited)</w:t>
      </w:r>
    </w:p>
    <w:p>
      <w:pPr>
        <w:spacing w:after="0" w:line="207" w:lineRule="exact"/>
        <w:rPr>
          <w:sz w:val="20"/>
          <w:szCs w:val="20"/>
          <w:color w:val="auto"/>
        </w:rPr>
      </w:pPr>
    </w:p>
    <w:p>
      <w:pPr>
        <w:ind w:left="200" w:hanging="192"/>
        <w:spacing w:after="0"/>
        <w:tabs>
          <w:tab w:leader="none" w:pos="2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Major categories of net investment income were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900" w:type="dxa"/>
            <w:vAlign w:val="bottom"/>
            <w:gridSpan w:val="5"/>
          </w:tcPr>
          <w:p>
            <w:pPr>
              <w:jc w:val="right"/>
              <w:ind w:right="580"/>
              <w:spacing w:after="0"/>
              <w:rPr>
                <w:sz w:val="20"/>
                <w:szCs w:val="20"/>
                <w:color w:val="auto"/>
              </w:rPr>
            </w:pPr>
            <w:r>
              <w:rPr>
                <w:rFonts w:ascii="Times New Roman" w:cs="Times New Roman" w:eastAsia="Times New Roman" w:hAnsi="Times New Roman"/>
                <w:sz w:val="18"/>
                <w:szCs w:val="18"/>
                <w:color w:val="auto"/>
              </w:rPr>
              <w:t>Three Months Ended June 30,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700" w:type="dxa"/>
            <w:vAlign w:val="bottom"/>
            <w:gridSpan w:val="6"/>
          </w:tcPr>
          <w:p>
            <w:pPr>
              <w:jc w:val="right"/>
              <w:ind w:right="540"/>
              <w:spacing w:after="0"/>
              <w:rPr>
                <w:sz w:val="20"/>
                <w:szCs w:val="20"/>
                <w:color w:val="auto"/>
              </w:rPr>
            </w:pPr>
            <w:r>
              <w:rPr>
                <w:rFonts w:ascii="Times New Roman" w:cs="Times New Roman" w:eastAsia="Times New Roman" w:hAnsi="Times New Roman"/>
                <w:sz w:val="18"/>
                <w:szCs w:val="18"/>
                <w:color w:val="auto"/>
              </w:rPr>
              <w:t>Six Months Ended June 30,</w:t>
            </w:r>
          </w:p>
        </w:tc>
      </w:tr>
      <w:tr>
        <w:trPr>
          <w:trHeight w:val="237"/>
        </w:trPr>
        <w:tc>
          <w:tcPr>
            <w:tcW w:w="3460" w:type="dxa"/>
            <w:vAlign w:val="bottom"/>
            <w:tcBorders>
              <w:bottom w:val="single" w:sz="8" w:color="CCEEFF"/>
            </w:tcBorders>
          </w:tcPr>
          <w:p>
            <w:pPr>
              <w:spacing w:after="0"/>
              <w:rPr>
                <w:sz w:val="20"/>
                <w:szCs w:val="20"/>
                <w:color w:val="auto"/>
              </w:rPr>
            </w:pPr>
          </w:p>
        </w:tc>
        <w:tc>
          <w:tcPr>
            <w:tcW w:w="40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2024</w:t>
            </w:r>
          </w:p>
        </w:tc>
        <w:tc>
          <w:tcPr>
            <w:tcW w:w="300" w:type="dxa"/>
            <w:vAlign w:val="bottom"/>
            <w:tcBorders>
              <w:top w:val="single" w:sz="8" w:color="auto"/>
              <w:bottom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2023</w:t>
            </w:r>
          </w:p>
        </w:tc>
        <w:tc>
          <w:tcPr>
            <w:tcW w:w="18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2024</w:t>
            </w:r>
          </w:p>
        </w:tc>
        <w:tc>
          <w:tcPr>
            <w:tcW w:w="160" w:type="dxa"/>
            <w:vAlign w:val="bottom"/>
            <w:tcBorders>
              <w:top w:val="single" w:sz="8" w:color="auto"/>
              <w:bottom w:val="single" w:sz="8" w:color="CCEEFF"/>
            </w:tcBorders>
          </w:tcPr>
          <w:p>
            <w:pPr>
              <w:spacing w:after="0"/>
              <w:rPr>
                <w:sz w:val="20"/>
                <w:szCs w:val="20"/>
                <w:color w:val="auto"/>
              </w:rPr>
            </w:pPr>
          </w:p>
        </w:tc>
        <w:tc>
          <w:tcPr>
            <w:tcW w:w="120" w:type="dxa"/>
            <w:vAlign w:val="bottom"/>
            <w:tcBorders>
              <w:top w:val="single" w:sz="8" w:color="auto"/>
              <w:bottom w:val="single" w:sz="8" w:color="CCEEFF"/>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2023</w:t>
            </w:r>
          </w:p>
        </w:tc>
        <w:tc>
          <w:tcPr>
            <w:tcW w:w="80" w:type="dxa"/>
            <w:vAlign w:val="bottom"/>
            <w:tcBorders>
              <w:bottom w:val="single" w:sz="8" w:color="CCEEFF"/>
            </w:tcBorders>
          </w:tcPr>
          <w:p>
            <w:pPr>
              <w:spacing w:after="0"/>
              <w:rPr>
                <w:sz w:val="20"/>
                <w:szCs w:val="20"/>
                <w:color w:val="auto"/>
              </w:rPr>
            </w:pPr>
          </w:p>
        </w:tc>
      </w:tr>
      <w:tr>
        <w:trPr>
          <w:trHeight w:val="216"/>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maturity securities available for sale</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4,345,704</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4,143,768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8,749,262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8,156,500</w:t>
            </w:r>
          </w:p>
        </w:tc>
        <w:tc>
          <w:tcPr>
            <w:tcW w:w="80" w:type="dxa"/>
            <w:vAlign w:val="bottom"/>
            <w:shd w:val="clear" w:color="auto" w:fill="CCEEFF"/>
          </w:tcPr>
          <w:p>
            <w:pPr>
              <w:spacing w:after="0"/>
              <w:rPr>
                <w:sz w:val="18"/>
                <w:szCs w:val="18"/>
                <w:color w:val="auto"/>
              </w:rPr>
            </w:pP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176,448</w:t>
            </w:r>
          </w:p>
        </w:tc>
        <w:tc>
          <w:tcPr>
            <w:tcW w:w="3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140,709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344,596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281,216</w:t>
            </w:r>
          </w:p>
        </w:tc>
      </w:tr>
      <w:tr>
        <w:trPr>
          <w:trHeight w:val="216"/>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 loans held for investment</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7,021,559</w:t>
            </w: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9,467,407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15,835,595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17,955,063</w:t>
            </w: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Real estate held for investment and sale</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3,285,019</w:t>
            </w:r>
          </w:p>
        </w:tc>
        <w:tc>
          <w:tcPr>
            <w:tcW w:w="3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4,897,672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6,800,080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8,262,596</w:t>
            </w:r>
          </w:p>
        </w:tc>
      </w:tr>
      <w:tr>
        <w:trPr>
          <w:trHeight w:val="216"/>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Policy loans</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189,131</w:t>
            </w: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207,441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490,398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407,655</w:t>
            </w: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Insurance assignments</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4,886,015</w:t>
            </w:r>
          </w:p>
        </w:tc>
        <w:tc>
          <w:tcPr>
            <w:tcW w:w="3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4,461,813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9,962,563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9,230,016</w:t>
            </w:r>
          </w:p>
        </w:tc>
      </w:tr>
      <w:tr>
        <w:trPr>
          <w:trHeight w:val="216"/>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investments</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201,342</w:t>
            </w: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213,103</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400,301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342,160</w:t>
            </w:r>
          </w:p>
        </w:tc>
      </w:tr>
      <w:tr>
        <w:trPr>
          <w:trHeight w:val="237"/>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1,715,910</w:t>
            </w:r>
          </w:p>
        </w:tc>
        <w:tc>
          <w:tcPr>
            <w:tcW w:w="30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780,146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3,406,867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1,567,907</w:t>
            </w:r>
          </w:p>
        </w:tc>
      </w:tr>
      <w:tr>
        <w:trPr>
          <w:trHeight w:val="216"/>
        </w:trPr>
        <w:tc>
          <w:tcPr>
            <w:tcW w:w="3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investment income</w:t>
            </w:r>
          </w:p>
        </w:tc>
        <w:tc>
          <w:tcPr>
            <w:tcW w:w="4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21,821,128</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24,312,059</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45,989,662</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46,203,113</w:t>
            </w:r>
          </w:p>
        </w:tc>
        <w:tc>
          <w:tcPr>
            <w:tcW w:w="80" w:type="dxa"/>
            <w:vAlign w:val="bottom"/>
            <w:tcBorders>
              <w:top w:val="single" w:sz="8" w:color="CCEEFF"/>
            </w:tcBorders>
            <w:shd w:val="clear" w:color="auto" w:fill="CCEEFF"/>
          </w:tcPr>
          <w:p>
            <w:pPr>
              <w:spacing w:after="0"/>
              <w:rPr>
                <w:sz w:val="18"/>
                <w:szCs w:val="18"/>
                <w:color w:val="auto"/>
              </w:rPr>
            </w:pPr>
          </w:p>
        </w:tc>
      </w:tr>
      <w:tr>
        <w:trPr>
          <w:trHeight w:val="237"/>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Investment expenses</w:t>
            </w: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(3,776,320)</w:t>
            </w:r>
          </w:p>
        </w:tc>
        <w:tc>
          <w:tcPr>
            <w:tcW w:w="300" w:type="dxa"/>
            <w:vAlign w:val="bottom"/>
          </w:tcPr>
          <w:p>
            <w:pPr>
              <w:spacing w:after="0"/>
              <w:rPr>
                <w:sz w:val="20"/>
                <w:szCs w:val="20"/>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(4,140,085)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(7,998,286)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(8,256,256)</w:t>
            </w:r>
          </w:p>
        </w:tc>
      </w:tr>
      <w:tr>
        <w:trPr>
          <w:trHeight w:val="230"/>
        </w:trPr>
        <w:tc>
          <w:tcPr>
            <w:tcW w:w="34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4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18,044,808</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20,171,974</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37,991,376</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37,946,857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investment income includes income earned by the restricted assets of the cemeteries and mortuaries of $470,808 and $1,250,861 for the three month periods ended June 30, 2024 and 2023, respectively, and of $1,404,359 and $1,852,352 for the six month periods ended June 30, 2024 and 2023, respectively.</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Net investment income on real estate consists primarily of rental revenue. Investment expenses consist primarily of depreciation, property taxes, operating expenses of real estate and an estimated portion of administrative expenses relating to investment activities.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Accrued Investment Income</w:t>
            </w:r>
          </w:p>
        </w:tc>
        <w:tc>
          <w:tcPr>
            <w:tcW w:w="1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60" w:type="dxa"/>
            <w:vAlign w:val="bottom"/>
          </w:tcPr>
          <w:p>
            <w:pPr>
              <w:spacing w:after="0"/>
              <w:rPr>
                <w:sz w:val="20"/>
                <w:szCs w:val="20"/>
                <w:color w:val="auto"/>
              </w:rPr>
            </w:pPr>
          </w:p>
        </w:tc>
      </w:tr>
      <w:tr>
        <w:trPr>
          <w:trHeight w:val="432"/>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Accrued investment income consists of the following:</w:t>
            </w: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414"/>
        </w:trPr>
        <w:tc>
          <w:tcPr>
            <w:tcW w:w="5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8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As of June 30,</w:t>
            </w:r>
          </w:p>
        </w:tc>
        <w:tc>
          <w:tcPr>
            <w:tcW w:w="100" w:type="dxa"/>
            <w:vAlign w:val="bottom"/>
          </w:tcPr>
          <w:p>
            <w:pPr>
              <w:spacing w:after="0"/>
              <w:rPr>
                <w:sz w:val="24"/>
                <w:szCs w:val="24"/>
                <w:color w:val="auto"/>
              </w:rPr>
            </w:pPr>
          </w:p>
        </w:tc>
        <w:tc>
          <w:tcPr>
            <w:tcW w:w="1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9"/>
              </w:rPr>
              <w:t>As of December 31,</w:t>
            </w:r>
          </w:p>
        </w:tc>
        <w:tc>
          <w:tcPr>
            <w:tcW w:w="2260" w:type="dxa"/>
            <w:vAlign w:val="bottom"/>
          </w:tcPr>
          <w:p>
            <w:pPr>
              <w:spacing w:after="0"/>
              <w:rPr>
                <w:sz w:val="24"/>
                <w:szCs w:val="24"/>
                <w:color w:val="auto"/>
              </w:rPr>
            </w:pPr>
          </w:p>
        </w:tc>
      </w:tr>
      <w:tr>
        <w:trPr>
          <w:trHeight w:val="241"/>
        </w:trPr>
        <w:tc>
          <w:tcPr>
            <w:tcW w:w="524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2024</w:t>
            </w:r>
          </w:p>
        </w:tc>
        <w:tc>
          <w:tcPr>
            <w:tcW w:w="26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2023</w:t>
            </w:r>
          </w:p>
        </w:tc>
        <w:tc>
          <w:tcPr>
            <w:tcW w:w="80" w:type="dxa"/>
            <w:vAlign w:val="bottom"/>
            <w:tcBorders>
              <w:bottom w:val="single" w:sz="8" w:color="CCEEFF"/>
            </w:tcBorders>
          </w:tcPr>
          <w:p>
            <w:pPr>
              <w:spacing w:after="0"/>
              <w:rPr>
                <w:sz w:val="20"/>
                <w:szCs w:val="20"/>
                <w:color w:val="auto"/>
              </w:rPr>
            </w:pPr>
          </w:p>
        </w:tc>
        <w:tc>
          <w:tcPr>
            <w:tcW w:w="2260" w:type="dxa"/>
            <w:vAlign w:val="bottom"/>
          </w:tcPr>
          <w:p>
            <w:pPr>
              <w:spacing w:after="0"/>
              <w:rPr>
                <w:sz w:val="20"/>
                <w:szCs w:val="20"/>
                <w:color w:val="auto"/>
              </w:rPr>
            </w:pPr>
          </w:p>
        </w:tc>
      </w:t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maturity securities available for sale</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4,125,306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3,984,695</w:t>
            </w:r>
          </w:p>
        </w:tc>
        <w:tc>
          <w:tcPr>
            <w:tcW w:w="80" w:type="dxa"/>
            <w:vAlign w:val="bottom"/>
            <w:shd w:val="clear" w:color="auto" w:fill="CCEEFF"/>
          </w:tcPr>
          <w:p>
            <w:pPr>
              <w:spacing w:after="0"/>
              <w:rPr>
                <w:sz w:val="18"/>
                <w:szCs w:val="18"/>
                <w:color w:val="auto"/>
              </w:rPr>
            </w:pPr>
          </w:p>
        </w:tc>
        <w:tc>
          <w:tcPr>
            <w:tcW w:w="2260" w:type="dxa"/>
            <w:vAlign w:val="bottom"/>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180" w:type="dxa"/>
            <w:vAlign w:val="bottom"/>
          </w:tcPr>
          <w:p>
            <w:pPr>
              <w:spacing w:after="0"/>
              <w:rPr>
                <w:sz w:val="18"/>
                <w:szCs w:val="18"/>
                <w:color w:val="auto"/>
              </w:rPr>
            </w:pPr>
          </w:p>
        </w:tc>
        <w:tc>
          <w:tcPr>
            <w:tcW w:w="17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10,876</w:t>
            </w:r>
          </w:p>
        </w:tc>
        <w:tc>
          <w:tcPr>
            <w:tcW w:w="100" w:type="dxa"/>
            <w:vAlign w:val="bottom"/>
          </w:tcPr>
          <w:p>
            <w:pPr>
              <w:spacing w:after="0"/>
              <w:rPr>
                <w:sz w:val="18"/>
                <w:szCs w:val="18"/>
                <w:color w:val="auto"/>
              </w:rPr>
            </w:pPr>
          </w:p>
        </w:tc>
        <w:tc>
          <w:tcPr>
            <w:tcW w:w="1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20,451</w:t>
            </w:r>
          </w:p>
        </w:tc>
        <w:tc>
          <w:tcPr>
            <w:tcW w:w="2260" w:type="dxa"/>
            <w:vAlign w:val="bottom"/>
          </w:tcPr>
          <w:p>
            <w:pPr>
              <w:spacing w:after="0"/>
              <w:rPr>
                <w:sz w:val="18"/>
                <w:szCs w:val="18"/>
                <w:color w:val="auto"/>
              </w:rPr>
            </w:pPr>
          </w:p>
        </w:tc>
      </w:t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 loans held for investment</w:t>
            </w:r>
          </w:p>
        </w:tc>
        <w:tc>
          <w:tcPr>
            <w:tcW w:w="18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1,121,383</w:t>
            </w: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2,661,092</w:t>
            </w:r>
          </w:p>
        </w:tc>
        <w:tc>
          <w:tcPr>
            <w:tcW w:w="2260" w:type="dxa"/>
            <w:vAlign w:val="bottom"/>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Real estate held for investment</w:t>
            </w:r>
          </w:p>
        </w:tc>
        <w:tc>
          <w:tcPr>
            <w:tcW w:w="180" w:type="dxa"/>
            <w:vAlign w:val="bottom"/>
          </w:tcPr>
          <w:p>
            <w:pPr>
              <w:spacing w:after="0"/>
              <w:rPr>
                <w:sz w:val="18"/>
                <w:szCs w:val="18"/>
                <w:color w:val="auto"/>
              </w:rPr>
            </w:pPr>
          </w:p>
        </w:tc>
        <w:tc>
          <w:tcPr>
            <w:tcW w:w="17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3,507,053</w:t>
            </w:r>
          </w:p>
        </w:tc>
        <w:tc>
          <w:tcPr>
            <w:tcW w:w="100" w:type="dxa"/>
            <w:vAlign w:val="bottom"/>
          </w:tcPr>
          <w:p>
            <w:pPr>
              <w:spacing w:after="0"/>
              <w:rPr>
                <w:sz w:val="18"/>
                <w:szCs w:val="18"/>
                <w:color w:val="auto"/>
              </w:rPr>
            </w:pPr>
          </w:p>
        </w:tc>
        <w:tc>
          <w:tcPr>
            <w:tcW w:w="1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3,486,115</w:t>
            </w:r>
          </w:p>
        </w:tc>
        <w:tc>
          <w:tcPr>
            <w:tcW w:w="2260" w:type="dxa"/>
            <w:vAlign w:val="bottom"/>
          </w:tcPr>
          <w:p>
            <w:pPr>
              <w:spacing w:after="0"/>
              <w:rPr>
                <w:sz w:val="18"/>
                <w:szCs w:val="18"/>
                <w:color w:val="auto"/>
              </w:rPr>
            </w:pPr>
          </w:p>
        </w:tc>
      </w:tr>
      <w:tr>
        <w:trPr>
          <w:trHeight w:val="249"/>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CEEFF"/>
          </w:tcPr>
          <w:p>
            <w:pPr>
              <w:spacing w:after="0"/>
              <w:rPr>
                <w:sz w:val="21"/>
                <w:szCs w:val="21"/>
                <w:color w:val="auto"/>
              </w:rPr>
            </w:pPr>
          </w:p>
        </w:tc>
        <w:tc>
          <w:tcPr>
            <w:tcW w:w="17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73,388</w:t>
            </w:r>
          </w:p>
        </w:tc>
        <w:tc>
          <w:tcPr>
            <w:tcW w:w="100" w:type="dxa"/>
            <w:vAlign w:val="bottom"/>
            <w:shd w:val="clear" w:color="auto" w:fill="CCEEFF"/>
          </w:tcPr>
          <w:p>
            <w:pPr>
              <w:spacing w:after="0"/>
              <w:rPr>
                <w:sz w:val="21"/>
                <w:szCs w:val="21"/>
                <w:color w:val="auto"/>
              </w:rPr>
            </w:pPr>
          </w:p>
        </w:tc>
        <w:tc>
          <w:tcPr>
            <w:tcW w:w="1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18,437</w:t>
            </w:r>
          </w:p>
        </w:tc>
        <w:tc>
          <w:tcPr>
            <w:tcW w:w="2260" w:type="dxa"/>
            <w:vAlign w:val="bottom"/>
          </w:tcPr>
          <w:p>
            <w:pPr>
              <w:spacing w:after="0"/>
              <w:rPr>
                <w:sz w:val="21"/>
                <w:szCs w:val="21"/>
                <w:color w:val="auto"/>
              </w:rPr>
            </w:pPr>
          </w:p>
        </w:tc>
      </w:tr>
      <w:tr>
        <w:trPr>
          <w:trHeight w:val="217"/>
        </w:trPr>
        <w:tc>
          <w:tcPr>
            <w:tcW w:w="52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accrued investment income</w:t>
            </w: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8,838,006</w:t>
            </w: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10,170,790</w:t>
            </w:r>
          </w:p>
        </w:tc>
        <w:tc>
          <w:tcPr>
            <w:tcW w:w="80" w:type="dxa"/>
            <w:vAlign w:val="bottom"/>
            <w:tcBorders>
              <w:top w:val="single" w:sz="8" w:color="CCEEFF"/>
            </w:tcBorders>
          </w:tcPr>
          <w:p>
            <w:pPr>
              <w:spacing w:after="0"/>
              <w:rPr>
                <w:sz w:val="18"/>
                <w:szCs w:val="18"/>
                <w:color w:val="auto"/>
              </w:rPr>
            </w:pPr>
          </w:p>
        </w:tc>
        <w:tc>
          <w:tcPr>
            <w:tcW w:w="2260" w:type="dxa"/>
            <w:vAlign w:val="bottom"/>
          </w:tcPr>
          <w:p>
            <w:pPr>
              <w:spacing w:after="0"/>
              <w:rPr>
                <w:sz w:val="18"/>
                <w:szCs w:val="18"/>
                <w:color w:val="auto"/>
              </w:rPr>
            </w:pPr>
          </w:p>
        </w:tc>
      </w:tr>
      <w:tr>
        <w:trPr>
          <w:trHeight w:val="20"/>
        </w:trPr>
        <w:tc>
          <w:tcPr>
            <w:tcW w:w="5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420"/>
        </w:trPr>
        <w:tc>
          <w:tcPr>
            <w:tcW w:w="5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1130"/>
              <w:spacing w:after="0"/>
              <w:rPr>
                <w:sz w:val="20"/>
                <w:szCs w:val="20"/>
                <w:color w:val="auto"/>
              </w:rPr>
            </w:pPr>
            <w:r>
              <w:rPr>
                <w:rFonts w:ascii="Times New Roman" w:cs="Times New Roman" w:eastAsia="Times New Roman" w:hAnsi="Times New Roman"/>
                <w:sz w:val="18"/>
                <w:szCs w:val="18"/>
                <w:color w:val="auto"/>
              </w:rPr>
              <w:t>33</w:t>
            </w: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1" w:right="339" w:bottom="1440" w:gutter="0" w:footer="0" w:header="0"/>
        </w:sectPr>
      </w:pPr>
    </w:p>
    <w:bookmarkStart w:id="36" w:name="page37"/>
    <w:bookmarkEnd w:id="36"/>
    <w:p>
      <w:pPr>
        <w:ind w:left="2700"/>
        <w:spacing w:after="0"/>
        <w:rPr>
          <w:sz w:val="20"/>
          <w:szCs w:val="20"/>
          <w:color w:val="auto"/>
        </w:rPr>
      </w:pPr>
      <w:r>
        <w:rPr>
          <w:rFonts w:ascii="Times New Roman" w:cs="Times New Roman" w:eastAsia="Times New Roman" w:hAnsi="Times New Roman"/>
          <w:sz w:val="18"/>
          <w:szCs w:val="18"/>
          <w:color w:val="auto"/>
        </w:rPr>
        <w:t>SECURITY NATIONAL FINANCIAL CORPORATION AND SUBSIDIARIES</w:t>
      </w:r>
    </w:p>
    <w:p>
      <w:pPr>
        <w:spacing w:after="0" w:line="27"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p>
      <w:pPr>
        <w:spacing w:after="0" w:line="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June 30, 2024 (Unaudited)</w:t>
      </w:r>
    </w:p>
    <w:p>
      <w:pPr>
        <w:spacing w:after="0" w:line="207" w:lineRule="exact"/>
        <w:rPr>
          <w:sz w:val="20"/>
          <w:szCs w:val="20"/>
          <w:color w:val="auto"/>
        </w:rPr>
      </w:pPr>
    </w:p>
    <w:p>
      <w:pPr>
        <w:ind w:left="200" w:hanging="192"/>
        <w:spacing w:after="0"/>
        <w:tabs>
          <w:tab w:leader="none" w:pos="2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Loans Held for Sale</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loans held for sale portfolio is valued using the fair value option. Changes in the fair value of the loans are included in mortgage fee income. Interest income is recorded based on the contractual terms of the loan and in accordance with the Company’s policy on recognition of mortgage loan interest income and is included in mortgage fee income on the condensed consolidated statement of earnings. Included in loans held for sale are loans in the process of foreclosure with an aggregate unpaid principal balance of $311,117 and $1,636,090 as of June 30, 2024 and December 31, 2023, respectively. See Note 8 to the condensed consolidated financial statements for additional disclosures regarding loans held for sale.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aggregate fair value and the aggregate unpaid principal balance of loans held for sale: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9"/>
              </w:rPr>
              <w:t>As of December</w:t>
            </w:r>
          </w:p>
        </w:tc>
      </w:tr>
      <w:tr>
        <w:trPr>
          <w:trHeight w:val="216"/>
        </w:trPr>
        <w:tc>
          <w:tcPr>
            <w:tcW w:w="27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As of June 30,</w:t>
            </w:r>
          </w:p>
        </w:tc>
        <w:tc>
          <w:tcPr>
            <w:tcW w:w="120" w:type="dxa"/>
            <w:vAlign w:val="bottom"/>
          </w:tcPr>
          <w:p>
            <w:pPr>
              <w:spacing w:after="0"/>
              <w:rPr>
                <w:sz w:val="18"/>
                <w:szCs w:val="18"/>
                <w:color w:val="auto"/>
              </w:rPr>
            </w:pPr>
          </w:p>
        </w:tc>
        <w:tc>
          <w:tcPr>
            <w:tcW w:w="132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31,</w:t>
            </w:r>
          </w:p>
        </w:tc>
        <w:tc>
          <w:tcPr>
            <w:tcW w:w="60" w:type="dxa"/>
            <w:vAlign w:val="bottom"/>
          </w:tcPr>
          <w:p>
            <w:pPr>
              <w:spacing w:after="0"/>
              <w:rPr>
                <w:sz w:val="18"/>
                <w:szCs w:val="18"/>
                <w:color w:val="auto"/>
              </w:rPr>
            </w:pPr>
          </w:p>
        </w:tc>
      </w:tr>
      <w:tr>
        <w:trPr>
          <w:trHeight w:val="241"/>
        </w:trPr>
        <w:tc>
          <w:tcPr>
            <w:tcW w:w="27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2024</w:t>
            </w: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2023</w:t>
            </w:r>
          </w:p>
        </w:tc>
        <w:tc>
          <w:tcPr>
            <w:tcW w:w="60" w:type="dxa"/>
            <w:vAlign w:val="bottom"/>
          </w:tcPr>
          <w:p>
            <w:pPr>
              <w:spacing w:after="0"/>
              <w:rPr>
                <w:sz w:val="20"/>
                <w:szCs w:val="20"/>
                <w:color w:val="auto"/>
              </w:rPr>
            </w:pPr>
          </w:p>
        </w:tc>
      </w:tr>
      <w:tr>
        <w:trPr>
          <w:trHeight w:val="216"/>
        </w:trPr>
        <w:tc>
          <w:tcPr>
            <w:tcW w:w="27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Aggregate fair value</w:t>
            </w: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150,196,416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126,549,190</w:t>
            </w:r>
          </w:p>
        </w:tc>
      </w:tr>
      <w:tr>
        <w:trPr>
          <w:trHeight w:val="216"/>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Unpaid principal balance</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149,936,883</w:t>
            </w:r>
          </w:p>
        </w:tc>
        <w:tc>
          <w:tcPr>
            <w:tcW w:w="12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127,185,867</w:t>
            </w:r>
          </w:p>
        </w:tc>
      </w:tr>
      <w:tr>
        <w:trPr>
          <w:trHeight w:val="216"/>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gain (loss)</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259,533</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(636,677)</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Mortgage Fee Income</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Mortgage fee income consists of origination fees, processing fees, interest income and other income related to the origination and sale of mortgage loans held for sale.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Major categories of mortgage fee income for loans held for sale are summarized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20" w:type="dxa"/>
            <w:vAlign w:val="bottom"/>
            <w:gridSpan w:val="5"/>
          </w:tcPr>
          <w:p>
            <w:pPr>
              <w:jc w:val="right"/>
              <w:ind w:right="700"/>
              <w:spacing w:after="0"/>
              <w:rPr>
                <w:sz w:val="20"/>
                <w:szCs w:val="20"/>
                <w:color w:val="auto"/>
              </w:rPr>
            </w:pPr>
            <w:r>
              <w:rPr>
                <w:rFonts w:ascii="Times New Roman" w:cs="Times New Roman" w:eastAsia="Times New Roman" w:hAnsi="Times New Roman"/>
                <w:sz w:val="18"/>
                <w:szCs w:val="18"/>
                <w:color w:val="auto"/>
              </w:rPr>
              <w:t>Three Months Ended June 30,</w:t>
            </w:r>
          </w:p>
        </w:tc>
        <w:tc>
          <w:tcPr>
            <w:tcW w:w="280" w:type="dxa"/>
            <w:vAlign w:val="bottom"/>
          </w:tcPr>
          <w:p>
            <w:pPr>
              <w:spacing w:after="0"/>
              <w:rPr>
                <w:sz w:val="20"/>
                <w:szCs w:val="20"/>
                <w:color w:val="auto"/>
              </w:rPr>
            </w:pPr>
          </w:p>
        </w:tc>
        <w:tc>
          <w:tcPr>
            <w:tcW w:w="2700" w:type="dxa"/>
            <w:vAlign w:val="bottom"/>
            <w:gridSpan w:val="5"/>
          </w:tcPr>
          <w:p>
            <w:pPr>
              <w:jc w:val="right"/>
              <w:ind w:right="540"/>
              <w:spacing w:after="0"/>
              <w:rPr>
                <w:sz w:val="20"/>
                <w:szCs w:val="20"/>
                <w:color w:val="auto"/>
              </w:rPr>
            </w:pPr>
            <w:r>
              <w:rPr>
                <w:rFonts w:ascii="Times New Roman" w:cs="Times New Roman" w:eastAsia="Times New Roman" w:hAnsi="Times New Roman"/>
                <w:sz w:val="18"/>
                <w:szCs w:val="18"/>
                <w:color w:val="auto"/>
              </w:rPr>
              <w:t>Six Months Ended June 30,</w:t>
            </w:r>
          </w:p>
        </w:tc>
      </w:tr>
      <w:tr>
        <w:trPr>
          <w:trHeight w:val="237"/>
        </w:trPr>
        <w:tc>
          <w:tcPr>
            <w:tcW w:w="386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2024</w:t>
            </w:r>
          </w:p>
        </w:tc>
        <w:tc>
          <w:tcPr>
            <w:tcW w:w="300" w:type="dxa"/>
            <w:vAlign w:val="bottom"/>
            <w:tcBorders>
              <w:top w:val="single" w:sz="8" w:color="auto"/>
              <w:bottom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2023</w:t>
            </w:r>
          </w:p>
        </w:tc>
        <w:tc>
          <w:tcPr>
            <w:tcW w:w="300" w:type="dxa"/>
            <w:vAlign w:val="bottom"/>
            <w:tcBorders>
              <w:bottom w:val="single" w:sz="8" w:color="CCEEFF"/>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2024</w:t>
            </w:r>
          </w:p>
        </w:tc>
        <w:tc>
          <w:tcPr>
            <w:tcW w:w="280" w:type="dxa"/>
            <w:vAlign w:val="bottom"/>
            <w:tcBorders>
              <w:top w:val="single" w:sz="8" w:color="auto"/>
              <w:bottom w:val="single" w:sz="8" w:color="CCEEFF"/>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2023</w:t>
            </w:r>
          </w:p>
        </w:tc>
        <w:tc>
          <w:tcPr>
            <w:tcW w:w="80" w:type="dxa"/>
            <w:vAlign w:val="bottom"/>
            <w:tcBorders>
              <w:bottom w:val="single" w:sz="8" w:color="CCEEFF"/>
            </w:tcBorders>
          </w:tcPr>
          <w:p>
            <w:pPr>
              <w:spacing w:after="0"/>
              <w:rPr>
                <w:sz w:val="20"/>
                <w:szCs w:val="20"/>
                <w:color w:val="auto"/>
              </w:rPr>
            </w:pPr>
          </w:p>
        </w:tc>
      </w:tr>
      <w:tr>
        <w:trPr>
          <w:trHeight w:val="216"/>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 fees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7,366,232</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5,986,802</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12,886,697</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10,375,215</w:t>
            </w:r>
          </w:p>
        </w:tc>
        <w:tc>
          <w:tcPr>
            <w:tcW w:w="80" w:type="dxa"/>
            <w:vAlign w:val="bottom"/>
            <w:shd w:val="clear" w:color="auto" w:fill="CCEEFF"/>
          </w:tcPr>
          <w:p>
            <w:pPr>
              <w:spacing w:after="0"/>
              <w:rPr>
                <w:sz w:val="18"/>
                <w:szCs w:val="18"/>
                <w:color w:val="auto"/>
              </w:rPr>
            </w:pP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tcPr>
          <w:p>
            <w:pPr>
              <w:spacing w:after="0"/>
              <w:rPr>
                <w:sz w:val="18"/>
                <w:szCs w:val="18"/>
                <w:color w:val="auto"/>
              </w:rPr>
            </w:pPr>
          </w:p>
        </w:tc>
        <w:tc>
          <w:tcPr>
            <w:tcW w:w="13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2,263,915</w:t>
            </w:r>
          </w:p>
        </w:tc>
        <w:tc>
          <w:tcPr>
            <w:tcW w:w="30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2,620,489</w:t>
            </w:r>
          </w:p>
        </w:tc>
        <w:tc>
          <w:tcPr>
            <w:tcW w:w="28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3,746,735</w:t>
            </w:r>
          </w:p>
        </w:tc>
        <w:tc>
          <w:tcPr>
            <w:tcW w:w="2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4,627,546</w:t>
            </w:r>
          </w:p>
        </w:tc>
      </w:tr>
      <w:tr>
        <w:trPr>
          <w:trHeight w:val="216"/>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Secondary gains</w:t>
            </w: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18,674,595</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19,298,213</w:t>
            </w:r>
          </w:p>
        </w:tc>
        <w:tc>
          <w:tcPr>
            <w:tcW w:w="2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33,405,569</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37,259,571</w:t>
            </w: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loan commitments</w:t>
            </w:r>
          </w:p>
        </w:tc>
        <w:tc>
          <w:tcPr>
            <w:tcW w:w="240" w:type="dxa"/>
            <w:vAlign w:val="bottom"/>
          </w:tcPr>
          <w:p>
            <w:pPr>
              <w:spacing w:after="0"/>
              <w:rPr>
                <w:sz w:val="18"/>
                <w:szCs w:val="18"/>
                <w:color w:val="auto"/>
              </w:rPr>
            </w:pPr>
          </w:p>
        </w:tc>
        <w:tc>
          <w:tcPr>
            <w:tcW w:w="13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429,823</w:t>
            </w:r>
          </w:p>
        </w:tc>
        <w:tc>
          <w:tcPr>
            <w:tcW w:w="30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(151,382)</w:t>
            </w:r>
          </w:p>
        </w:tc>
        <w:tc>
          <w:tcPr>
            <w:tcW w:w="28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991,601</w:t>
            </w:r>
          </w:p>
        </w:tc>
        <w:tc>
          <w:tcPr>
            <w:tcW w:w="2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526,570</w:t>
            </w:r>
          </w:p>
        </w:tc>
      </w:tr>
      <w:tr>
        <w:trPr>
          <w:trHeight w:val="216"/>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loans held for sale</w:t>
            </w: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1,197,075</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(1,401,738)</w:t>
            </w:r>
          </w:p>
        </w:tc>
        <w:tc>
          <w:tcPr>
            <w:tcW w:w="2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896,185</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(607,123)</w:t>
            </w:r>
          </w:p>
        </w:tc>
      </w:tr>
      <w:tr>
        <w:trPr>
          <w:trHeight w:val="23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loan loss reserve</w:t>
            </w:r>
          </w:p>
        </w:tc>
        <w:tc>
          <w:tcPr>
            <w:tcW w:w="240" w:type="dxa"/>
            <w:vAlign w:val="bottom"/>
          </w:tcPr>
          <w:p>
            <w:pPr>
              <w:spacing w:after="0"/>
              <w:rPr>
                <w:sz w:val="20"/>
                <w:szCs w:val="20"/>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(312,124)</w:t>
            </w:r>
          </w:p>
        </w:tc>
        <w:tc>
          <w:tcPr>
            <w:tcW w:w="30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(273,631)</w:t>
            </w:r>
          </w:p>
        </w:tc>
        <w:tc>
          <w:tcPr>
            <w:tcW w:w="28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(475,601)</w:t>
            </w:r>
          </w:p>
        </w:tc>
        <w:tc>
          <w:tcPr>
            <w:tcW w:w="280" w:type="dxa"/>
            <w:vAlign w:val="bottom"/>
          </w:tcPr>
          <w:p>
            <w:pPr>
              <w:spacing w:after="0"/>
              <w:rPr>
                <w:sz w:val="20"/>
                <w:szCs w:val="20"/>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(114,020)</w:t>
            </w:r>
          </w:p>
        </w:tc>
      </w:tr>
      <w:tr>
        <w:trPr>
          <w:trHeight w:val="230"/>
        </w:trPr>
        <w:tc>
          <w:tcPr>
            <w:tcW w:w="38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 fee income</w:t>
            </w: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29,619,516</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26,078,753</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51,451,186</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52,067,759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Loan Loss Reserve</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Repurchase demands from third party investors that correspond to mortgage loans previously held for sale and sold are reviewed and relevant data is captured so that an estimated future loss can be calculated. The key factors that are used in the estimated future loss calculation are as follows: (i) lien position, (ii) payment status, (iii) claim type, (iv) unpaid principal balance, (v) interest rate, and (vi) validity of the demand. Other data is captured and is useful for management purposes; the actual estimated loss is generally based on these key factors. The Company conducts its own review upon the receipt of a repurchase demand. In many instances, the Company can resolve the issues relating to the repurchase demand by the third-party investor without having to make any payments to the investor.</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loan loss reserve, which is included in other liabilities and accrued expenses, is summarized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As of June 30,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w w:val="99"/>
              </w:rPr>
              <w:t>As of December 31,</w:t>
            </w:r>
          </w:p>
        </w:tc>
      </w:tr>
      <w:tr>
        <w:trPr>
          <w:trHeight w:val="241"/>
        </w:trPr>
        <w:tc>
          <w:tcPr>
            <w:tcW w:w="524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2024</w:t>
            </w:r>
          </w:p>
        </w:tc>
        <w:tc>
          <w:tcPr>
            <w:tcW w:w="2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2023</w:t>
            </w:r>
          </w:p>
        </w:tc>
        <w:tc>
          <w:tcPr>
            <w:tcW w:w="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shd w:val="clear" w:color="auto" w:fill="CCEEFF"/>
          </w:tcPr>
          <w:p>
            <w:pPr>
              <w:jc w:val="center"/>
              <w:ind w:left="830"/>
              <w:spacing w:after="0"/>
              <w:rPr>
                <w:sz w:val="20"/>
                <w:szCs w:val="20"/>
                <w:color w:val="auto"/>
              </w:rPr>
            </w:pPr>
            <w:r>
              <w:rPr>
                <w:rFonts w:ascii="Times New Roman" w:cs="Times New Roman" w:eastAsia="Times New Roman" w:hAnsi="Times New Roman"/>
                <w:sz w:val="18"/>
                <w:szCs w:val="18"/>
                <w:color w:val="auto"/>
                <w:w w:val="99"/>
              </w:rPr>
              <w:t>547,233</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1,725,667</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Provision on current loan originations (1)</w:t>
            </w:r>
          </w:p>
        </w:tc>
        <w:tc>
          <w:tcPr>
            <w:tcW w:w="200" w:type="dxa"/>
            <w:vAlign w:val="bottom"/>
          </w:tcPr>
          <w:p>
            <w:pPr>
              <w:spacing w:after="0"/>
              <w:rPr>
                <w:sz w:val="18"/>
                <w:szCs w:val="18"/>
                <w:color w:val="auto"/>
              </w:rPr>
            </w:pPr>
          </w:p>
        </w:tc>
        <w:tc>
          <w:tcPr>
            <w:tcW w:w="1760" w:type="dxa"/>
            <w:vAlign w:val="bottom"/>
            <w:gridSpan w:val="2"/>
          </w:tcPr>
          <w:p>
            <w:pPr>
              <w:jc w:val="center"/>
              <w:ind w:left="570"/>
              <w:spacing w:after="0"/>
              <w:rPr>
                <w:sz w:val="20"/>
                <w:szCs w:val="20"/>
                <w:color w:val="auto"/>
              </w:rPr>
            </w:pPr>
            <w:r>
              <w:rPr>
                <w:rFonts w:ascii="Times New Roman" w:cs="Times New Roman" w:eastAsia="Times New Roman" w:hAnsi="Times New Roman"/>
                <w:sz w:val="18"/>
                <w:szCs w:val="18"/>
                <w:color w:val="auto"/>
                <w:w w:val="99"/>
              </w:rPr>
              <w:t>475,601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27,164</w:t>
            </w:r>
          </w:p>
        </w:tc>
        <w:tc>
          <w:tcPr>
            <w:tcW w:w="60" w:type="dxa"/>
            <w:vAlign w:val="bottom"/>
          </w:tcPr>
          <w:p>
            <w:pPr>
              <w:spacing w:after="0"/>
              <w:rPr>
                <w:sz w:val="18"/>
                <w:szCs w:val="18"/>
                <w:color w:val="auto"/>
              </w:rPr>
            </w:pPr>
          </w:p>
        </w:tc>
      </w:tr>
      <w:tr>
        <w:trPr>
          <w:trHeight w:val="250"/>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Charge-offs, net of recaptured amounts</w:t>
            </w:r>
          </w:p>
        </w:tc>
        <w:tc>
          <w:tcPr>
            <w:tcW w:w="200" w:type="dxa"/>
            <w:vAlign w:val="bottom"/>
            <w:shd w:val="clear" w:color="auto" w:fill="CCEEFF"/>
          </w:tcPr>
          <w:p>
            <w:pPr>
              <w:spacing w:after="0"/>
              <w:rPr>
                <w:sz w:val="21"/>
                <w:szCs w:val="21"/>
                <w:color w:val="auto"/>
              </w:rPr>
            </w:pPr>
          </w:p>
        </w:tc>
        <w:tc>
          <w:tcPr>
            <w:tcW w:w="1760" w:type="dxa"/>
            <w:vAlign w:val="bottom"/>
            <w:gridSpan w:val="2"/>
            <w:shd w:val="clear" w:color="auto" w:fill="CCEEFF"/>
          </w:tcPr>
          <w:p>
            <w:pPr>
              <w:jc w:val="center"/>
              <w:ind w:left="570"/>
              <w:spacing w:after="0"/>
              <w:rPr>
                <w:sz w:val="20"/>
                <w:szCs w:val="20"/>
                <w:color w:val="auto"/>
              </w:rPr>
            </w:pPr>
            <w:r>
              <w:rPr>
                <w:rFonts w:ascii="Times New Roman" w:cs="Times New Roman" w:eastAsia="Times New Roman" w:hAnsi="Times New Roman"/>
                <w:sz w:val="18"/>
                <w:szCs w:val="18"/>
                <w:color w:val="auto"/>
                <w:w w:val="99"/>
              </w:rPr>
              <w:t>(273,801)</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(1,205,598)</w:t>
            </w:r>
          </w:p>
        </w:tc>
      </w:tr>
      <w:tr>
        <w:trPr>
          <w:trHeight w:val="216"/>
        </w:trPr>
        <w:tc>
          <w:tcPr>
            <w:tcW w:w="52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Balance, end of period</w:t>
            </w: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Borders>
              <w:top w:val="single" w:sz="8" w:color="auto"/>
              <w:bottom w:val="single" w:sz="8" w:color="auto"/>
            </w:tcBorders>
          </w:tcPr>
          <w:p>
            <w:pPr>
              <w:jc w:val="center"/>
              <w:ind w:left="830"/>
              <w:spacing w:after="0"/>
              <w:rPr>
                <w:sz w:val="20"/>
                <w:szCs w:val="20"/>
                <w:color w:val="auto"/>
              </w:rPr>
            </w:pPr>
            <w:r>
              <w:rPr>
                <w:rFonts w:ascii="Times New Roman" w:cs="Times New Roman" w:eastAsia="Times New Roman" w:hAnsi="Times New Roman"/>
                <w:sz w:val="18"/>
                <w:szCs w:val="18"/>
                <w:color w:val="auto"/>
                <w:w w:val="99"/>
              </w:rPr>
              <w:t>749,033</w:t>
            </w:r>
          </w:p>
        </w:tc>
        <w:tc>
          <w:tcPr>
            <w:tcW w:w="26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547,233</w:t>
            </w:r>
          </w:p>
        </w:tc>
        <w:tc>
          <w:tcPr>
            <w:tcW w:w="20" w:type="dxa"/>
            <w:vAlign w:val="bottom"/>
            <w:tcBorders>
              <w:top w:val="single" w:sz="8" w:color="CCEEFF"/>
              <w:bottom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r>
      <w:tr>
        <w:trPr>
          <w:trHeight w:val="20"/>
        </w:trPr>
        <w:tc>
          <w:tcPr>
            <w:tcW w:w="5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 Included in mortgage fee income</w:t>
      </w:r>
    </w:p>
    <w:p>
      <w:pPr>
        <w:spacing w:after="0" w:line="3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maintains reserves for estimated losses on current production volumes. For the six month period ended June 30, 2024, $475,601 in reserves were added at a rate of 4.4 basis points per loan, the equivalent of $440 per $1,000,000 in loans originated. This is a decrease over the six month period ended June 30, 2023, when reserves of $513,431 were added at a rate of 4.5 basis points per loan originated, the equivalent of $450 per $1,000,000 in loans originated. The Company monitors market data and trends, economic conditions (including forecasts), and its own experience to maintain adequate loss reserves on current production.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893" w:gutter="0" w:footer="0" w:header="0"/>
        </w:sectPr>
      </w:pPr>
    </w:p>
    <w:bookmarkStart w:id="37" w:name="page38"/>
    <w:bookmarkEnd w:id="37"/>
    <w:p>
      <w:pPr>
        <w:ind w:left="2700"/>
        <w:spacing w:after="0"/>
        <w:rPr>
          <w:sz w:val="20"/>
          <w:szCs w:val="20"/>
          <w:color w:val="auto"/>
        </w:rPr>
      </w:pPr>
      <w:r>
        <w:rPr>
          <w:rFonts w:ascii="Times New Roman" w:cs="Times New Roman" w:eastAsia="Times New Roman" w:hAnsi="Times New Roman"/>
          <w:sz w:val="18"/>
          <w:szCs w:val="18"/>
          <w:color w:val="auto"/>
        </w:rPr>
        <w:t>SECURITY NATIONAL FINANCIAL CORPORATION AND SUBSIDIARIES</w:t>
      </w:r>
    </w:p>
    <w:p>
      <w:pPr>
        <w:spacing w:after="0" w:line="27"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p>
      <w:pPr>
        <w:spacing w:after="0" w:line="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June 30, 2024 (Unaudited)</w:t>
      </w:r>
    </w:p>
    <w:p>
      <w:pPr>
        <w:spacing w:after="0" w:line="207" w:lineRule="exact"/>
        <w:rPr>
          <w:sz w:val="20"/>
          <w:szCs w:val="20"/>
          <w:color w:val="auto"/>
        </w:rPr>
      </w:pPr>
    </w:p>
    <w:p>
      <w:pPr>
        <w:ind w:left="200" w:hanging="192"/>
        <w:spacing w:after="0"/>
        <w:tabs>
          <w:tab w:leader="none" w:pos="2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Compensation Plans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equity incentive plans (the “2013 Plan”, the “2014 Director Plan” and the “2022 Plan”).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Stock based compensation expense for stock options issued of $183,184 and $142,696 has been recognized for these plans for the three month periods ended June 30, 2024 and 2023, respectively, and $382,182 and $284,883 has been recognized for these plans for the six month periods ended June 30, 2024 and 2023, respectively, and is included in personnel expenses on the condensed consolidated statements of earnings. As of June 30, 2024, the total unrecognized compensation expense related to the options issued was $329,670, which is expected to be recognized over the remaining vesting period.</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fair value of each option granted is estimated on the date of grant using the Black Scholes Option Pricing Model. The Company estimates the expected life of the options using the simplified method. Future volatility is estimated based upon the weighted historical volatility of the Company’s Class A common stock over a period equal to the expected life of the options. The risk-free interest rate for the expected life of the options is based upon the Federal Reserve Board’s daily interest rates in effect at the time of the grant.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Activity of the stock option plans during the six month period ended June 30, 2024, is summarized as follows:</w:t>
      </w:r>
    </w:p>
    <w:p>
      <w:pPr>
        <w:sectPr>
          <w:pgSz w:w="11900" w:h="16838" w:orient="portrait"/>
          <w:cols w:equalWidth="0" w:num="1">
            <w:col w:w="11240"/>
          </w:cols>
          <w:pgMar w:left="320" w:top="66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Outstanding at January 1,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Adjustment for the effect of stock dividends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Exercised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Cancelled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Outstanding at June 30, 2024</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Options exercisable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Available options for future grant</w:t>
      </w:r>
    </w:p>
    <w:p>
      <w:pPr>
        <w:spacing w:after="0" w:line="274"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Weighted average contractual term of options outstanding at June 30, 2024</w:t>
      </w:r>
    </w:p>
    <w:p>
      <w:pPr>
        <w:spacing w:after="0" w:line="162"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Weighted average contractual term of options exercisable at June 30, 2024</w:t>
      </w:r>
    </w:p>
    <w:p>
      <w:pPr>
        <w:spacing w:after="0" w:line="162" w:lineRule="exact"/>
        <w:rPr>
          <w:sz w:val="20"/>
          <w:szCs w:val="20"/>
          <w:color w:val="auto"/>
        </w:rPr>
      </w:pPr>
    </w:p>
    <w:p>
      <w:pPr>
        <w:ind w:right="500"/>
        <w:spacing w:after="0" w:line="312" w:lineRule="auto"/>
        <w:rPr>
          <w:sz w:val="20"/>
          <w:szCs w:val="20"/>
          <w:color w:val="auto"/>
        </w:rPr>
      </w:pPr>
      <w:r>
        <w:rPr>
          <w:rFonts w:ascii="Times New Roman" w:cs="Times New Roman" w:eastAsia="Times New Roman" w:hAnsi="Times New Roman"/>
          <w:sz w:val="17"/>
          <w:szCs w:val="17"/>
          <w:color w:val="auto"/>
        </w:rPr>
        <w:t>Aggregated intrinsic value of options outstanding at June 30, 2024 (1)</w:t>
      </w:r>
    </w:p>
    <w:p>
      <w:pPr>
        <w:spacing w:after="0" w:line="207" w:lineRule="exact"/>
        <w:rPr>
          <w:sz w:val="20"/>
          <w:szCs w:val="20"/>
          <w:color w:val="auto"/>
        </w:rPr>
      </w:pPr>
    </w:p>
    <w:p>
      <w:pPr>
        <w:ind w:right="500"/>
        <w:spacing w:after="0" w:line="312" w:lineRule="auto"/>
        <w:rPr>
          <w:sz w:val="20"/>
          <w:szCs w:val="20"/>
          <w:color w:val="auto"/>
        </w:rPr>
      </w:pPr>
      <w:r>
        <w:rPr>
          <w:rFonts w:ascii="Times New Roman" w:cs="Times New Roman" w:eastAsia="Times New Roman" w:hAnsi="Times New Roman"/>
          <w:sz w:val="17"/>
          <w:szCs w:val="17"/>
          <w:color w:val="auto"/>
        </w:rPr>
        <w:t>Aggregated intrinsic value of options exercisable at June 30, 2024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178308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9"/>
              </w:rPr>
              <w:t>Weighted</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7"/>
              </w:rPr>
              <w:t>Weighted</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5"/>
              </w:rPr>
              <w:t>Average</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8"/>
              </w:rPr>
              <w:t>Average</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12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Number of</w:t>
            </w:r>
          </w:p>
        </w:tc>
        <w:tc>
          <w:tcPr>
            <w:tcW w:w="100" w:type="dxa"/>
            <w:vAlign w:val="bottom"/>
          </w:tcPr>
          <w:p>
            <w:pPr>
              <w:spacing w:after="0"/>
              <w:rPr>
                <w:sz w:val="18"/>
                <w:szCs w:val="18"/>
                <w:color w:val="auto"/>
              </w:rPr>
            </w:pPr>
          </w:p>
        </w:tc>
        <w:tc>
          <w:tcPr>
            <w:tcW w:w="142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w w:val="98"/>
              </w:rPr>
              <w:t>Exercise Price</w:t>
            </w:r>
          </w:p>
        </w:tc>
        <w:tc>
          <w:tcPr>
            <w:tcW w:w="140" w:type="dxa"/>
            <w:vAlign w:val="bottom"/>
          </w:tcPr>
          <w:p>
            <w:pPr>
              <w:spacing w:after="0"/>
              <w:rPr>
                <w:sz w:val="18"/>
                <w:szCs w:val="18"/>
                <w:color w:val="auto"/>
              </w:rPr>
            </w:pPr>
          </w:p>
        </w:tc>
        <w:tc>
          <w:tcPr>
            <w:tcW w:w="11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Number of</w:t>
            </w:r>
          </w:p>
        </w:tc>
        <w:tc>
          <w:tcPr>
            <w:tcW w:w="120" w:type="dxa"/>
            <w:vAlign w:val="bottom"/>
          </w:tcPr>
          <w:p>
            <w:pPr>
              <w:spacing w:after="0"/>
              <w:rPr>
                <w:sz w:val="18"/>
                <w:szCs w:val="18"/>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Exercise Price</w:t>
            </w:r>
          </w:p>
        </w:tc>
        <w:tc>
          <w:tcPr>
            <w:tcW w:w="0" w:type="dxa"/>
            <w:vAlign w:val="bottom"/>
          </w:tcPr>
          <w:p>
            <w:pPr>
              <w:spacing w:after="0"/>
              <w:rPr>
                <w:sz w:val="1"/>
                <w:szCs w:val="1"/>
                <w:color w:val="auto"/>
              </w:rPr>
            </w:pPr>
          </w:p>
        </w:tc>
      </w:tr>
      <w:tr>
        <w:trPr>
          <w:trHeight w:val="241"/>
        </w:trPr>
        <w:tc>
          <w:tcPr>
            <w:tcW w:w="1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Class A Shares</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tcPr>
          <w:p>
            <w:pPr>
              <w:spacing w:after="0"/>
              <w:rPr>
                <w:sz w:val="20"/>
                <w:szCs w:val="20"/>
                <w:color w:val="auto"/>
              </w:rPr>
            </w:pPr>
          </w:p>
        </w:tc>
        <w:tc>
          <w:tcPr>
            <w:tcW w:w="1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Class C Shares</w:t>
            </w:r>
          </w:p>
        </w:tc>
        <w:tc>
          <w:tcPr>
            <w:tcW w:w="140" w:type="dxa"/>
            <w:vAlign w:val="bottom"/>
            <w:gridSpan w:val="2"/>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5"/>
              </w:rPr>
              <w:t>(2)</w:t>
            </w:r>
          </w:p>
        </w:tc>
        <w:tc>
          <w:tcPr>
            <w:tcW w:w="0" w:type="dxa"/>
            <w:vAlign w:val="bottom"/>
          </w:tcPr>
          <w:p>
            <w:pPr>
              <w:spacing w:after="0"/>
              <w:rPr>
                <w:sz w:val="1"/>
                <w:szCs w:val="1"/>
                <w:color w:val="auto"/>
              </w:rPr>
            </w:pPr>
          </w:p>
        </w:tc>
      </w:tr>
      <w:tr>
        <w:trPr>
          <w:trHeight w:val="414"/>
        </w:trPr>
        <w:tc>
          <w:tcPr>
            <w:tcW w:w="140" w:type="dxa"/>
            <w:vAlign w:val="bottom"/>
          </w:tcPr>
          <w:p>
            <w:pPr>
              <w:spacing w:after="0"/>
              <w:rPr>
                <w:sz w:val="24"/>
                <w:szCs w:val="24"/>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833,570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4.91</w:t>
            </w:r>
          </w:p>
        </w:tc>
        <w:tc>
          <w:tcPr>
            <w:tcW w:w="140" w:type="dxa"/>
            <w:vAlign w:val="bottom"/>
          </w:tcPr>
          <w:p>
            <w:pPr>
              <w:spacing w:after="0"/>
              <w:rPr>
                <w:sz w:val="24"/>
                <w:szCs w:val="24"/>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1,520,062</w:t>
            </w:r>
          </w:p>
        </w:tc>
        <w:tc>
          <w:tcPr>
            <w:tcW w:w="120" w:type="dxa"/>
            <w:vAlign w:val="bottom"/>
          </w:tcPr>
          <w:p>
            <w:pPr>
              <w:spacing w:after="0"/>
              <w:rPr>
                <w:sz w:val="24"/>
                <w:szCs w:val="24"/>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38,724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76,005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16,500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(45,671)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140" w:type="dxa"/>
            <w:vAlign w:val="bottom"/>
          </w:tcPr>
          <w:p>
            <w:pPr>
              <w:spacing w:after="0"/>
              <w:rPr>
                <w:sz w:val="22"/>
                <w:szCs w:val="22"/>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(16,538)</w:t>
            </w:r>
          </w:p>
        </w:tc>
        <w:tc>
          <w:tcPr>
            <w:tcW w:w="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8"/>
                <w:szCs w:val="18"/>
                <w:color w:val="auto"/>
              </w:rPr>
              <w:t>5.09</w:t>
            </w:r>
          </w:p>
        </w:tc>
        <w:tc>
          <w:tcPr>
            <w:tcW w:w="140" w:type="dxa"/>
            <w:vAlign w:val="bottom"/>
          </w:tcPr>
          <w:p>
            <w:pPr>
              <w:spacing w:after="0"/>
              <w:rPr>
                <w:sz w:val="22"/>
                <w:szCs w:val="22"/>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0" w:type="dxa"/>
            <w:vAlign w:val="bottom"/>
          </w:tcPr>
          <w:p>
            <w:pPr>
              <w:spacing w:after="0"/>
              <w:rPr>
                <w:sz w:val="1"/>
                <w:szCs w:val="1"/>
                <w:color w:val="auto"/>
              </w:rPr>
            </w:pPr>
          </w:p>
        </w:tc>
      </w:tr>
      <w:tr>
        <w:trPr>
          <w:trHeight w:val="230"/>
        </w:trPr>
        <w:tc>
          <w:tcPr>
            <w:tcW w:w="14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826,585</w:t>
            </w:r>
          </w:p>
        </w:tc>
        <w:tc>
          <w:tcPr>
            <w:tcW w:w="180" w:type="dxa"/>
            <w:vAlign w:val="bottom"/>
          </w:tcPr>
          <w:p>
            <w:pPr>
              <w:spacing w:after="0"/>
              <w:rPr>
                <w:sz w:val="19"/>
                <w:szCs w:val="19"/>
                <w:color w:val="auto"/>
              </w:rPr>
            </w:pPr>
          </w:p>
        </w:tc>
        <w:tc>
          <w:tcPr>
            <w:tcW w:w="280" w:type="dxa"/>
            <w:vAlign w:val="bottom"/>
            <w:gridSpan w:val="2"/>
            <w:vMerge w:val="continue"/>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1,596,067</w:t>
            </w:r>
          </w:p>
        </w:tc>
        <w:tc>
          <w:tcPr>
            <w:tcW w:w="120" w:type="dxa"/>
            <w:vAlign w:val="bottom"/>
          </w:tcPr>
          <w:p>
            <w:pPr>
              <w:spacing w:after="0"/>
              <w:rPr>
                <w:sz w:val="19"/>
                <w:szCs w:val="19"/>
                <w:color w:val="auto"/>
              </w:rPr>
            </w:pPr>
          </w:p>
        </w:tc>
        <w:tc>
          <w:tcPr>
            <w:tcW w:w="280" w:type="dxa"/>
            <w:vAlign w:val="bottom"/>
            <w:gridSpan w:val="2"/>
            <w:vMerge w:val="continue"/>
          </w:tcPr>
          <w:p>
            <w:pPr>
              <w:spacing w:after="0"/>
              <w:rPr>
                <w:sz w:val="19"/>
                <w:szCs w:val="19"/>
                <w:color w:val="auto"/>
              </w:rPr>
            </w:pPr>
          </w:p>
        </w:tc>
        <w:tc>
          <w:tcPr>
            <w:tcW w:w="10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8"/>
                <w:szCs w:val="18"/>
                <w:color w:val="auto"/>
              </w:rPr>
              <w:t>4.89</w:t>
            </w: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0" w:type="dxa"/>
            <w:vAlign w:val="bottom"/>
          </w:tcPr>
          <w:p>
            <w:pPr>
              <w:spacing w:after="0" w:line="20" w:lineRule="exact"/>
              <w:rPr>
                <w:sz w:val="1"/>
                <w:szCs w:val="1"/>
                <w:color w:val="auto"/>
              </w:rPr>
            </w:pPr>
          </w:p>
        </w:tc>
      </w:tr>
      <w:tr>
        <w:trPr>
          <w:trHeight w:val="655"/>
        </w:trPr>
        <w:tc>
          <w:tcPr>
            <w:tcW w:w="140" w:type="dxa"/>
            <w:vAlign w:val="bottom"/>
          </w:tcPr>
          <w:p>
            <w:pPr>
              <w:spacing w:after="0"/>
              <w:rPr>
                <w:sz w:val="24"/>
                <w:szCs w:val="24"/>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768,960</w:t>
            </w:r>
          </w:p>
        </w:tc>
        <w:tc>
          <w:tcPr>
            <w:tcW w:w="280" w:type="dxa"/>
            <w:vAlign w:val="bottom"/>
            <w:gridSpan w:val="2"/>
            <w:vMerge w:val="continue"/>
          </w:tcPr>
          <w:p>
            <w:pPr>
              <w:spacing w:after="0"/>
              <w:rPr>
                <w:sz w:val="24"/>
                <w:szCs w:val="24"/>
                <w:color w:val="auto"/>
              </w:rPr>
            </w:pPr>
          </w:p>
        </w:tc>
        <w:tc>
          <w:tcPr>
            <w:tcW w:w="124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1,443,567</w:t>
            </w:r>
          </w:p>
        </w:tc>
        <w:tc>
          <w:tcPr>
            <w:tcW w:w="120" w:type="dxa"/>
            <w:vAlign w:val="bottom"/>
          </w:tcPr>
          <w:p>
            <w:pPr>
              <w:spacing w:after="0"/>
              <w:rPr>
                <w:sz w:val="24"/>
                <w:szCs w:val="24"/>
                <w:color w:val="auto"/>
              </w:rPr>
            </w:pPr>
          </w:p>
        </w:tc>
        <w:tc>
          <w:tcPr>
            <w:tcW w:w="280" w:type="dxa"/>
            <w:vAlign w:val="bottom"/>
            <w:gridSpan w:val="2"/>
            <w:vMerge w:val="continue"/>
          </w:tcPr>
          <w:p>
            <w:pPr>
              <w:spacing w:after="0"/>
              <w:rPr>
                <w:sz w:val="24"/>
                <w:szCs w:val="24"/>
                <w:color w:val="auto"/>
              </w:rPr>
            </w:pPr>
          </w:p>
        </w:tc>
        <w:tc>
          <w:tcPr>
            <w:tcW w:w="10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140" w:type="dxa"/>
            <w:vAlign w:val="bottom"/>
          </w:tcPr>
          <w:p>
            <w:pPr>
              <w:spacing w:after="0"/>
              <w:rPr>
                <w:sz w:val="24"/>
                <w:szCs w:val="24"/>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38,564</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556,238</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40" w:type="dxa"/>
            <w:vAlign w:val="bottom"/>
          </w:tcPr>
          <w:p>
            <w:pPr>
              <w:spacing w:after="0"/>
              <w:rPr>
                <w:sz w:val="24"/>
                <w:szCs w:val="24"/>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5.05 years</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6.00 years</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140" w:type="dxa"/>
            <w:vAlign w:val="bottom"/>
          </w:tcPr>
          <w:p>
            <w:pPr>
              <w:spacing w:after="0"/>
              <w:rPr>
                <w:sz w:val="24"/>
                <w:szCs w:val="24"/>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4.72 years</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5.75 years</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5"/>
        </w:trPr>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2,083,992</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3,255,564</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2,089,110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3,264,864</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-2178685</wp:posOffset>
            </wp:positionH>
            <wp:positionV relativeFrom="paragraph">
              <wp:posOffset>-3522345</wp:posOffset>
            </wp:positionV>
            <wp:extent cx="5700395" cy="1371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700395" cy="137160"/>
                    </a:xfrm>
                    <a:prstGeom prst="rect">
                      <a:avLst/>
                    </a:prstGeom>
                    <a:noFill/>
                  </pic:spPr>
                </pic:pic>
              </a:graphicData>
            </a:graphic>
          </wp:anchor>
        </w:drawing>
        <w:drawing>
          <wp:anchor simplePos="0" relativeHeight="251657728" behindDoc="1" locked="0" layoutInCell="0" allowOverlap="1">
            <wp:simplePos x="0" y="0"/>
            <wp:positionH relativeFrom="column">
              <wp:posOffset>-2178685</wp:posOffset>
            </wp:positionH>
            <wp:positionV relativeFrom="paragraph">
              <wp:posOffset>-3248025</wp:posOffset>
            </wp:positionV>
            <wp:extent cx="5700395" cy="1371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700395" cy="137160"/>
                    </a:xfrm>
                    <a:prstGeom prst="rect">
                      <a:avLst/>
                    </a:prstGeom>
                    <a:noFill/>
                  </pic:spPr>
                </pic:pic>
              </a:graphicData>
            </a:graphic>
          </wp:anchor>
        </w:drawing>
        <w:drawing>
          <wp:anchor simplePos="0" relativeHeight="251657728" behindDoc="1" locked="0" layoutInCell="0" allowOverlap="1">
            <wp:simplePos x="0" y="0"/>
            <wp:positionH relativeFrom="column">
              <wp:posOffset>-2178685</wp:posOffset>
            </wp:positionH>
            <wp:positionV relativeFrom="paragraph">
              <wp:posOffset>-2973705</wp:posOffset>
            </wp:positionV>
            <wp:extent cx="5700395" cy="1543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700395" cy="154305"/>
                    </a:xfrm>
                    <a:prstGeom prst="rect">
                      <a:avLst/>
                    </a:prstGeom>
                    <a:noFill/>
                  </pic:spPr>
                </pic:pic>
              </a:graphicData>
            </a:graphic>
          </wp:anchor>
        </w:drawing>
        <w:drawing>
          <wp:anchor simplePos="0" relativeHeight="251657728" behindDoc="1" locked="0" layoutInCell="0" allowOverlap="1">
            <wp:simplePos x="0" y="0"/>
            <wp:positionH relativeFrom="column">
              <wp:posOffset>-2178685</wp:posOffset>
            </wp:positionH>
            <wp:positionV relativeFrom="paragraph">
              <wp:posOffset>-2656840</wp:posOffset>
            </wp:positionV>
            <wp:extent cx="5700395" cy="1543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700395" cy="154305"/>
                    </a:xfrm>
                    <a:prstGeom prst="rect">
                      <a:avLst/>
                    </a:prstGeom>
                    <a:noFill/>
                  </pic:spPr>
                </pic:pic>
              </a:graphicData>
            </a:graphic>
          </wp:anchor>
        </w:drawing>
        <w:drawing>
          <wp:anchor simplePos="0" relativeHeight="251657728" behindDoc="1" locked="0" layoutInCell="0" allowOverlap="1">
            <wp:simplePos x="0" y="0"/>
            <wp:positionH relativeFrom="column">
              <wp:posOffset>-2178685</wp:posOffset>
            </wp:positionH>
            <wp:positionV relativeFrom="paragraph">
              <wp:posOffset>-2365375</wp:posOffset>
            </wp:positionV>
            <wp:extent cx="5700395" cy="1625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700395" cy="162560"/>
                    </a:xfrm>
                    <a:prstGeom prst="rect">
                      <a:avLst/>
                    </a:prstGeom>
                    <a:noFill/>
                  </pic:spPr>
                </pic:pic>
              </a:graphicData>
            </a:graphic>
          </wp:anchor>
        </w:drawing>
        <w:drawing>
          <wp:anchor simplePos="0" relativeHeight="251657728" behindDoc="1" locked="0" layoutInCell="0" allowOverlap="1">
            <wp:simplePos x="0" y="0"/>
            <wp:positionH relativeFrom="column">
              <wp:posOffset>-2178685</wp:posOffset>
            </wp:positionH>
            <wp:positionV relativeFrom="paragraph">
              <wp:posOffset>-2047875</wp:posOffset>
            </wp:positionV>
            <wp:extent cx="5700395" cy="1371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700395" cy="137160"/>
                    </a:xfrm>
                    <a:prstGeom prst="rect">
                      <a:avLst/>
                    </a:prstGeom>
                    <a:noFill/>
                  </pic:spPr>
                </pic:pic>
              </a:graphicData>
            </a:graphic>
          </wp:anchor>
        </w:drawing>
        <w:drawing>
          <wp:anchor simplePos="0" relativeHeight="251657728" behindDoc="1" locked="0" layoutInCell="0" allowOverlap="1">
            <wp:simplePos x="0" y="0"/>
            <wp:positionH relativeFrom="column">
              <wp:posOffset>-2178685</wp:posOffset>
            </wp:positionH>
            <wp:positionV relativeFrom="paragraph">
              <wp:posOffset>-1748155</wp:posOffset>
            </wp:positionV>
            <wp:extent cx="5700395" cy="1543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700395" cy="154305"/>
                    </a:xfrm>
                    <a:prstGeom prst="rect">
                      <a:avLst/>
                    </a:prstGeom>
                    <a:noFill/>
                  </pic:spPr>
                </pic:pic>
              </a:graphicData>
            </a:graphic>
          </wp:anchor>
        </w:drawing>
        <w:drawing>
          <wp:anchor simplePos="0" relativeHeight="251657728" behindDoc="1" locked="0" layoutInCell="0" allowOverlap="1">
            <wp:simplePos x="0" y="0"/>
            <wp:positionH relativeFrom="column">
              <wp:posOffset>-2178685</wp:posOffset>
            </wp:positionH>
            <wp:positionV relativeFrom="paragraph">
              <wp:posOffset>-1319530</wp:posOffset>
            </wp:positionV>
            <wp:extent cx="5700395" cy="1371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700395" cy="137160"/>
                    </a:xfrm>
                    <a:prstGeom prst="rect">
                      <a:avLst/>
                    </a:prstGeom>
                    <a:noFill/>
                  </pic:spPr>
                </pic:pic>
              </a:graphicData>
            </a:graphic>
          </wp:anchor>
        </w:drawing>
        <w:drawing>
          <wp:anchor simplePos="0" relativeHeight="251657728" behindDoc="1" locked="0" layoutInCell="0" allowOverlap="1">
            <wp:simplePos x="0" y="0"/>
            <wp:positionH relativeFrom="column">
              <wp:posOffset>-2178685</wp:posOffset>
            </wp:positionH>
            <wp:positionV relativeFrom="paragraph">
              <wp:posOffset>-908050</wp:posOffset>
            </wp:positionV>
            <wp:extent cx="5700395" cy="1371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700395" cy="137160"/>
                    </a:xfrm>
                    <a:prstGeom prst="rect">
                      <a:avLst/>
                    </a:prstGeom>
                    <a:noFill/>
                  </pic:spPr>
                </pic:pic>
              </a:graphicData>
            </a:graphic>
          </wp:anchor>
        </w:drawing>
        <w:drawing>
          <wp:anchor simplePos="0" relativeHeight="251657728" behindDoc="1" locked="0" layoutInCell="0" allowOverlap="1">
            <wp:simplePos x="0" y="0"/>
            <wp:positionH relativeFrom="column">
              <wp:posOffset>-2178685</wp:posOffset>
            </wp:positionH>
            <wp:positionV relativeFrom="paragraph">
              <wp:posOffset>-471170</wp:posOffset>
            </wp:positionV>
            <wp:extent cx="5700395" cy="1543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700395"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180" w:space="260"/>
            <w:col w:w="7800"/>
          </w:cols>
          <w:pgMar w:left="320" w:top="661" w:right="339" w:bottom="1440" w:gutter="0" w:footer="0" w:header="0"/>
          <w:type w:val="continuous"/>
        </w:sectPr>
      </w:pPr>
    </w:p>
    <w:p>
      <w:pPr>
        <w:spacing w:after="0" w:line="38" w:lineRule="exact"/>
        <w:rPr>
          <w:sz w:val="20"/>
          <w:szCs w:val="20"/>
          <w:color w:val="auto"/>
        </w:rPr>
      </w:pPr>
    </w:p>
    <w:p>
      <w:pPr>
        <w:ind w:left="360" w:hanging="292"/>
        <w:spacing w:after="0"/>
        <w:tabs>
          <w:tab w:leader="none" w:pos="36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used a stock price of $7.61 as of June 30, 2024 to derive intrinsic value.</w:t>
      </w:r>
    </w:p>
    <w:p>
      <w:pPr>
        <w:spacing w:after="0" w:line="128" w:lineRule="exact"/>
        <w:rPr>
          <w:rFonts w:ascii="Times New Roman" w:cs="Times New Roman" w:eastAsia="Times New Roman" w:hAnsi="Times New Roman"/>
          <w:sz w:val="17"/>
          <w:szCs w:val="17"/>
          <w:color w:val="auto"/>
        </w:rPr>
      </w:pPr>
    </w:p>
    <w:p>
      <w:pPr>
        <w:ind w:left="360" w:hanging="292"/>
        <w:spacing w:after="0"/>
        <w:tabs>
          <w:tab w:leader="none" w:pos="3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for the effect of annual stock dividends.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type w:val="continuous"/>
        </w:sectPr>
      </w:pPr>
    </w:p>
    <w:bookmarkStart w:id="38" w:name="page39"/>
    <w:bookmarkEnd w:id="38"/>
    <w:p>
      <w:pPr>
        <w:jc w:val="right"/>
        <w:ind w:right="2700"/>
        <w:spacing w:after="0"/>
        <w:rPr>
          <w:sz w:val="20"/>
          <w:szCs w:val="20"/>
          <w:color w:val="auto"/>
        </w:rPr>
      </w:pPr>
      <w:r>
        <w:rPr>
          <w:rFonts w:ascii="Times New Roman" w:cs="Times New Roman" w:eastAsia="Times New Roman" w:hAnsi="Times New Roman"/>
          <w:sz w:val="18"/>
          <w:szCs w:val="18"/>
          <w:color w:val="auto"/>
        </w:rPr>
        <w:t>SECURITY NATIONAL FINANCIAL CORPORATION AND SUBSIDIARIES</w:t>
      </w:r>
    </w:p>
    <w:p>
      <w:pPr>
        <w:spacing w:after="0" w:line="27"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p>
      <w:pPr>
        <w:spacing w:after="0" w:line="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June 30, 2024 (Unaudited)</w:t>
      </w:r>
    </w:p>
    <w:p>
      <w:pPr>
        <w:spacing w:after="0" w:line="207" w:lineRule="exact"/>
        <w:rPr>
          <w:sz w:val="20"/>
          <w:szCs w:val="20"/>
          <w:color w:val="auto"/>
        </w:rPr>
      </w:pPr>
    </w:p>
    <w:p>
      <w:pPr>
        <w:ind w:left="200" w:hanging="192"/>
        <w:spacing w:after="0"/>
        <w:tabs>
          <w:tab w:leader="none" w:pos="2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Compensation Plans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Activity of the stock option plans during the six month period ended June 30, 2023, is summarized as follows:</w:t>
      </w:r>
    </w:p>
    <w:p>
      <w:pPr>
        <w:sectPr>
          <w:pgSz w:w="11900" w:h="16838" w:orient="portrait"/>
          <w:cols w:equalWidth="0" w:num="1">
            <w:col w:w="11240"/>
          </w:cols>
          <w:pgMar w:left="320" w:top="66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Outstanding at January 1, 2023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Adjustment for the effect of stock dividends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Exercised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Cancelled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Outstanding at June 30, 2023</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Options exercisable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Available options for future grant</w:t>
      </w:r>
    </w:p>
    <w:p>
      <w:pPr>
        <w:spacing w:after="0" w:line="274"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Weighted average contractual term of options outstanding at June 30, 2023</w:t>
      </w:r>
    </w:p>
    <w:p>
      <w:pPr>
        <w:spacing w:after="0" w:line="162"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Weighted average contractual term of options exercisable at June 30, 2023</w:t>
      </w:r>
    </w:p>
    <w:p>
      <w:pPr>
        <w:spacing w:after="0" w:line="162" w:lineRule="exact"/>
        <w:rPr>
          <w:sz w:val="20"/>
          <w:szCs w:val="20"/>
          <w:color w:val="auto"/>
        </w:rPr>
      </w:pPr>
    </w:p>
    <w:p>
      <w:pPr>
        <w:ind w:right="500"/>
        <w:spacing w:after="0" w:line="312" w:lineRule="auto"/>
        <w:rPr>
          <w:sz w:val="20"/>
          <w:szCs w:val="20"/>
          <w:color w:val="auto"/>
        </w:rPr>
      </w:pPr>
      <w:r>
        <w:rPr>
          <w:rFonts w:ascii="Times New Roman" w:cs="Times New Roman" w:eastAsia="Times New Roman" w:hAnsi="Times New Roman"/>
          <w:sz w:val="17"/>
          <w:szCs w:val="17"/>
          <w:color w:val="auto"/>
        </w:rPr>
        <w:t>Aggregated intrinsic value of options outstanding at June 30, 2023 (1)</w:t>
      </w:r>
    </w:p>
    <w:p>
      <w:pPr>
        <w:spacing w:after="0" w:line="207" w:lineRule="exact"/>
        <w:rPr>
          <w:sz w:val="20"/>
          <w:szCs w:val="20"/>
          <w:color w:val="auto"/>
        </w:rPr>
      </w:pPr>
    </w:p>
    <w:p>
      <w:pPr>
        <w:ind w:right="500"/>
        <w:spacing w:after="0" w:line="312" w:lineRule="auto"/>
        <w:rPr>
          <w:sz w:val="20"/>
          <w:szCs w:val="20"/>
          <w:color w:val="auto"/>
        </w:rPr>
      </w:pPr>
      <w:r>
        <w:rPr>
          <w:rFonts w:ascii="Times New Roman" w:cs="Times New Roman" w:eastAsia="Times New Roman" w:hAnsi="Times New Roman"/>
          <w:sz w:val="17"/>
          <w:szCs w:val="17"/>
          <w:color w:val="auto"/>
        </w:rPr>
        <w:t>Aggregated intrinsic value of options exercisable at June 30, 2023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178308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Weighted</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5"/>
              </w:rPr>
              <w:t>Average</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122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Number of</w:t>
            </w:r>
          </w:p>
        </w:tc>
        <w:tc>
          <w:tcPr>
            <w:tcW w:w="100" w:type="dxa"/>
            <w:vAlign w:val="bottom"/>
          </w:tcPr>
          <w:p>
            <w:pPr>
              <w:spacing w:after="0"/>
              <w:rPr>
                <w:sz w:val="18"/>
                <w:szCs w:val="18"/>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Exercise Price</w:t>
            </w:r>
          </w:p>
        </w:tc>
        <w:tc>
          <w:tcPr>
            <w:tcW w:w="0" w:type="dxa"/>
            <w:vAlign w:val="bottom"/>
          </w:tcPr>
          <w:p>
            <w:pPr>
              <w:spacing w:after="0"/>
              <w:rPr>
                <w:sz w:val="1"/>
                <w:szCs w:val="1"/>
                <w:color w:val="auto"/>
              </w:rPr>
            </w:pPr>
          </w:p>
        </w:tc>
      </w:tr>
      <w:tr>
        <w:trPr>
          <w:trHeight w:val="241"/>
        </w:trPr>
        <w:tc>
          <w:tcPr>
            <w:tcW w:w="1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Class A Shares</w:t>
            </w:r>
          </w:p>
        </w:tc>
        <w:tc>
          <w:tcPr>
            <w:tcW w:w="180" w:type="dxa"/>
            <w:vAlign w:val="bottom"/>
            <w:gridSpan w:val="2"/>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414"/>
        </w:trPr>
        <w:tc>
          <w:tcPr>
            <w:tcW w:w="140" w:type="dxa"/>
            <w:vAlign w:val="bottom"/>
          </w:tcPr>
          <w:p>
            <w:pPr>
              <w:spacing w:after="0"/>
              <w:rPr>
                <w:sz w:val="24"/>
                <w:szCs w:val="24"/>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976,605</w:t>
            </w:r>
          </w:p>
        </w:tc>
        <w:tc>
          <w:tcPr>
            <w:tcW w:w="160" w:type="dxa"/>
            <w:vAlign w:val="bottom"/>
          </w:tcPr>
          <w:p>
            <w:pPr>
              <w:spacing w:after="0"/>
              <w:rPr>
                <w:sz w:val="24"/>
                <w:szCs w:val="24"/>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12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38,266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12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16,000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0" w:type="dxa"/>
            <w:vAlign w:val="bottom"/>
          </w:tcPr>
          <w:p>
            <w:pPr>
              <w:spacing w:after="0"/>
              <w:rPr>
                <w:sz w:val="19"/>
                <w:szCs w:val="19"/>
                <w:color w:val="auto"/>
              </w:rPr>
            </w:pPr>
          </w:p>
        </w:tc>
        <w:tc>
          <w:tcPr>
            <w:tcW w:w="12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(214,989)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0" w:type="dxa"/>
            <w:vAlign w:val="bottom"/>
          </w:tcPr>
          <w:p>
            <w:pPr>
              <w:spacing w:after="0"/>
              <w:rPr>
                <w:sz w:val="1"/>
                <w:szCs w:val="1"/>
                <w:color w:val="auto"/>
              </w:rPr>
            </w:pPr>
          </w:p>
        </w:tc>
      </w:tr>
      <w:tr>
        <w:trPr>
          <w:trHeight w:val="230"/>
        </w:trPr>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815,882</w:t>
            </w:r>
          </w:p>
        </w:tc>
        <w:tc>
          <w:tcPr>
            <w:tcW w:w="160" w:type="dxa"/>
            <w:vAlign w:val="bottom"/>
          </w:tcPr>
          <w:p>
            <w:pPr>
              <w:spacing w:after="0"/>
              <w:rPr>
                <w:sz w:val="19"/>
                <w:szCs w:val="19"/>
                <w:color w:val="auto"/>
              </w:rPr>
            </w:pPr>
          </w:p>
        </w:tc>
        <w:tc>
          <w:tcPr>
            <w:tcW w:w="280" w:type="dxa"/>
            <w:vAlign w:val="bottom"/>
            <w:gridSpan w:val="2"/>
            <w:vMerge w:val="continue"/>
          </w:tcPr>
          <w:p>
            <w:pPr>
              <w:spacing w:after="0"/>
              <w:rPr>
                <w:sz w:val="19"/>
                <w:szCs w:val="19"/>
                <w:color w:val="auto"/>
              </w:rPr>
            </w:pPr>
          </w:p>
        </w:tc>
        <w:tc>
          <w:tcPr>
            <w:tcW w:w="9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0" w:type="dxa"/>
            <w:vAlign w:val="bottom"/>
          </w:tcPr>
          <w:p>
            <w:pPr>
              <w:spacing w:after="0" w:line="20" w:lineRule="exact"/>
              <w:rPr>
                <w:sz w:val="1"/>
                <w:szCs w:val="1"/>
                <w:color w:val="auto"/>
              </w:rPr>
            </w:pPr>
          </w:p>
        </w:tc>
      </w:tr>
      <w:tr>
        <w:trPr>
          <w:trHeight w:val="655"/>
        </w:trPr>
        <w:tc>
          <w:tcPr>
            <w:tcW w:w="1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764,632</w:t>
            </w:r>
          </w:p>
        </w:tc>
        <w:tc>
          <w:tcPr>
            <w:tcW w:w="160" w:type="dxa"/>
            <w:vAlign w:val="bottom"/>
          </w:tcPr>
          <w:p>
            <w:pPr>
              <w:spacing w:after="0"/>
              <w:rPr>
                <w:sz w:val="24"/>
                <w:szCs w:val="24"/>
                <w:color w:val="auto"/>
              </w:rPr>
            </w:pPr>
          </w:p>
        </w:tc>
        <w:tc>
          <w:tcPr>
            <w:tcW w:w="280" w:type="dxa"/>
            <w:vAlign w:val="bottom"/>
            <w:gridSpan w:val="2"/>
            <w:vMerge w:val="continue"/>
          </w:tcPr>
          <w:p>
            <w:pPr>
              <w:spacing w:after="0"/>
              <w:rPr>
                <w:sz w:val="24"/>
                <w:szCs w:val="24"/>
                <w:color w:val="auto"/>
              </w:rPr>
            </w:pPr>
          </w:p>
        </w:tc>
        <w:tc>
          <w:tcPr>
            <w:tcW w:w="9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1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171,386</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40" w:type="dxa"/>
            <w:vAlign w:val="bottom"/>
          </w:tcPr>
          <w:p>
            <w:pPr>
              <w:spacing w:after="0"/>
              <w:rPr>
                <w:sz w:val="24"/>
                <w:szCs w:val="24"/>
                <w:color w:val="auto"/>
              </w:rPr>
            </w:pPr>
          </w:p>
        </w:tc>
        <w:tc>
          <w:tcPr>
            <w:tcW w:w="12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4.87 years</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140" w:type="dxa"/>
            <w:vAlign w:val="bottom"/>
          </w:tcPr>
          <w:p>
            <w:pPr>
              <w:spacing w:after="0"/>
              <w:rPr>
                <w:sz w:val="24"/>
                <w:szCs w:val="24"/>
                <w:color w:val="auto"/>
              </w:rPr>
            </w:pPr>
          </w:p>
        </w:tc>
        <w:tc>
          <w:tcPr>
            <w:tcW w:w="12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4.56 years</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5"/>
        </w:trPr>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3,018,675</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2,910,455</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-2178685</wp:posOffset>
            </wp:positionH>
            <wp:positionV relativeFrom="paragraph">
              <wp:posOffset>-3522345</wp:posOffset>
            </wp:positionV>
            <wp:extent cx="5700395" cy="1371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700395" cy="137160"/>
                    </a:xfrm>
                    <a:prstGeom prst="rect">
                      <a:avLst/>
                    </a:prstGeom>
                    <a:noFill/>
                  </pic:spPr>
                </pic:pic>
              </a:graphicData>
            </a:graphic>
          </wp:anchor>
        </w:drawing>
        <w:drawing>
          <wp:anchor simplePos="0" relativeHeight="251657728" behindDoc="1" locked="0" layoutInCell="0" allowOverlap="1">
            <wp:simplePos x="0" y="0"/>
            <wp:positionH relativeFrom="column">
              <wp:posOffset>-2178685</wp:posOffset>
            </wp:positionH>
            <wp:positionV relativeFrom="paragraph">
              <wp:posOffset>-3248025</wp:posOffset>
            </wp:positionV>
            <wp:extent cx="5700395" cy="1371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700395" cy="137160"/>
                    </a:xfrm>
                    <a:prstGeom prst="rect">
                      <a:avLst/>
                    </a:prstGeom>
                    <a:noFill/>
                  </pic:spPr>
                </pic:pic>
              </a:graphicData>
            </a:graphic>
          </wp:anchor>
        </w:drawing>
        <w:drawing>
          <wp:anchor simplePos="0" relativeHeight="251657728" behindDoc="1" locked="0" layoutInCell="0" allowOverlap="1">
            <wp:simplePos x="0" y="0"/>
            <wp:positionH relativeFrom="column">
              <wp:posOffset>-2178685</wp:posOffset>
            </wp:positionH>
            <wp:positionV relativeFrom="paragraph">
              <wp:posOffset>-2973705</wp:posOffset>
            </wp:positionV>
            <wp:extent cx="5700395" cy="1543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700395" cy="154305"/>
                    </a:xfrm>
                    <a:prstGeom prst="rect">
                      <a:avLst/>
                    </a:prstGeom>
                    <a:noFill/>
                  </pic:spPr>
                </pic:pic>
              </a:graphicData>
            </a:graphic>
          </wp:anchor>
        </w:drawing>
        <w:drawing>
          <wp:anchor simplePos="0" relativeHeight="251657728" behindDoc="1" locked="0" layoutInCell="0" allowOverlap="1">
            <wp:simplePos x="0" y="0"/>
            <wp:positionH relativeFrom="column">
              <wp:posOffset>-2178685</wp:posOffset>
            </wp:positionH>
            <wp:positionV relativeFrom="paragraph">
              <wp:posOffset>-2656840</wp:posOffset>
            </wp:positionV>
            <wp:extent cx="5700395" cy="1543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700395" cy="154305"/>
                    </a:xfrm>
                    <a:prstGeom prst="rect">
                      <a:avLst/>
                    </a:prstGeom>
                    <a:noFill/>
                  </pic:spPr>
                </pic:pic>
              </a:graphicData>
            </a:graphic>
          </wp:anchor>
        </w:drawing>
        <w:drawing>
          <wp:anchor simplePos="0" relativeHeight="251657728" behindDoc="1" locked="0" layoutInCell="0" allowOverlap="1">
            <wp:simplePos x="0" y="0"/>
            <wp:positionH relativeFrom="column">
              <wp:posOffset>-2178685</wp:posOffset>
            </wp:positionH>
            <wp:positionV relativeFrom="paragraph">
              <wp:posOffset>-2365375</wp:posOffset>
            </wp:positionV>
            <wp:extent cx="5700395" cy="16319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700395" cy="163195"/>
                    </a:xfrm>
                    <a:prstGeom prst="rect">
                      <a:avLst/>
                    </a:prstGeom>
                    <a:noFill/>
                  </pic:spPr>
                </pic:pic>
              </a:graphicData>
            </a:graphic>
          </wp:anchor>
        </w:drawing>
        <w:drawing>
          <wp:anchor simplePos="0" relativeHeight="251657728" behindDoc="1" locked="0" layoutInCell="0" allowOverlap="1">
            <wp:simplePos x="0" y="0"/>
            <wp:positionH relativeFrom="column">
              <wp:posOffset>-2178685</wp:posOffset>
            </wp:positionH>
            <wp:positionV relativeFrom="paragraph">
              <wp:posOffset>-2047875</wp:posOffset>
            </wp:positionV>
            <wp:extent cx="5700395" cy="1371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700395" cy="137160"/>
                    </a:xfrm>
                    <a:prstGeom prst="rect">
                      <a:avLst/>
                    </a:prstGeom>
                    <a:noFill/>
                  </pic:spPr>
                </pic:pic>
              </a:graphicData>
            </a:graphic>
          </wp:anchor>
        </w:drawing>
        <w:drawing>
          <wp:anchor simplePos="0" relativeHeight="251657728" behindDoc="1" locked="0" layoutInCell="0" allowOverlap="1">
            <wp:simplePos x="0" y="0"/>
            <wp:positionH relativeFrom="column">
              <wp:posOffset>-2178685</wp:posOffset>
            </wp:positionH>
            <wp:positionV relativeFrom="paragraph">
              <wp:posOffset>-1748155</wp:posOffset>
            </wp:positionV>
            <wp:extent cx="5700395" cy="1543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700395" cy="154305"/>
                    </a:xfrm>
                    <a:prstGeom prst="rect">
                      <a:avLst/>
                    </a:prstGeom>
                    <a:noFill/>
                  </pic:spPr>
                </pic:pic>
              </a:graphicData>
            </a:graphic>
          </wp:anchor>
        </w:drawing>
        <w:drawing>
          <wp:anchor simplePos="0" relativeHeight="251657728" behindDoc="1" locked="0" layoutInCell="0" allowOverlap="1">
            <wp:simplePos x="0" y="0"/>
            <wp:positionH relativeFrom="column">
              <wp:posOffset>-2178685</wp:posOffset>
            </wp:positionH>
            <wp:positionV relativeFrom="paragraph">
              <wp:posOffset>-1319530</wp:posOffset>
            </wp:positionV>
            <wp:extent cx="5700395" cy="1371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700395" cy="137160"/>
                    </a:xfrm>
                    <a:prstGeom prst="rect">
                      <a:avLst/>
                    </a:prstGeom>
                    <a:noFill/>
                  </pic:spPr>
                </pic:pic>
              </a:graphicData>
            </a:graphic>
          </wp:anchor>
        </w:drawing>
        <w:drawing>
          <wp:anchor simplePos="0" relativeHeight="251657728" behindDoc="1" locked="0" layoutInCell="0" allowOverlap="1">
            <wp:simplePos x="0" y="0"/>
            <wp:positionH relativeFrom="column">
              <wp:posOffset>-2178685</wp:posOffset>
            </wp:positionH>
            <wp:positionV relativeFrom="paragraph">
              <wp:posOffset>-908050</wp:posOffset>
            </wp:positionV>
            <wp:extent cx="5700395" cy="1371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700395" cy="137160"/>
                    </a:xfrm>
                    <a:prstGeom prst="rect">
                      <a:avLst/>
                    </a:prstGeom>
                    <a:noFill/>
                  </pic:spPr>
                </pic:pic>
              </a:graphicData>
            </a:graphic>
          </wp:anchor>
        </w:drawing>
        <w:drawing>
          <wp:anchor simplePos="0" relativeHeight="251657728" behindDoc="1" locked="0" layoutInCell="0" allowOverlap="1">
            <wp:simplePos x="0" y="0"/>
            <wp:positionH relativeFrom="column">
              <wp:posOffset>-2178685</wp:posOffset>
            </wp:positionH>
            <wp:positionV relativeFrom="paragraph">
              <wp:posOffset>-471170</wp:posOffset>
            </wp:positionV>
            <wp:extent cx="5700395" cy="1543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700395"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7"/>
              </w:rPr>
              <w:t>Weighted</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11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Number of</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8"/>
              </w:rPr>
              <w:t>Average</w:t>
            </w:r>
          </w:p>
        </w:tc>
        <w:tc>
          <w:tcPr>
            <w:tcW w:w="0" w:type="dxa"/>
            <w:vAlign w:val="bottom"/>
          </w:tcPr>
          <w:p>
            <w:pPr>
              <w:spacing w:after="0"/>
              <w:rPr>
                <w:sz w:val="1"/>
                <w:szCs w:val="1"/>
                <w:color w:val="auto"/>
              </w:rPr>
            </w:pPr>
          </w:p>
        </w:tc>
      </w:tr>
      <w:tr>
        <w:trPr>
          <w:trHeight w:val="241"/>
        </w:trPr>
        <w:tc>
          <w:tcPr>
            <w:tcW w:w="1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Class C Shares</w:t>
            </w:r>
          </w:p>
        </w:tc>
        <w:tc>
          <w:tcPr>
            <w:tcW w:w="140" w:type="dxa"/>
            <w:vAlign w:val="bottom"/>
            <w:gridSpan w:val="2"/>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Exercise Price</w:t>
            </w:r>
          </w:p>
        </w:tc>
        <w:tc>
          <w:tcPr>
            <w:tcW w:w="0" w:type="dxa"/>
            <w:vAlign w:val="bottom"/>
          </w:tcPr>
          <w:p>
            <w:pPr>
              <w:spacing w:after="0"/>
              <w:rPr>
                <w:sz w:val="1"/>
                <w:szCs w:val="1"/>
                <w:color w:val="auto"/>
              </w:rPr>
            </w:pPr>
          </w:p>
        </w:tc>
      </w:tr>
      <w:tr>
        <w:trPr>
          <w:trHeight w:val="414"/>
        </w:trPr>
        <w:tc>
          <w:tcPr>
            <w:tcW w:w="140" w:type="dxa"/>
            <w:vAlign w:val="bottom"/>
          </w:tcPr>
          <w:p>
            <w:pPr>
              <w:spacing w:after="0"/>
              <w:rPr>
                <w:sz w:val="24"/>
                <w:szCs w:val="24"/>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1,157,203</w:t>
            </w:r>
          </w:p>
        </w:tc>
        <w:tc>
          <w:tcPr>
            <w:tcW w:w="120" w:type="dxa"/>
            <w:vAlign w:val="bottom"/>
          </w:tcPr>
          <w:p>
            <w:pPr>
              <w:spacing w:after="0"/>
              <w:rPr>
                <w:sz w:val="24"/>
                <w:szCs w:val="24"/>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11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57,859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0" w:type="dxa"/>
            <w:vAlign w:val="bottom"/>
          </w:tcPr>
          <w:p>
            <w:pPr>
              <w:spacing w:after="0"/>
              <w:rPr>
                <w:sz w:val="1"/>
                <w:szCs w:val="1"/>
                <w:color w:val="auto"/>
              </w:rPr>
            </w:pPr>
          </w:p>
        </w:tc>
      </w:tr>
      <w:tr>
        <w:trPr>
          <w:trHeight w:val="230"/>
        </w:trPr>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1,215,062</w:t>
            </w:r>
          </w:p>
        </w:tc>
        <w:tc>
          <w:tcPr>
            <w:tcW w:w="120" w:type="dxa"/>
            <w:vAlign w:val="bottom"/>
          </w:tcPr>
          <w:p>
            <w:pPr>
              <w:spacing w:after="0"/>
              <w:rPr>
                <w:sz w:val="19"/>
                <w:szCs w:val="19"/>
                <w:color w:val="auto"/>
              </w:rPr>
            </w:pPr>
          </w:p>
        </w:tc>
        <w:tc>
          <w:tcPr>
            <w:tcW w:w="280" w:type="dxa"/>
            <w:vAlign w:val="bottom"/>
            <w:gridSpan w:val="2"/>
            <w:vMerge w:val="continue"/>
          </w:tcPr>
          <w:p>
            <w:pPr>
              <w:spacing w:after="0"/>
              <w:rPr>
                <w:sz w:val="19"/>
                <w:szCs w:val="19"/>
                <w:color w:val="auto"/>
              </w:rPr>
            </w:pPr>
          </w:p>
        </w:tc>
        <w:tc>
          <w:tcPr>
            <w:tcW w:w="10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0" w:type="dxa"/>
            <w:vAlign w:val="bottom"/>
          </w:tcPr>
          <w:p>
            <w:pPr>
              <w:spacing w:after="0" w:line="20" w:lineRule="exact"/>
              <w:rPr>
                <w:sz w:val="1"/>
                <w:szCs w:val="1"/>
                <w:color w:val="auto"/>
              </w:rPr>
            </w:pPr>
          </w:p>
        </w:tc>
      </w:tr>
      <w:tr>
        <w:trPr>
          <w:trHeight w:val="655"/>
        </w:trPr>
        <w:tc>
          <w:tcPr>
            <w:tcW w:w="1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1,067,562</w:t>
            </w:r>
          </w:p>
        </w:tc>
        <w:tc>
          <w:tcPr>
            <w:tcW w:w="120" w:type="dxa"/>
            <w:vAlign w:val="bottom"/>
          </w:tcPr>
          <w:p>
            <w:pPr>
              <w:spacing w:after="0"/>
              <w:rPr>
                <w:sz w:val="24"/>
                <w:szCs w:val="24"/>
                <w:color w:val="auto"/>
              </w:rPr>
            </w:pPr>
          </w:p>
        </w:tc>
        <w:tc>
          <w:tcPr>
            <w:tcW w:w="280" w:type="dxa"/>
            <w:vAlign w:val="bottom"/>
            <w:gridSpan w:val="2"/>
            <w:vMerge w:val="continue"/>
          </w:tcPr>
          <w:p>
            <w:pPr>
              <w:spacing w:after="0"/>
              <w:rPr>
                <w:sz w:val="24"/>
                <w:szCs w:val="24"/>
                <w:color w:val="auto"/>
              </w:rPr>
            </w:pPr>
          </w:p>
        </w:tc>
        <w:tc>
          <w:tcPr>
            <w:tcW w:w="10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1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834,750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40" w:type="dxa"/>
            <w:vAlign w:val="bottom"/>
          </w:tcPr>
          <w:p>
            <w:pPr>
              <w:spacing w:after="0"/>
              <w:rPr>
                <w:sz w:val="24"/>
                <w:szCs w:val="24"/>
                <w:color w:val="auto"/>
              </w:rPr>
            </w:pPr>
          </w:p>
        </w:tc>
        <w:tc>
          <w:tcPr>
            <w:tcW w:w="11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6.41 years</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140" w:type="dxa"/>
            <w:vAlign w:val="bottom"/>
          </w:tcPr>
          <w:p>
            <w:pPr>
              <w:spacing w:after="0"/>
              <w:rPr>
                <w:sz w:val="24"/>
                <w:szCs w:val="24"/>
                <w:color w:val="auto"/>
              </w:rPr>
            </w:pPr>
          </w:p>
        </w:tc>
        <w:tc>
          <w:tcPr>
            <w:tcW w:w="11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6.14 years</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5"/>
        </w:trPr>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3,815,225</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3,487,200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3">
            <w:col w:w="3180" w:space="260"/>
            <w:col w:w="2620" w:space="260"/>
            <w:col w:w="4920"/>
          </w:cols>
          <w:pgMar w:left="320" w:top="661" w:right="339" w:bottom="1440" w:gutter="0" w:footer="0" w:header="0"/>
          <w:type w:val="continuous"/>
        </w:sectPr>
      </w:pPr>
    </w:p>
    <w:p>
      <w:pPr>
        <w:spacing w:after="0" w:line="38" w:lineRule="exact"/>
        <w:rPr>
          <w:sz w:val="20"/>
          <w:szCs w:val="20"/>
          <w:color w:val="auto"/>
        </w:rPr>
      </w:pPr>
    </w:p>
    <w:p>
      <w:pPr>
        <w:ind w:left="360" w:hanging="292"/>
        <w:spacing w:after="0"/>
        <w:tabs>
          <w:tab w:leader="none" w:pos="3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used a stock price of $8.45 as of June 30, 2023 to derive intrinsic value.</w:t>
      </w:r>
    </w:p>
    <w:p>
      <w:pPr>
        <w:spacing w:after="0" w:line="117" w:lineRule="exact"/>
        <w:rPr>
          <w:rFonts w:ascii="Times New Roman" w:cs="Times New Roman" w:eastAsia="Times New Roman" w:hAnsi="Times New Roman"/>
          <w:sz w:val="18"/>
          <w:szCs w:val="18"/>
          <w:color w:val="auto"/>
        </w:rPr>
      </w:pPr>
    </w:p>
    <w:p>
      <w:pPr>
        <w:ind w:left="360" w:hanging="292"/>
        <w:spacing w:after="0"/>
        <w:tabs>
          <w:tab w:leader="none" w:pos="3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for the effect of annual stock dividends.</w:t>
      </w:r>
    </w:p>
    <w:p>
      <w:pPr>
        <w:spacing w:after="0" w:line="33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total intrinsic value (which is the amount by which the fair value of the underlying stock exceeds the exercise price of an option on the exercise date) of stock options exercised during the six month periods ended June 30, 2024 and 2023 was $142,210 and $387,561, respectively.</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type w:val="continuous"/>
        </w:sectPr>
      </w:pPr>
    </w:p>
    <w:bookmarkStart w:id="39" w:name="page40"/>
    <w:bookmarkEnd w:id="39"/>
    <w:p>
      <w:pPr>
        <w:ind w:left="2700"/>
        <w:spacing w:after="0"/>
        <w:rPr>
          <w:sz w:val="20"/>
          <w:szCs w:val="20"/>
          <w:color w:val="auto"/>
        </w:rPr>
      </w:pPr>
      <w:r>
        <w:rPr>
          <w:rFonts w:ascii="Times New Roman" w:cs="Times New Roman" w:eastAsia="Times New Roman" w:hAnsi="Times New Roman"/>
          <w:sz w:val="18"/>
          <w:szCs w:val="18"/>
          <w:color w:val="auto"/>
        </w:rPr>
        <w:t>SECURITY NATIONAL FINANCIAL CORPORATION AND SUBSIDIARIES</w:t>
      </w:r>
    </w:p>
    <w:p>
      <w:pPr>
        <w:spacing w:after="0" w:line="27"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p>
      <w:pPr>
        <w:spacing w:after="0" w:line="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June 30, 2024 (Unaudited)</w:t>
      </w:r>
    </w:p>
    <w:p>
      <w:pPr>
        <w:spacing w:after="0" w:line="207" w:lineRule="exact"/>
        <w:rPr>
          <w:sz w:val="20"/>
          <w:szCs w:val="20"/>
          <w:color w:val="auto"/>
        </w:rPr>
      </w:pPr>
    </w:p>
    <w:p>
      <w:pPr>
        <w:ind w:left="200" w:hanging="192"/>
        <w:spacing w:after="0"/>
        <w:tabs>
          <w:tab w:leader="none" w:pos="2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Compensation Plans</w:t>
      </w:r>
      <w:r>
        <w:rPr>
          <w:rFonts w:ascii="Times New Roman" w:cs="Times New Roman" w:eastAsia="Times New Roman" w:hAnsi="Times New Roman"/>
          <w:sz w:val="18"/>
          <w:szCs w:val="18"/>
          <w:color w:val="auto"/>
        </w:rPr>
        <w:t xml:space="preserve"> (Continued)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 Units (“RSUs”)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Stock based compensation expense for RSUs issued of $882 and nil has been recognized under these plans for the three month periods ended June 30, 2024 and 2023, respectively, and of $1,771 and $742 has been recognized under these plans for the six month periods ended June 30, 2024 and 2023, respectively, and is included in personnel expenses on the condensed consolidated statements of earnings. The fair value of each RSU granted is determined by the Company’s stock price on the date of the grant. As of June 30, 2024, the total unrecognized compensation expense related to the RSUs issued was $1,493, which is expected to be recognized over the remaining vesting period.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Activity of the RSUs during the six month period ended June 30, 2024 is summarized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Weighted Average</w:t>
            </w:r>
          </w:p>
        </w:tc>
      </w:tr>
      <w:tr>
        <w:trPr>
          <w:trHeight w:val="216"/>
        </w:trPr>
        <w:tc>
          <w:tcPr>
            <w:tcW w:w="4900" w:type="dxa"/>
            <w:vAlign w:val="bottom"/>
          </w:tcPr>
          <w:p>
            <w:pPr>
              <w:spacing w:after="0"/>
              <w:rPr>
                <w:sz w:val="18"/>
                <w:szCs w:val="18"/>
                <w:color w:val="auto"/>
              </w:rPr>
            </w:pPr>
          </w:p>
        </w:tc>
        <w:tc>
          <w:tcPr>
            <w:tcW w:w="146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Number of</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Grant Date Fair</w:t>
            </w:r>
          </w:p>
        </w:tc>
      </w:tr>
      <w:tr>
        <w:trPr>
          <w:trHeight w:val="241"/>
        </w:trPr>
        <w:tc>
          <w:tcPr>
            <w:tcW w:w="4900" w:type="dxa"/>
            <w:vAlign w:val="bottom"/>
          </w:tcPr>
          <w:p>
            <w:pPr>
              <w:spacing w:after="0"/>
              <w:rPr>
                <w:sz w:val="20"/>
                <w:szCs w:val="20"/>
                <w:color w:val="auto"/>
              </w:rPr>
            </w:pPr>
          </w:p>
        </w:tc>
        <w:tc>
          <w:tcPr>
            <w:tcW w:w="14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Class A Shares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2"/>
              </w:rPr>
              <w:t>Value</w:t>
            </w:r>
          </w:p>
        </w:tc>
      </w:tr>
      <w:tr>
        <w:trPr>
          <w:trHeight w:val="216"/>
        </w:trPr>
        <w:tc>
          <w:tcPr>
            <w:tcW w:w="4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at January 1, 2024</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2,245</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49"/>
        </w:trPr>
        <w:tc>
          <w:tcPr>
            <w:tcW w:w="4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14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(865)</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r>
      <w:tr>
        <w:trPr>
          <w:trHeight w:val="257"/>
        </w:trPr>
        <w:tc>
          <w:tcPr>
            <w:tcW w:w="4900" w:type="dxa"/>
            <w:vAlign w:val="bottom"/>
            <w:tcBorders>
              <w:top w:val="single" w:sz="8" w:color="CCEEFF"/>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Non-vested at June 30, 2024</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1,380</w:t>
            </w:r>
          </w:p>
        </w:tc>
        <w:tc>
          <w:tcPr>
            <w:tcW w:w="20" w:type="dxa"/>
            <w:vAlign w:val="bottom"/>
            <w:tcBorders>
              <w:top w:val="single" w:sz="8" w:color="CCEEFF"/>
              <w:bottom w:val="single" w:sz="8" w:color="CCEEFF"/>
            </w:tcBorders>
          </w:tcPr>
          <w:p>
            <w:pPr>
              <w:spacing w:after="0"/>
              <w:rPr>
                <w:sz w:val="22"/>
                <w:szCs w:val="22"/>
                <w:color w:val="auto"/>
              </w:rPr>
            </w:pPr>
          </w:p>
        </w:tc>
        <w:tc>
          <w:tcPr>
            <w:tcW w:w="100" w:type="dxa"/>
            <w:vAlign w:val="bottom"/>
            <w:tcBorders>
              <w:top w:val="single" w:sz="8" w:color="CCEEFF"/>
              <w:bottom w:val="single" w:sz="8" w:color="CCEEFF"/>
            </w:tcBorders>
          </w:tcPr>
          <w:p>
            <w:pPr>
              <w:spacing w:after="0"/>
              <w:rPr>
                <w:sz w:val="22"/>
                <w:szCs w:val="22"/>
                <w:color w:val="auto"/>
              </w:rPr>
            </w:pPr>
          </w:p>
        </w:tc>
        <w:tc>
          <w:tcPr>
            <w:tcW w:w="180" w:type="dxa"/>
            <w:vAlign w:val="bottom"/>
            <w:tcBorders>
              <w:top w:val="single" w:sz="8" w:color="CCEEFF"/>
              <w:bottom w:val="single" w:sz="8" w:color="CCEEFF"/>
            </w:tcBorders>
            <w:gridSpan w:val="2"/>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CCEEFF"/>
              <w:bottom w:val="single" w:sz="8" w:color="CCEEFF"/>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7.99</w:t>
            </w:r>
          </w:p>
        </w:tc>
      </w:tr>
      <w:tr>
        <w:trPr>
          <w:trHeight w:val="197"/>
        </w:trPr>
        <w:tc>
          <w:tcPr>
            <w:tcW w:w="49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43"/>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Available RSUs for future grant</w:t>
            </w:r>
          </w:p>
        </w:tc>
        <w:tc>
          <w:tcPr>
            <w:tcW w:w="13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16,540</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0"/>
        </w:trPr>
        <w:tc>
          <w:tcPr>
            <w:tcW w:w="49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Activity of the RSUs during the six month period ended June 30, 2023 is summarized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 Average</w:t>
            </w:r>
          </w:p>
        </w:tc>
        <w:tc>
          <w:tcPr>
            <w:tcW w:w="3380" w:type="dxa"/>
            <w:vAlign w:val="bottom"/>
          </w:tcPr>
          <w:p>
            <w:pPr>
              <w:spacing w:after="0"/>
              <w:rPr>
                <w:sz w:val="18"/>
                <w:szCs w:val="18"/>
                <w:color w:val="auto"/>
              </w:rPr>
            </w:pPr>
          </w:p>
        </w:tc>
      </w:tr>
      <w:tr>
        <w:trPr>
          <w:trHeight w:val="216"/>
        </w:trPr>
        <w:tc>
          <w:tcPr>
            <w:tcW w:w="4900" w:type="dxa"/>
            <w:vAlign w:val="bottom"/>
          </w:tcPr>
          <w:p>
            <w:pPr>
              <w:spacing w:after="0"/>
              <w:rPr>
                <w:sz w:val="18"/>
                <w:szCs w:val="18"/>
                <w:color w:val="auto"/>
              </w:rPr>
            </w:pPr>
          </w:p>
        </w:tc>
        <w:tc>
          <w:tcPr>
            <w:tcW w:w="14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Number of</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9"/>
              </w:rPr>
              <w:t>Grant Date Fair</w:t>
            </w:r>
          </w:p>
        </w:tc>
        <w:tc>
          <w:tcPr>
            <w:tcW w:w="3380" w:type="dxa"/>
            <w:vAlign w:val="bottom"/>
          </w:tcPr>
          <w:p>
            <w:pPr>
              <w:spacing w:after="0"/>
              <w:rPr>
                <w:sz w:val="18"/>
                <w:szCs w:val="18"/>
                <w:color w:val="auto"/>
              </w:rPr>
            </w:pPr>
          </w:p>
        </w:tc>
      </w:tr>
      <w:tr>
        <w:trPr>
          <w:trHeight w:val="241"/>
        </w:trPr>
        <w:tc>
          <w:tcPr>
            <w:tcW w:w="4900" w:type="dxa"/>
            <w:vAlign w:val="bottom"/>
          </w:tcPr>
          <w:p>
            <w:pPr>
              <w:spacing w:after="0"/>
              <w:rPr>
                <w:sz w:val="20"/>
                <w:szCs w:val="20"/>
                <w:color w:val="auto"/>
              </w:rPr>
            </w:pPr>
          </w:p>
        </w:tc>
        <w:tc>
          <w:tcPr>
            <w:tcW w:w="1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Class A Shares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Value</w:t>
            </w:r>
          </w:p>
        </w:tc>
        <w:tc>
          <w:tcPr>
            <w:tcW w:w="3380" w:type="dxa"/>
            <w:vAlign w:val="bottom"/>
          </w:tcPr>
          <w:p>
            <w:pPr>
              <w:spacing w:after="0"/>
              <w:rPr>
                <w:sz w:val="20"/>
                <w:szCs w:val="20"/>
                <w:color w:val="auto"/>
              </w:rPr>
            </w:pPr>
          </w:p>
        </w:tc>
      </w:tr>
      <w:tr>
        <w:trPr>
          <w:trHeight w:val="216"/>
        </w:trPr>
        <w:tc>
          <w:tcPr>
            <w:tcW w:w="4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at January 1, 2023</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1,620</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3380" w:type="dxa"/>
            <w:vAlign w:val="bottom"/>
          </w:tcPr>
          <w:p>
            <w:pPr>
              <w:spacing w:after="0"/>
              <w:rPr>
                <w:sz w:val="18"/>
                <w:szCs w:val="18"/>
                <w:color w:val="auto"/>
              </w:rPr>
            </w:pPr>
          </w:p>
        </w:tc>
      </w:tr>
      <w:tr>
        <w:trPr>
          <w:trHeight w:val="216"/>
        </w:trPr>
        <w:tc>
          <w:tcPr>
            <w:tcW w:w="4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380" w:type="dxa"/>
            <w:vAlign w:val="bottom"/>
          </w:tcPr>
          <w:p>
            <w:pPr>
              <w:spacing w:after="0"/>
              <w:rPr>
                <w:sz w:val="18"/>
                <w:szCs w:val="18"/>
                <w:color w:val="auto"/>
              </w:rPr>
            </w:pPr>
          </w:p>
        </w:tc>
      </w:tr>
      <w:tr>
        <w:trPr>
          <w:trHeight w:val="250"/>
        </w:trPr>
        <w:tc>
          <w:tcPr>
            <w:tcW w:w="4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1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(405)</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20" w:type="dxa"/>
            <w:vAlign w:val="bottom"/>
            <w:tcBorders>
              <w:right w:val="single" w:sz="8" w:color="CCEEFF"/>
            </w:tcBorders>
            <w:shd w:val="clear" w:color="auto" w:fill="CCEEFF"/>
          </w:tcPr>
          <w:p>
            <w:pPr>
              <w:spacing w:after="0"/>
              <w:rPr>
                <w:sz w:val="21"/>
                <w:szCs w:val="21"/>
                <w:color w:val="auto"/>
              </w:rPr>
            </w:pPr>
          </w:p>
        </w:tc>
        <w:tc>
          <w:tcPr>
            <w:tcW w:w="3380" w:type="dxa"/>
            <w:vAlign w:val="bottom"/>
          </w:tcPr>
          <w:p>
            <w:pPr>
              <w:spacing w:after="0"/>
              <w:rPr>
                <w:sz w:val="21"/>
                <w:szCs w:val="21"/>
                <w:color w:val="auto"/>
              </w:rPr>
            </w:pPr>
          </w:p>
        </w:tc>
      </w:tr>
      <w:tr>
        <w:trPr>
          <w:trHeight w:val="256"/>
        </w:trPr>
        <w:tc>
          <w:tcPr>
            <w:tcW w:w="4900" w:type="dxa"/>
            <w:vAlign w:val="bottom"/>
            <w:tcBorders>
              <w:top w:val="single" w:sz="8" w:color="CCEEFF"/>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Non-vested at March 31, 2023</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1,215</w:t>
            </w:r>
          </w:p>
        </w:tc>
        <w:tc>
          <w:tcPr>
            <w:tcW w:w="120" w:type="dxa"/>
            <w:vAlign w:val="bottom"/>
            <w:tcBorders>
              <w:top w:val="single" w:sz="8" w:color="CCEEFF"/>
              <w:bottom w:val="single" w:sz="8" w:color="CCEEFF"/>
            </w:tcBorders>
          </w:tcPr>
          <w:p>
            <w:pPr>
              <w:spacing w:after="0"/>
              <w:rPr>
                <w:sz w:val="22"/>
                <w:szCs w:val="22"/>
                <w:color w:val="auto"/>
              </w:rPr>
            </w:pPr>
          </w:p>
        </w:tc>
        <w:tc>
          <w:tcPr>
            <w:tcW w:w="180" w:type="dxa"/>
            <w:vAlign w:val="bottom"/>
            <w:tcBorders>
              <w:top w:val="single" w:sz="8" w:color="CCEEFF"/>
              <w:bottom w:val="single" w:sz="8" w:color="CCEEFF"/>
            </w:tcBorders>
            <w:gridSpan w:val="2"/>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3380" w:type="dxa"/>
            <w:vAlign w:val="bottom"/>
          </w:tcPr>
          <w:p>
            <w:pPr>
              <w:spacing w:after="0"/>
              <w:rPr>
                <w:sz w:val="22"/>
                <w:szCs w:val="22"/>
                <w:color w:val="auto"/>
              </w:rPr>
            </w:pPr>
          </w:p>
        </w:tc>
      </w:tr>
      <w:tr>
        <w:trPr>
          <w:trHeight w:val="197"/>
        </w:trPr>
        <w:tc>
          <w:tcPr>
            <w:tcW w:w="49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tcBorders>
              <w:right w:val="single" w:sz="8" w:color="CCEEFF"/>
            </w:tcBorders>
            <w:shd w:val="clear" w:color="auto" w:fill="CCEEFF"/>
          </w:tcPr>
          <w:p>
            <w:pPr>
              <w:spacing w:after="0"/>
              <w:rPr>
                <w:sz w:val="17"/>
                <w:szCs w:val="17"/>
                <w:color w:val="auto"/>
              </w:rPr>
            </w:pPr>
          </w:p>
        </w:tc>
        <w:tc>
          <w:tcPr>
            <w:tcW w:w="3380" w:type="dxa"/>
            <w:vAlign w:val="bottom"/>
          </w:tcPr>
          <w:p>
            <w:pPr>
              <w:spacing w:after="0"/>
              <w:rPr>
                <w:sz w:val="17"/>
                <w:szCs w:val="17"/>
                <w:color w:val="auto"/>
              </w:rPr>
            </w:pPr>
          </w:p>
        </w:tc>
      </w:tr>
      <w:tr>
        <w:trPr>
          <w:trHeight w:val="243"/>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Available RSUs for future grant</w:t>
            </w: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18,380</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3380" w:type="dxa"/>
            <w:vAlign w:val="bottom"/>
          </w:tcPr>
          <w:p>
            <w:pPr>
              <w:spacing w:after="0"/>
              <w:rPr>
                <w:sz w:val="21"/>
                <w:szCs w:val="21"/>
                <w:color w:val="auto"/>
              </w:rPr>
            </w:pPr>
          </w:p>
        </w:tc>
      </w:tr>
      <w:tr>
        <w:trPr>
          <w:trHeight w:val="20"/>
        </w:trPr>
        <w:tc>
          <w:tcPr>
            <w:tcW w:w="490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r>
      <w:tr>
        <w:trPr>
          <w:trHeight w:val="420"/>
        </w:trPr>
        <w:tc>
          <w:tcPr>
            <w:tcW w:w="49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7" w:right="339" w:bottom="1440" w:gutter="0" w:footer="0" w:header="0"/>
        </w:sectPr>
      </w:pPr>
    </w:p>
    <w:bookmarkStart w:id="40" w:name="page41"/>
    <w:bookmarkEnd w:id="40"/>
    <w:p>
      <w:pPr>
        <w:ind w:left="2700"/>
        <w:spacing w:after="0"/>
        <w:rPr>
          <w:sz w:val="20"/>
          <w:szCs w:val="20"/>
          <w:color w:val="auto"/>
        </w:rPr>
      </w:pPr>
      <w:r>
        <w:rPr>
          <w:rFonts w:ascii="Times New Roman" w:cs="Times New Roman" w:eastAsia="Times New Roman" w:hAnsi="Times New Roman"/>
          <w:sz w:val="18"/>
          <w:szCs w:val="18"/>
          <w:color w:val="auto"/>
        </w:rPr>
        <w:t>SECURITY NATIONAL FINANCIAL CORPORATION AND SUBSIDIARIES</w:t>
      </w:r>
    </w:p>
    <w:p>
      <w:pPr>
        <w:spacing w:after="0" w:line="27"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p>
      <w:pPr>
        <w:spacing w:after="0" w:line="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June 30, 2024 (Unaudited)</w:t>
      </w:r>
    </w:p>
    <w:p>
      <w:pPr>
        <w:spacing w:after="0" w:line="207" w:lineRule="exact"/>
        <w:rPr>
          <w:sz w:val="20"/>
          <w:szCs w:val="20"/>
          <w:color w:val="auto"/>
        </w:rPr>
      </w:pPr>
    </w:p>
    <w:p>
      <w:pPr>
        <w:ind w:left="200" w:hanging="192"/>
        <w:spacing w:after="0"/>
        <w:tabs>
          <w:tab w:leader="none" w:pos="2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Earnings Per Share</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Earnings per share amounts have been retroactively adjusted for the effect of annual stock dividends. In accordance with GAAP, the basic and diluted earnings per share amounts were calculated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300" w:type="dxa"/>
            <w:vAlign w:val="bottom"/>
            <w:gridSpan w:val="5"/>
          </w:tcPr>
          <w:p>
            <w:pPr>
              <w:jc w:val="right"/>
              <w:ind w:right="1240"/>
              <w:spacing w:after="0"/>
              <w:rPr>
                <w:sz w:val="20"/>
                <w:szCs w:val="20"/>
                <w:color w:val="auto"/>
              </w:rPr>
            </w:pPr>
            <w:r>
              <w:rPr>
                <w:rFonts w:ascii="Times New Roman" w:cs="Times New Roman" w:eastAsia="Times New Roman" w:hAnsi="Times New Roman"/>
                <w:sz w:val="18"/>
                <w:szCs w:val="18"/>
                <w:color w:val="auto"/>
              </w:rPr>
              <w:t>Three Months Ended</w:t>
            </w:r>
          </w:p>
        </w:tc>
        <w:tc>
          <w:tcPr>
            <w:tcW w:w="320" w:type="dxa"/>
            <w:vAlign w:val="bottom"/>
          </w:tcPr>
          <w:p>
            <w:pPr>
              <w:spacing w:after="0"/>
              <w:rPr>
                <w:sz w:val="18"/>
                <w:szCs w:val="18"/>
                <w:color w:val="auto"/>
              </w:rPr>
            </w:pPr>
          </w:p>
        </w:tc>
        <w:tc>
          <w:tcPr>
            <w:tcW w:w="1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Six Months Ended</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38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June 30,</w:t>
            </w:r>
          </w:p>
        </w:tc>
        <w:tc>
          <w:tcPr>
            <w:tcW w:w="112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3"/>
          </w:tcPr>
          <w:p>
            <w:pPr>
              <w:jc w:val="right"/>
              <w:ind w:right="290"/>
              <w:spacing w:after="0"/>
              <w:rPr>
                <w:sz w:val="20"/>
                <w:szCs w:val="20"/>
                <w:color w:val="auto"/>
              </w:rPr>
            </w:pPr>
            <w:r>
              <w:rPr>
                <w:rFonts w:ascii="Times New Roman" w:cs="Times New Roman" w:eastAsia="Times New Roman" w:hAnsi="Times New Roman"/>
                <w:sz w:val="18"/>
                <w:szCs w:val="18"/>
                <w:color w:val="auto"/>
              </w:rPr>
              <w:t>June 30,</w:t>
            </w: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6"/>
        </w:trPr>
        <w:tc>
          <w:tcPr>
            <w:tcW w:w="3860" w:type="dxa"/>
            <w:vAlign w:val="bottom"/>
            <w:tcBorders>
              <w:bottom w:val="single" w:sz="8" w:color="CCEEFF"/>
            </w:tcBorders>
          </w:tcPr>
          <w:p>
            <w:pPr>
              <w:spacing w:after="0"/>
              <w:rPr>
                <w:sz w:val="20"/>
                <w:szCs w:val="20"/>
                <w:color w:val="auto"/>
              </w:rPr>
            </w:pPr>
          </w:p>
        </w:tc>
        <w:tc>
          <w:tcPr>
            <w:tcW w:w="4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2024</w:t>
            </w:r>
          </w:p>
        </w:tc>
        <w:tc>
          <w:tcPr>
            <w:tcW w:w="34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2023</w:t>
            </w:r>
          </w:p>
        </w:tc>
        <w:tc>
          <w:tcPr>
            <w:tcW w:w="34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2024</w:t>
            </w:r>
          </w:p>
        </w:tc>
        <w:tc>
          <w:tcPr>
            <w:tcW w:w="32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w w:val="99"/>
              </w:rPr>
              <w:t>2023</w:t>
            </w:r>
          </w:p>
        </w:tc>
        <w:tc>
          <w:tcPr>
            <w:tcW w:w="100" w:type="dxa"/>
            <w:vAlign w:val="bottom"/>
            <w:tcBorders>
              <w:bottom w:val="single" w:sz="8" w:color="CCEEFF"/>
            </w:tcBorders>
          </w:tcPr>
          <w:p>
            <w:pPr>
              <w:spacing w:after="0"/>
              <w:rPr>
                <w:sz w:val="20"/>
                <w:szCs w:val="20"/>
                <w:color w:val="auto"/>
              </w:rPr>
            </w:pPr>
          </w:p>
        </w:tc>
      </w:tr>
      <w:tr>
        <w:trPr>
          <w:trHeight w:val="216"/>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w:t>
            </w: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83"/>
        </w:trPr>
        <w:tc>
          <w:tcPr>
            <w:tcW w:w="3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earnings</w:t>
            </w: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7,271,549</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6,352,706</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14,746,071</w:t>
            </w: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7,592,878</w:t>
            </w:r>
          </w:p>
        </w:tc>
        <w:tc>
          <w:tcPr>
            <w:tcW w:w="100" w:type="dxa"/>
            <w:vAlign w:val="bottom"/>
          </w:tcPr>
          <w:p>
            <w:pPr>
              <w:spacing w:after="0"/>
              <w:rPr>
                <w:sz w:val="24"/>
                <w:szCs w:val="24"/>
                <w:color w:val="auto"/>
              </w:rPr>
            </w:pPr>
          </w:p>
        </w:tc>
      </w:tr>
      <w:tr>
        <w:trPr>
          <w:trHeight w:val="197"/>
        </w:trPr>
        <w:tc>
          <w:tcPr>
            <w:tcW w:w="38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Denominator:</w:t>
            </w:r>
          </w:p>
        </w:tc>
        <w:tc>
          <w:tcPr>
            <w:tcW w:w="4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37"/>
        </w:trPr>
        <w:tc>
          <w:tcPr>
            <w:tcW w:w="3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 weighted-average shares outstanding</w:t>
            </w: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23,297,455</w:t>
            </w:r>
          </w:p>
        </w:tc>
        <w:tc>
          <w:tcPr>
            <w:tcW w:w="360" w:type="dxa"/>
            <w:vAlign w:val="bottom"/>
          </w:tcPr>
          <w:p>
            <w:pPr>
              <w:spacing w:after="0"/>
              <w:rPr>
                <w:sz w:val="20"/>
                <w:szCs w:val="20"/>
                <w:color w:val="auto"/>
              </w:rPr>
            </w:pP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23,110,818</w:t>
            </w:r>
          </w:p>
        </w:tc>
        <w:tc>
          <w:tcPr>
            <w:tcW w:w="320" w:type="dxa"/>
            <w:vAlign w:val="bottom"/>
          </w:tcPr>
          <w:p>
            <w:pPr>
              <w:spacing w:after="0"/>
              <w:rPr>
                <w:sz w:val="20"/>
                <w:szCs w:val="20"/>
                <w:color w:val="auto"/>
              </w:rPr>
            </w:pP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23,313,768</w:t>
            </w:r>
          </w:p>
        </w:tc>
        <w:tc>
          <w:tcPr>
            <w:tcW w:w="5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23,172,477</w:t>
            </w:r>
          </w:p>
        </w:tc>
        <w:tc>
          <w:tcPr>
            <w:tcW w:w="100" w:type="dxa"/>
            <w:vAlign w:val="bottom"/>
          </w:tcPr>
          <w:p>
            <w:pPr>
              <w:spacing w:after="0"/>
              <w:rPr>
                <w:sz w:val="20"/>
                <w:szCs w:val="20"/>
                <w:color w:val="auto"/>
              </w:rPr>
            </w:pPr>
          </w:p>
        </w:tc>
      </w:tr>
      <w:tr>
        <w:trPr>
          <w:trHeight w:val="216"/>
        </w:trPr>
        <w:tc>
          <w:tcPr>
            <w:tcW w:w="3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4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3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Employee stock options</w:t>
            </w: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576,503</w:t>
            </w:r>
          </w:p>
        </w:tc>
        <w:tc>
          <w:tcPr>
            <w:tcW w:w="360" w:type="dxa"/>
            <w:vAlign w:val="bottom"/>
          </w:tcPr>
          <w:p>
            <w:pPr>
              <w:spacing w:after="0"/>
              <w:rPr>
                <w:sz w:val="20"/>
                <w:szCs w:val="20"/>
                <w:color w:val="auto"/>
              </w:rPr>
            </w:pP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591,466</w:t>
            </w:r>
          </w:p>
        </w:tc>
        <w:tc>
          <w:tcPr>
            <w:tcW w:w="320" w:type="dxa"/>
            <w:vAlign w:val="bottom"/>
          </w:tcPr>
          <w:p>
            <w:pPr>
              <w:spacing w:after="0"/>
              <w:rPr>
                <w:sz w:val="20"/>
                <w:szCs w:val="20"/>
                <w:color w:val="auto"/>
              </w:rPr>
            </w:pP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663,136</w:t>
            </w:r>
          </w:p>
        </w:tc>
        <w:tc>
          <w:tcPr>
            <w:tcW w:w="5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578,442</w:t>
            </w:r>
          </w:p>
        </w:tc>
        <w:tc>
          <w:tcPr>
            <w:tcW w:w="100" w:type="dxa"/>
            <w:vAlign w:val="bottom"/>
          </w:tcPr>
          <w:p>
            <w:pPr>
              <w:spacing w:after="0"/>
              <w:rPr>
                <w:sz w:val="20"/>
                <w:szCs w:val="20"/>
                <w:color w:val="auto"/>
              </w:rPr>
            </w:pPr>
          </w:p>
        </w:tc>
      </w:tr>
      <w:tr>
        <w:trPr>
          <w:trHeight w:val="243"/>
        </w:trPr>
        <w:tc>
          <w:tcPr>
            <w:tcW w:w="3860" w:type="dxa"/>
            <w:vAlign w:val="bottom"/>
            <w:tcBorders>
              <w:top w:val="single" w:sz="8" w:color="CCEEFF"/>
            </w:tcBorders>
            <w:shd w:val="clear" w:color="auto" w:fill="CCEEFF"/>
          </w:tcPr>
          <w:p>
            <w:pPr>
              <w:spacing w:after="0"/>
              <w:rPr>
                <w:sz w:val="21"/>
                <w:szCs w:val="21"/>
                <w:color w:val="auto"/>
              </w:rPr>
            </w:pPr>
          </w:p>
        </w:tc>
        <w:tc>
          <w:tcPr>
            <w:tcW w:w="420" w:type="dxa"/>
            <w:vAlign w:val="bottom"/>
            <w:tcBorders>
              <w:top w:val="single" w:sz="8" w:color="CCEEFF"/>
            </w:tcBorders>
            <w:shd w:val="clear" w:color="auto" w:fill="CCEEFF"/>
          </w:tcPr>
          <w:p>
            <w:pPr>
              <w:spacing w:after="0"/>
              <w:rPr>
                <w:sz w:val="21"/>
                <w:szCs w:val="21"/>
                <w:color w:val="auto"/>
              </w:rPr>
            </w:pPr>
          </w:p>
        </w:tc>
        <w:tc>
          <w:tcPr>
            <w:tcW w:w="340" w:type="dxa"/>
            <w:vAlign w:val="bottom"/>
            <w:tcBorders>
              <w:top w:val="single" w:sz="8" w:color="auto"/>
            </w:tcBorders>
            <w:shd w:val="clear" w:color="auto" w:fill="CCEEFF"/>
          </w:tcPr>
          <w:p>
            <w:pPr>
              <w:spacing w:after="0"/>
              <w:rPr>
                <w:sz w:val="21"/>
                <w:szCs w:val="21"/>
                <w:color w:val="auto"/>
              </w:rPr>
            </w:pPr>
          </w:p>
        </w:tc>
        <w:tc>
          <w:tcPr>
            <w:tcW w:w="1140" w:type="dxa"/>
            <w:vAlign w:val="bottom"/>
            <w:tcBorders>
              <w:top w:val="single" w:sz="8" w:color="auto"/>
            </w:tcBorders>
            <w:shd w:val="clear" w:color="auto" w:fill="CCEEFF"/>
          </w:tcPr>
          <w:p>
            <w:pPr>
              <w:spacing w:after="0"/>
              <w:rPr>
                <w:sz w:val="21"/>
                <w:szCs w:val="21"/>
                <w:color w:val="auto"/>
              </w:rPr>
            </w:pPr>
          </w:p>
        </w:tc>
        <w:tc>
          <w:tcPr>
            <w:tcW w:w="340" w:type="dxa"/>
            <w:vAlign w:val="bottom"/>
            <w:tcBorders>
              <w:top w:val="single" w:sz="8" w:color="CCEEFF"/>
            </w:tcBorders>
            <w:shd w:val="clear" w:color="auto" w:fill="CCEEFF"/>
          </w:tcPr>
          <w:p>
            <w:pPr>
              <w:spacing w:after="0"/>
              <w:rPr>
                <w:sz w:val="21"/>
                <w:szCs w:val="21"/>
                <w:color w:val="auto"/>
              </w:rPr>
            </w:pPr>
          </w:p>
        </w:tc>
        <w:tc>
          <w:tcPr>
            <w:tcW w:w="360" w:type="dxa"/>
            <w:vAlign w:val="bottom"/>
            <w:tcBorders>
              <w:top w:val="single" w:sz="8" w:color="auto"/>
            </w:tcBorders>
            <w:shd w:val="clear" w:color="auto" w:fill="CCEEFF"/>
          </w:tcPr>
          <w:p>
            <w:pPr>
              <w:spacing w:after="0"/>
              <w:rPr>
                <w:sz w:val="21"/>
                <w:szCs w:val="21"/>
                <w:color w:val="auto"/>
              </w:rPr>
            </w:pPr>
          </w:p>
        </w:tc>
        <w:tc>
          <w:tcPr>
            <w:tcW w:w="1120" w:type="dxa"/>
            <w:vAlign w:val="bottom"/>
            <w:tcBorders>
              <w:top w:val="single" w:sz="8" w:color="auto"/>
            </w:tcBorders>
            <w:shd w:val="clear" w:color="auto" w:fill="CCEEFF"/>
          </w:tcPr>
          <w:p>
            <w:pPr>
              <w:spacing w:after="0"/>
              <w:rPr>
                <w:sz w:val="21"/>
                <w:szCs w:val="21"/>
                <w:color w:val="auto"/>
              </w:rPr>
            </w:pPr>
          </w:p>
        </w:tc>
        <w:tc>
          <w:tcPr>
            <w:tcW w:w="34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auto"/>
            </w:tcBorders>
            <w:shd w:val="clear" w:color="auto" w:fill="CCEEFF"/>
          </w:tcPr>
          <w:p>
            <w:pPr>
              <w:spacing w:after="0"/>
              <w:rPr>
                <w:sz w:val="21"/>
                <w:szCs w:val="21"/>
                <w:color w:val="auto"/>
              </w:rPr>
            </w:pPr>
          </w:p>
        </w:tc>
        <w:tc>
          <w:tcPr>
            <w:tcW w:w="1120" w:type="dxa"/>
            <w:vAlign w:val="bottom"/>
            <w:tcBorders>
              <w:top w:val="single" w:sz="8" w:color="auto"/>
            </w:tcBorders>
            <w:shd w:val="clear" w:color="auto" w:fill="CCEEFF"/>
          </w:tcPr>
          <w:p>
            <w:pPr>
              <w:spacing w:after="0"/>
              <w:rPr>
                <w:sz w:val="21"/>
                <w:szCs w:val="21"/>
                <w:color w:val="auto"/>
              </w:rPr>
            </w:pPr>
          </w:p>
        </w:tc>
        <w:tc>
          <w:tcPr>
            <w:tcW w:w="320" w:type="dxa"/>
            <w:vAlign w:val="bottom"/>
            <w:tcBorders>
              <w:top w:val="single" w:sz="8" w:color="CCEEFF"/>
            </w:tcBorders>
            <w:shd w:val="clear" w:color="auto" w:fill="CCEEFF"/>
          </w:tcPr>
          <w:p>
            <w:pPr>
              <w:spacing w:after="0"/>
              <w:rPr>
                <w:sz w:val="21"/>
                <w:szCs w:val="21"/>
                <w:color w:val="auto"/>
              </w:rPr>
            </w:pPr>
          </w:p>
        </w:tc>
        <w:tc>
          <w:tcPr>
            <w:tcW w:w="520" w:type="dxa"/>
            <w:vAlign w:val="bottom"/>
            <w:tcBorders>
              <w:top w:val="single" w:sz="8" w:color="auto"/>
            </w:tcBorders>
            <w:shd w:val="clear" w:color="auto" w:fill="CCEEFF"/>
          </w:tcPr>
          <w:p>
            <w:pPr>
              <w:spacing w:after="0"/>
              <w:rPr>
                <w:sz w:val="21"/>
                <w:szCs w:val="21"/>
                <w:color w:val="auto"/>
              </w:rPr>
            </w:pPr>
          </w:p>
        </w:tc>
        <w:tc>
          <w:tcPr>
            <w:tcW w:w="9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r>
      <w:tr>
        <w:trPr>
          <w:trHeight w:val="283"/>
        </w:trPr>
        <w:tc>
          <w:tcPr>
            <w:tcW w:w="3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 weighted-average shares outstanding</w:t>
            </w: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23,873,958</w:t>
            </w:r>
          </w:p>
        </w:tc>
        <w:tc>
          <w:tcPr>
            <w:tcW w:w="360" w:type="dxa"/>
            <w:vAlign w:val="bottom"/>
          </w:tcPr>
          <w:p>
            <w:pPr>
              <w:spacing w:after="0"/>
              <w:rPr>
                <w:sz w:val="24"/>
                <w:szCs w:val="24"/>
                <w:color w:val="auto"/>
              </w:rPr>
            </w:pP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23,702,284</w:t>
            </w:r>
          </w:p>
        </w:tc>
        <w:tc>
          <w:tcPr>
            <w:tcW w:w="320" w:type="dxa"/>
            <w:vAlign w:val="bottom"/>
          </w:tcPr>
          <w:p>
            <w:pPr>
              <w:spacing w:after="0"/>
              <w:rPr>
                <w:sz w:val="24"/>
                <w:szCs w:val="24"/>
                <w:color w:val="auto"/>
              </w:rPr>
            </w:pP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23,976,904</w:t>
            </w:r>
          </w:p>
        </w:tc>
        <w:tc>
          <w:tcPr>
            <w:tcW w:w="5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23,750,919</w:t>
            </w:r>
          </w:p>
        </w:tc>
        <w:tc>
          <w:tcPr>
            <w:tcW w:w="100" w:type="dxa"/>
            <w:vAlign w:val="bottom"/>
          </w:tcPr>
          <w:p>
            <w:pPr>
              <w:spacing w:after="0"/>
              <w:rPr>
                <w:sz w:val="24"/>
                <w:szCs w:val="24"/>
                <w:color w:val="auto"/>
              </w:rPr>
            </w:pPr>
          </w:p>
        </w:tc>
      </w:tr>
      <w:tr>
        <w:trPr>
          <w:trHeight w:val="197"/>
        </w:trPr>
        <w:tc>
          <w:tcPr>
            <w:tcW w:w="386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83"/>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Basic net earnings per share</w:t>
            </w: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0.31</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0.27</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0.63</w:t>
            </w: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100" w:type="dxa"/>
            <w:vAlign w:val="bottom"/>
          </w:tcPr>
          <w:p>
            <w:pPr>
              <w:spacing w:after="0"/>
              <w:rPr>
                <w:sz w:val="24"/>
                <w:szCs w:val="24"/>
                <w:color w:val="auto"/>
              </w:rPr>
            </w:pPr>
          </w:p>
        </w:tc>
      </w:tr>
      <w:tr>
        <w:trPr>
          <w:trHeight w:val="197"/>
        </w:trPr>
        <w:tc>
          <w:tcPr>
            <w:tcW w:w="386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43"/>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Diluted net earnings per share</w:t>
            </w: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0.30</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0.27</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0.62</w:t>
            </w: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100" w:type="dxa"/>
            <w:vAlign w:val="bottom"/>
          </w:tcPr>
          <w:p>
            <w:pPr>
              <w:spacing w:after="0"/>
              <w:rPr>
                <w:sz w:val="21"/>
                <w:szCs w:val="21"/>
                <w:color w:val="auto"/>
              </w:rPr>
            </w:pPr>
          </w:p>
        </w:tc>
      </w:tr>
      <w:tr>
        <w:trPr>
          <w:trHeight w:val="20"/>
        </w:trPr>
        <w:tc>
          <w:tcPr>
            <w:tcW w:w="3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six month periods ended June 30, 2024 and 2023, there were 143,456 and 55,125 anti-dilutive stock option shares, respectively, that were not included in the computation of diluted net earnings per common share as their effect would be anti-dilutive. Basic and diluted earnings per share amounts are the same for each class of common stock.</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summarizes the activity in shares of capital stock.</w:t>
            </w: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380" w:type="dxa"/>
            <w:vAlign w:val="bottom"/>
          </w:tcPr>
          <w:p>
            <w:pPr>
              <w:spacing w:after="0"/>
              <w:rPr>
                <w:sz w:val="20"/>
                <w:szCs w:val="20"/>
                <w:color w:val="auto"/>
              </w:rPr>
            </w:pPr>
          </w:p>
        </w:tc>
      </w:tr>
      <w:tr>
        <w:trPr>
          <w:trHeight w:val="452"/>
        </w:trPr>
        <w:tc>
          <w:tcPr>
            <w:tcW w:w="4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Class A</w:t>
            </w:r>
          </w:p>
        </w:tc>
        <w:tc>
          <w:tcPr>
            <w:tcW w:w="13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Class C</w:t>
            </w:r>
          </w:p>
        </w:tc>
        <w:tc>
          <w:tcPr>
            <w:tcW w:w="3380" w:type="dxa"/>
            <w:vAlign w:val="bottom"/>
          </w:tcPr>
          <w:p>
            <w:pPr>
              <w:spacing w:after="0"/>
              <w:rPr>
                <w:sz w:val="24"/>
                <w:szCs w:val="24"/>
                <w:color w:val="auto"/>
              </w:rPr>
            </w:pPr>
          </w:p>
        </w:tc>
      </w:tr>
      <w:tr>
        <w:trPr>
          <w:trHeight w:val="216"/>
        </w:trPr>
        <w:tc>
          <w:tcPr>
            <w:tcW w:w="4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shares at December 31, 2022</w:t>
            </w:r>
          </w:p>
        </w:tc>
        <w:tc>
          <w:tcPr>
            <w:tcW w:w="2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18,758,031</w:t>
            </w:r>
          </w:p>
        </w:tc>
        <w:tc>
          <w:tcPr>
            <w:tcW w:w="24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2,889,859</w:t>
            </w:r>
          </w:p>
        </w:tc>
        <w:tc>
          <w:tcPr>
            <w:tcW w:w="3380" w:type="dxa"/>
            <w:vAlign w:val="bottom"/>
          </w:tcPr>
          <w:p>
            <w:pPr>
              <w:spacing w:after="0"/>
              <w:rPr>
                <w:sz w:val="18"/>
                <w:szCs w:val="18"/>
                <w:color w:val="auto"/>
              </w:rPr>
            </w:pPr>
          </w:p>
        </w:tc>
      </w:tr>
      <w:tr>
        <w:trPr>
          <w:trHeight w:val="216"/>
        </w:trPr>
        <w:tc>
          <w:tcPr>
            <w:tcW w:w="4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380" w:type="dxa"/>
            <w:vAlign w:val="bottom"/>
          </w:tcPr>
          <w:p>
            <w:pPr>
              <w:spacing w:after="0"/>
              <w:rPr>
                <w:sz w:val="18"/>
                <w:szCs w:val="18"/>
                <w:color w:val="auto"/>
              </w:rPr>
            </w:pPr>
          </w:p>
        </w:tc>
      </w:tr>
      <w:tr>
        <w:trPr>
          <w:trHeight w:val="216"/>
        </w:trPr>
        <w:tc>
          <w:tcPr>
            <w:tcW w:w="51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3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127,688</w:t>
            </w:r>
          </w:p>
        </w:tc>
        <w:tc>
          <w:tcPr>
            <w:tcW w:w="13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380" w:type="dxa"/>
            <w:vAlign w:val="bottom"/>
          </w:tcPr>
          <w:p>
            <w:pPr>
              <w:spacing w:after="0"/>
              <w:rPr>
                <w:sz w:val="18"/>
                <w:szCs w:val="18"/>
                <w:color w:val="auto"/>
              </w:rPr>
            </w:pPr>
          </w:p>
        </w:tc>
      </w:tr>
      <w:tr>
        <w:trPr>
          <w:trHeight w:val="216"/>
        </w:trPr>
        <w:tc>
          <w:tcPr>
            <w:tcW w:w="51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Vesting of restricted stock units</w:t>
            </w: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405</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380" w:type="dxa"/>
            <w:vAlign w:val="bottom"/>
          </w:tcPr>
          <w:p>
            <w:pPr>
              <w:spacing w:after="0"/>
              <w:rPr>
                <w:sz w:val="18"/>
                <w:szCs w:val="18"/>
                <w:color w:val="auto"/>
              </w:rPr>
            </w:pPr>
          </w:p>
        </w:tc>
      </w:tr>
      <w:tr>
        <w:trPr>
          <w:trHeight w:val="216"/>
        </w:trPr>
        <w:tc>
          <w:tcPr>
            <w:tcW w:w="51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 dividends</w:t>
            </w:r>
          </w:p>
        </w:tc>
        <w:tc>
          <w:tcPr>
            <w:tcW w:w="13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949,675</w:t>
            </w:r>
          </w:p>
        </w:tc>
        <w:tc>
          <w:tcPr>
            <w:tcW w:w="13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141,594</w:t>
            </w:r>
          </w:p>
        </w:tc>
        <w:tc>
          <w:tcPr>
            <w:tcW w:w="3380" w:type="dxa"/>
            <w:vAlign w:val="bottom"/>
          </w:tcPr>
          <w:p>
            <w:pPr>
              <w:spacing w:after="0"/>
              <w:rPr>
                <w:sz w:val="18"/>
                <w:szCs w:val="18"/>
                <w:color w:val="auto"/>
              </w:rPr>
            </w:pPr>
          </w:p>
        </w:tc>
      </w:tr>
      <w:tr>
        <w:trPr>
          <w:trHeight w:val="237"/>
        </w:trPr>
        <w:tc>
          <w:tcPr>
            <w:tcW w:w="51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Conversion of Class C to Class A</w:t>
            </w: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57,901</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(57,901)</w:t>
            </w:r>
          </w:p>
        </w:tc>
        <w:tc>
          <w:tcPr>
            <w:tcW w:w="3380" w:type="dxa"/>
            <w:vAlign w:val="bottom"/>
          </w:tcPr>
          <w:p>
            <w:pPr>
              <w:spacing w:after="0"/>
              <w:rPr>
                <w:sz w:val="20"/>
                <w:szCs w:val="20"/>
                <w:color w:val="auto"/>
              </w:rPr>
            </w:pPr>
          </w:p>
        </w:tc>
      </w:tr>
      <w:tr>
        <w:trPr>
          <w:trHeight w:val="243"/>
        </w:trPr>
        <w:tc>
          <w:tcPr>
            <w:tcW w:w="490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spacing w:after="0"/>
              <w:rPr>
                <w:sz w:val="21"/>
                <w:szCs w:val="21"/>
                <w:color w:val="auto"/>
              </w:rPr>
            </w:pPr>
          </w:p>
        </w:tc>
        <w:tc>
          <w:tcPr>
            <w:tcW w:w="1080" w:type="dxa"/>
            <w:vAlign w:val="bottom"/>
            <w:tcBorders>
              <w:top w:val="single" w:sz="8" w:color="auto"/>
            </w:tcBorders>
            <w:shd w:val="clear" w:color="auto" w:fill="CCEEFF"/>
          </w:tcPr>
          <w:p>
            <w:pPr>
              <w:spacing w:after="0"/>
              <w:rPr>
                <w:sz w:val="21"/>
                <w:szCs w:val="21"/>
                <w:color w:val="auto"/>
              </w:rPr>
            </w:pPr>
          </w:p>
        </w:tc>
        <w:tc>
          <w:tcPr>
            <w:tcW w:w="240" w:type="dxa"/>
            <w:vAlign w:val="bottom"/>
            <w:tcBorders>
              <w:top w:val="single" w:sz="8" w:color="CCEEFF"/>
            </w:tcBorders>
            <w:shd w:val="clear" w:color="auto" w:fill="CCEEFF"/>
          </w:tcPr>
          <w:p>
            <w:pPr>
              <w:spacing w:after="0"/>
              <w:rPr>
                <w:sz w:val="21"/>
                <w:szCs w:val="21"/>
                <w:color w:val="auto"/>
              </w:rPr>
            </w:pPr>
          </w:p>
        </w:tc>
        <w:tc>
          <w:tcPr>
            <w:tcW w:w="1380" w:type="dxa"/>
            <w:vAlign w:val="bottom"/>
            <w:tcBorders>
              <w:top w:val="single" w:sz="8" w:color="auto"/>
              <w:right w:val="single" w:sz="8" w:color="CCEEFF"/>
            </w:tcBorders>
            <w:shd w:val="clear" w:color="auto" w:fill="CCEEFF"/>
          </w:tcPr>
          <w:p>
            <w:pPr>
              <w:spacing w:after="0"/>
              <w:rPr>
                <w:sz w:val="21"/>
                <w:szCs w:val="21"/>
                <w:color w:val="auto"/>
              </w:rPr>
            </w:pPr>
          </w:p>
        </w:tc>
        <w:tc>
          <w:tcPr>
            <w:tcW w:w="3380" w:type="dxa"/>
            <w:vAlign w:val="bottom"/>
          </w:tcPr>
          <w:p>
            <w:pPr>
              <w:spacing w:after="0"/>
              <w:rPr>
                <w:sz w:val="21"/>
                <w:szCs w:val="21"/>
                <w:color w:val="auto"/>
              </w:rPr>
            </w:pPr>
          </w:p>
        </w:tc>
      </w:tr>
      <w:tr>
        <w:trPr>
          <w:trHeight w:val="283"/>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Outstanding shares at June 30, 2023</w:t>
            </w: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19,893,700</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2,973,552</w:t>
            </w:r>
          </w:p>
        </w:tc>
        <w:tc>
          <w:tcPr>
            <w:tcW w:w="3380" w:type="dxa"/>
            <w:vAlign w:val="bottom"/>
          </w:tcPr>
          <w:p>
            <w:pPr>
              <w:spacing w:after="0"/>
              <w:rPr>
                <w:sz w:val="24"/>
                <w:szCs w:val="24"/>
                <w:color w:val="auto"/>
              </w:rPr>
            </w:pPr>
          </w:p>
        </w:tc>
      </w:tr>
      <w:tr>
        <w:trPr>
          <w:trHeight w:val="197"/>
        </w:trPr>
        <w:tc>
          <w:tcPr>
            <w:tcW w:w="49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auto"/>
              <w:right w:val="single" w:sz="8" w:color="CCEEFF"/>
            </w:tcBorders>
            <w:shd w:val="clear" w:color="auto" w:fill="CCEEFF"/>
          </w:tcPr>
          <w:p>
            <w:pPr>
              <w:spacing w:after="0"/>
              <w:rPr>
                <w:sz w:val="17"/>
                <w:szCs w:val="17"/>
                <w:color w:val="auto"/>
              </w:rPr>
            </w:pPr>
          </w:p>
        </w:tc>
        <w:tc>
          <w:tcPr>
            <w:tcW w:w="3380" w:type="dxa"/>
            <w:vAlign w:val="bottom"/>
          </w:tcPr>
          <w:p>
            <w:pPr>
              <w:spacing w:after="0"/>
              <w:rPr>
                <w:sz w:val="17"/>
                <w:szCs w:val="17"/>
                <w:color w:val="auto"/>
              </w:rPr>
            </w:pPr>
          </w:p>
        </w:tc>
      </w:tr>
      <w:tr>
        <w:trPr>
          <w:trHeight w:val="216"/>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Outstanding shares at December 31, 2023</w:t>
            </w: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20,048,002</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2,971,854</w:t>
            </w:r>
          </w:p>
        </w:tc>
        <w:tc>
          <w:tcPr>
            <w:tcW w:w="3380" w:type="dxa"/>
            <w:vAlign w:val="bottom"/>
          </w:tcPr>
          <w:p>
            <w:pPr>
              <w:spacing w:after="0"/>
              <w:rPr>
                <w:sz w:val="18"/>
                <w:szCs w:val="18"/>
                <w:color w:val="auto"/>
              </w:rPr>
            </w:pPr>
          </w:p>
        </w:tc>
      </w:tr>
      <w:tr>
        <w:trPr>
          <w:trHeight w:val="216"/>
        </w:trPr>
        <w:tc>
          <w:tcPr>
            <w:tcW w:w="4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tcBorders>
              <w:right w:val="single" w:sz="8" w:color="CCEEFF"/>
            </w:tcBorders>
            <w:shd w:val="clear" w:color="auto" w:fill="CCEEFF"/>
          </w:tcPr>
          <w:p>
            <w:pPr>
              <w:spacing w:after="0"/>
              <w:rPr>
                <w:sz w:val="18"/>
                <w:szCs w:val="18"/>
                <w:color w:val="auto"/>
              </w:rPr>
            </w:pPr>
          </w:p>
        </w:tc>
        <w:tc>
          <w:tcPr>
            <w:tcW w:w="3380" w:type="dxa"/>
            <w:vAlign w:val="bottom"/>
          </w:tcPr>
          <w:p>
            <w:pPr>
              <w:spacing w:after="0"/>
              <w:rPr>
                <w:sz w:val="18"/>
                <w:szCs w:val="18"/>
                <w:color w:val="auto"/>
              </w:rPr>
            </w:pPr>
          </w:p>
        </w:tc>
      </w:tr>
      <w:tr>
        <w:trPr>
          <w:trHeight w:val="216"/>
        </w:trPr>
        <w:tc>
          <w:tcPr>
            <w:tcW w:w="51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32,082</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380" w:type="dxa"/>
            <w:vAlign w:val="bottom"/>
          </w:tcPr>
          <w:p>
            <w:pPr>
              <w:spacing w:after="0"/>
              <w:rPr>
                <w:sz w:val="18"/>
                <w:szCs w:val="18"/>
                <w:color w:val="auto"/>
              </w:rPr>
            </w:pPr>
          </w:p>
        </w:tc>
      </w:tr>
      <w:tr>
        <w:trPr>
          <w:trHeight w:val="216"/>
        </w:trPr>
        <w:tc>
          <w:tcPr>
            <w:tcW w:w="51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Vesting of restricted stock units</w:t>
            </w:r>
          </w:p>
        </w:tc>
        <w:tc>
          <w:tcPr>
            <w:tcW w:w="13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865</w:t>
            </w:r>
          </w:p>
        </w:tc>
        <w:tc>
          <w:tcPr>
            <w:tcW w:w="13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380" w:type="dxa"/>
            <w:vAlign w:val="bottom"/>
          </w:tcPr>
          <w:p>
            <w:pPr>
              <w:spacing w:after="0"/>
              <w:rPr>
                <w:sz w:val="18"/>
                <w:szCs w:val="18"/>
                <w:color w:val="auto"/>
              </w:rPr>
            </w:pPr>
          </w:p>
        </w:tc>
      </w:tr>
      <w:tr>
        <w:trPr>
          <w:trHeight w:val="216"/>
        </w:trPr>
        <w:tc>
          <w:tcPr>
            <w:tcW w:w="51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Stock dividends</w:t>
            </w: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1,004,721</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148,578</w:t>
            </w:r>
          </w:p>
        </w:tc>
        <w:tc>
          <w:tcPr>
            <w:tcW w:w="3380" w:type="dxa"/>
            <w:vAlign w:val="bottom"/>
          </w:tcPr>
          <w:p>
            <w:pPr>
              <w:spacing w:after="0"/>
              <w:rPr>
                <w:sz w:val="18"/>
                <w:szCs w:val="18"/>
                <w:color w:val="auto"/>
              </w:rPr>
            </w:pPr>
          </w:p>
        </w:tc>
      </w:tr>
      <w:tr>
        <w:trPr>
          <w:trHeight w:val="237"/>
        </w:trPr>
        <w:tc>
          <w:tcPr>
            <w:tcW w:w="51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Conversion of Class C to Class A</w:t>
            </w:r>
          </w:p>
        </w:tc>
        <w:tc>
          <w:tcPr>
            <w:tcW w:w="13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266</w:t>
            </w:r>
          </w:p>
        </w:tc>
        <w:tc>
          <w:tcPr>
            <w:tcW w:w="13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3380" w:type="dxa"/>
            <w:vAlign w:val="bottom"/>
          </w:tcPr>
          <w:p>
            <w:pPr>
              <w:spacing w:after="0"/>
              <w:rPr>
                <w:sz w:val="20"/>
                <w:szCs w:val="20"/>
                <w:color w:val="auto"/>
              </w:rPr>
            </w:pPr>
          </w:p>
        </w:tc>
      </w:tr>
      <w:tr>
        <w:trPr>
          <w:trHeight w:val="243"/>
        </w:trPr>
        <w:tc>
          <w:tcPr>
            <w:tcW w:w="4900" w:type="dxa"/>
            <w:vAlign w:val="bottom"/>
            <w:tcBorders>
              <w:top w:val="single" w:sz="8" w:color="CCEEFF"/>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1380" w:type="dxa"/>
            <w:vAlign w:val="bottom"/>
            <w:tcBorders>
              <w:top w:val="single" w:sz="8" w:color="auto"/>
            </w:tcBorders>
          </w:tcPr>
          <w:p>
            <w:pPr>
              <w:spacing w:after="0"/>
              <w:rPr>
                <w:sz w:val="21"/>
                <w:szCs w:val="21"/>
                <w:color w:val="auto"/>
              </w:rPr>
            </w:pPr>
          </w:p>
        </w:tc>
        <w:tc>
          <w:tcPr>
            <w:tcW w:w="3380" w:type="dxa"/>
            <w:vAlign w:val="bottom"/>
          </w:tcPr>
          <w:p>
            <w:pPr>
              <w:spacing w:after="0"/>
              <w:rPr>
                <w:sz w:val="21"/>
                <w:szCs w:val="21"/>
                <w:color w:val="auto"/>
              </w:rPr>
            </w:pPr>
          </w:p>
        </w:tc>
      </w:tr>
      <w:tr>
        <w:trPr>
          <w:trHeight w:val="243"/>
        </w:trPr>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shares at June 30, 2024</w:t>
            </w:r>
          </w:p>
        </w:tc>
        <w:tc>
          <w:tcPr>
            <w:tcW w:w="13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21,085,936</w:t>
            </w:r>
          </w:p>
        </w:tc>
        <w:tc>
          <w:tcPr>
            <w:tcW w:w="13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3,120,166</w:t>
            </w:r>
          </w:p>
        </w:tc>
        <w:tc>
          <w:tcPr>
            <w:tcW w:w="3380" w:type="dxa"/>
            <w:vAlign w:val="bottom"/>
          </w:tcPr>
          <w:p>
            <w:pPr>
              <w:spacing w:after="0"/>
              <w:rPr>
                <w:sz w:val="21"/>
                <w:szCs w:val="21"/>
                <w:color w:val="auto"/>
              </w:rPr>
            </w:pP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r>
      <w:tr>
        <w:trPr>
          <w:trHeight w:val="419"/>
        </w:trPr>
        <w:tc>
          <w:tcPr>
            <w:tcW w:w="49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38</w:t>
            </w:r>
          </w:p>
        </w:tc>
        <w:tc>
          <w:tcPr>
            <w:tcW w:w="2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1" w:right="339" w:bottom="1440" w:gutter="0" w:footer="0" w:header="0"/>
        </w:sectPr>
      </w:pPr>
    </w:p>
    <w:bookmarkStart w:id="41" w:name="page42"/>
    <w:bookmarkEnd w:id="41"/>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June 30, 2024 (Unaudited)</w:t>
      </w:r>
    </w:p>
    <w:p>
      <w:pPr>
        <w:spacing w:after="0" w:line="176" w:lineRule="exact"/>
        <w:rPr>
          <w:sz w:val="20"/>
          <w:szCs w:val="20"/>
          <w:color w:val="auto"/>
        </w:rPr>
      </w:pPr>
    </w:p>
    <w:p>
      <w:pPr>
        <w:ind w:left="200" w:hanging="192"/>
        <w:spacing w:after="0"/>
        <w:tabs>
          <w:tab w:leader="none" w:pos="2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Business Segment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Description of Products and Services by Segment</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has three reportable business segments: life insurance, cemetery and mortuary, and mortgage. The Company’s life insurance segment consists of life insurance premiums and operating expenses from the sale of insurance products sold by the Company’s independent agency force and net investment income derived from investing policyholders and segment surplus funds. The Company’s cemetery and mortuary segment consists of revenues and operating expenses from the sale of at-need cemetery and mortuary merchandise and services at its mortuaries and cemeteries, pre-need sales of cemetery spaces after collection of 10% or more of the purchase price and the net investment income from investing segment surplus funds. The Company’s mortgage segment consists of fee income and expenses from the origination of residential mortgage loans and interest earned and interest expenses from warehousing loans held for sale.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Measurement of Segment Profit or Loss and Segment Assets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accounting policies of the reportable segments are the same as those described in the Significant Accounting Principles of the Form 10-K for the year ended December 31, 2023. Intersegment revenues are recorded at cost plus an agreed upon intercompany profit, and are eliminated upon consolidation.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Factors Management Used to Identify the Enterprise’s Reportable Segments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reportable segments are business units that are managed separately due to the different products provided and the need to report separately to the various regulatory jurisdictions. The Company regularly reviews the quantitative thresholds and other criteria to determine when other business segments may need to be reported.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2" w:name="page43"/>
    <w:bookmarkEnd w:id="42"/>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June 30, 2024 (Unaudited)</w:t>
      </w:r>
    </w:p>
    <w:p>
      <w:pPr>
        <w:spacing w:after="0" w:line="176" w:lineRule="exact"/>
        <w:rPr>
          <w:sz w:val="20"/>
          <w:szCs w:val="20"/>
          <w:color w:val="auto"/>
        </w:rPr>
      </w:pPr>
    </w:p>
    <w:p>
      <w:pPr>
        <w:ind w:left="200" w:hanging="192"/>
        <w:spacing w:after="0"/>
        <w:tabs>
          <w:tab w:leader="none" w:pos="2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Business Segment Information</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8"/>
              </w:rPr>
              <w:t>Cemetery/</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3"/>
          </w:tcPr>
          <w:p>
            <w:pPr>
              <w:jc w:val="right"/>
              <w:ind w:right="181"/>
              <w:spacing w:after="0"/>
              <w:rPr>
                <w:sz w:val="20"/>
                <w:szCs w:val="20"/>
                <w:color w:val="auto"/>
              </w:rPr>
            </w:pPr>
            <w:r>
              <w:rPr>
                <w:rFonts w:ascii="Times New Roman" w:cs="Times New Roman" w:eastAsia="Times New Roman" w:hAnsi="Times New Roman"/>
                <w:sz w:val="18"/>
                <w:szCs w:val="18"/>
                <w:color w:val="auto"/>
              </w:rPr>
              <w:t>Intercompany</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10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Life Insurance</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Mortuary</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Mortgage</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w w:val="97"/>
              </w:rPr>
              <w:t>Eliminations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Consolidated</w:t>
            </w:r>
          </w:p>
        </w:tc>
      </w:tr>
      <w:tr>
        <w:trPr>
          <w:trHeight w:val="216"/>
        </w:trPr>
        <w:tc>
          <w:tcPr>
            <w:tcW w:w="36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 the Three Months Ended</w:t>
            </w:r>
          </w:p>
        </w:tc>
        <w:tc>
          <w:tcPr>
            <w:tcW w:w="5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176"/>
        </w:trPr>
        <w:tc>
          <w:tcPr>
            <w:tcW w:w="360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June 30, 2024</w:t>
            </w: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
        </w:trPr>
        <w:tc>
          <w:tcPr>
            <w:tcW w:w="1020" w:type="dxa"/>
            <w:vAlign w:val="bottom"/>
            <w:tcBorders>
              <w:top w:val="single" w:sz="8" w:color="auto"/>
            </w:tcBorders>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from external customers</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47,237,315</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8,277,868</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30,276,153</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85,791,336</w:t>
            </w:r>
          </w:p>
        </w:tc>
      </w:tr>
      <w:tr>
        <w:trPr>
          <w:trHeight w:val="216"/>
        </w:trPr>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Intersegment revenues</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1,905,973</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84,767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144,989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(2,135,729)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profit (loss) before income taxes</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7,164,715</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2,090,520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134,358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9,389,593</w:t>
            </w:r>
          </w:p>
        </w:tc>
      </w:tr>
      <w:tr>
        <w:trPr>
          <w:trHeight w:val="216"/>
        </w:trPr>
        <w:tc>
          <w:tcPr>
            <w:tcW w:w="10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 the Six Months Ended</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76"/>
        </w:trPr>
        <w:tc>
          <w:tcPr>
            <w:tcW w:w="360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June 30, 2024</w:t>
            </w: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
        </w:trPr>
        <w:tc>
          <w:tcPr>
            <w:tcW w:w="1020" w:type="dxa"/>
            <w:vAlign w:val="bottom"/>
            <w:tcBorders>
              <w:top w:val="single" w:sz="8" w:color="auto"/>
            </w:tcBorders>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from external customers</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97,207,950</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17,065,446</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52,706,138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166,979,534</w:t>
            </w:r>
          </w:p>
        </w:tc>
      </w:tr>
      <w:tr>
        <w:trPr>
          <w:trHeight w:val="216"/>
        </w:trPr>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Intersegment revenues</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3,285,548</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169,535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291,595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(3,746,678)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profit (loss) before income taxes</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15,694,224</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5,143,941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(1,829,261)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19,008,904</w:t>
            </w:r>
          </w:p>
        </w:tc>
      </w:tr>
      <w:tr>
        <w:trPr>
          <w:trHeight w:val="216"/>
        </w:trPr>
        <w:tc>
          <w:tcPr>
            <w:tcW w:w="10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Identifiable Assets</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1,356,015,599</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102,122,157</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96,262,785</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(98,929,803)</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1,455,470,738</w:t>
            </w:r>
          </w:p>
        </w:tc>
      </w:tr>
      <w:tr>
        <w:trPr>
          <w:trHeight w:val="236"/>
        </w:trPr>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Goodwill</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2,765,570</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2,488,213</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5,253,783</w:t>
            </w:r>
          </w:p>
        </w:tc>
      </w:tr>
      <w:tr>
        <w:trPr>
          <w:trHeight w:val="230"/>
        </w:trPr>
        <w:tc>
          <w:tcPr>
            <w:tcW w:w="36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5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1,358,781,169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104,610,370</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96,262,785</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(98,929,803</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1,460,724,521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0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 the Three Months Ended</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75"/>
        </w:trPr>
        <w:tc>
          <w:tcPr>
            <w:tcW w:w="360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June 30, 2023</w:t>
            </w: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
        </w:trPr>
        <w:tc>
          <w:tcPr>
            <w:tcW w:w="1020" w:type="dxa"/>
            <w:vAlign w:val="bottom"/>
            <w:tcBorders>
              <w:top w:val="single" w:sz="8" w:color="auto"/>
            </w:tcBorders>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from external customers</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48,071,089</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8,812,508</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26,962,562</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83,846,159</w:t>
            </w:r>
          </w:p>
        </w:tc>
      </w:tr>
      <w:tr>
        <w:trPr>
          <w:trHeight w:val="216"/>
        </w:trPr>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Intersegment revenues</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2,517,490</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84,767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135,807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(2,738,064)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profit (loss) before income taxes</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9,158,186</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2,828,159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(3,837,012)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8,149,333</w:t>
            </w:r>
          </w:p>
        </w:tc>
      </w:tr>
      <w:tr>
        <w:trPr>
          <w:trHeight w:val="216"/>
        </w:trPr>
        <w:tc>
          <w:tcPr>
            <w:tcW w:w="10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 the Six Months Ended</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75"/>
        </w:trPr>
        <w:tc>
          <w:tcPr>
            <w:tcW w:w="360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June 30, 2023</w:t>
            </w: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1020" w:type="dxa"/>
            <w:vAlign w:val="bottom"/>
            <w:tcBorders>
              <w:top w:val="single" w:sz="8" w:color="auto"/>
            </w:tcBorders>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from external customers</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93,486,386</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16,010,904</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53,849,603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163,346,893</w:t>
            </w:r>
          </w:p>
        </w:tc>
      </w:tr>
      <w:tr>
        <w:trPr>
          <w:trHeight w:val="216"/>
        </w:trPr>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Intersegment revenues</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4,027,518</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168,603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259,506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(4,455,627)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profit (loss) before income taxes</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12,841,921</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4,612,751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(7,720,451)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9,734,221</w:t>
            </w:r>
          </w:p>
        </w:tc>
      </w:tr>
      <w:tr>
        <w:trPr>
          <w:trHeight w:val="216"/>
        </w:trPr>
        <w:tc>
          <w:tcPr>
            <w:tcW w:w="10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Identifiable Assets</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1,284,084,674</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89,589,716</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114,402,197</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(89,723,622)</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1,398,352,965</w:t>
            </w:r>
          </w:p>
        </w:tc>
      </w:tr>
      <w:tr>
        <w:trPr>
          <w:trHeight w:val="236"/>
        </w:trPr>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Goodwill</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2,765,570</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2,488,213</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5,253,783</w:t>
            </w:r>
          </w:p>
        </w:tc>
      </w:tr>
      <w:tr>
        <w:trPr>
          <w:trHeight w:val="230"/>
        </w:trPr>
        <w:tc>
          <w:tcPr>
            <w:tcW w:w="36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5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1,286,850,244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92,077,929</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114,402,197</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(89,723,622</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1,403,606,748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0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0"/>
        </w:trPr>
        <w:tc>
          <w:tcPr>
            <w:tcW w:w="10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40</w:t>
            </w:r>
          </w:p>
        </w:tc>
        <w:tc>
          <w:tcPr>
            <w:tcW w:w="9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1" w:right="339" w:bottom="1440" w:gutter="0" w:footer="0" w:header="0"/>
        </w:sectPr>
      </w:pPr>
    </w:p>
    <w:bookmarkStart w:id="43" w:name="page44"/>
    <w:bookmarkEnd w:id="43"/>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June 30, 2024 (Unaudited)</w:t>
      </w:r>
    </w:p>
    <w:p>
      <w:pPr>
        <w:spacing w:after="0" w:line="176" w:lineRule="exact"/>
        <w:rPr>
          <w:sz w:val="20"/>
          <w:szCs w:val="20"/>
          <w:color w:val="auto"/>
        </w:rPr>
      </w:pPr>
    </w:p>
    <w:p>
      <w:pPr>
        <w:ind w:left="200" w:hanging="192"/>
        <w:spacing w:after="0"/>
        <w:tabs>
          <w:tab w:leader="none" w:pos="2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Fair Value of Financial Instruments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GAAP defines fair value as the exchange price that would be received for an asset or paid to transfer a liability (an exit price) in the principal or most advantageous market for the asset or liability in an orderly transaction between market participants. GAAP also specifies a fair value hierarchy based upon the observability of inputs used in valuation techniques. Observable inputs (highest level) reflect market data obtained from independent sources, while unobservable inputs (lowest level) reflect internally developed market assumptions. Fair value measurements are classified under the following hierarchy:</w:t>
      </w:r>
    </w:p>
    <w:p>
      <w:pPr>
        <w:spacing w:after="0" w:line="17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Financial assets and financial liabilities whose values are based on unadjusted quoted prices for identical assets or liabilities in an active market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the Company can access.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Financial assets and financial liabilities whose values are based on the following:</w:t>
      </w:r>
    </w:p>
    <w:p>
      <w:pPr>
        <w:spacing w:after="0" w:line="227" w:lineRule="exact"/>
        <w:rPr>
          <w:sz w:val="20"/>
          <w:szCs w:val="20"/>
          <w:color w:val="auto"/>
        </w:rPr>
      </w:pPr>
    </w:p>
    <w:p>
      <w:pPr>
        <w:ind w:left="980" w:hanging="324"/>
        <w:spacing w:after="0"/>
        <w:tabs>
          <w:tab w:leader="none" w:pos="9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Quoted prices for similar assets or liabilities in active markets.</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Quoted prices for identical or similar assets or liabilities in non-active markets; or</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Valuation models whose inputs are observable, directly or indirectly, for substantially the full term of the asset or liability.</w:t>
      </w:r>
    </w:p>
    <w:p>
      <w:pPr>
        <w:spacing w:after="0" w:line="20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Financial assets and financial liabilities whose values are based on prices or valuation techniques that require inputs that are both unobservable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significant to the overall fair value measurement. These inputs may reflect the Company’s estimates of the assumptions that market participants would use in valuing financial assets and financial liabilities.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utilizes a combination of third-party valuation service providers, brokers, and internal valuation models to determine fair value.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methods and assumptions were used by the Company in estimating the fair value disclosures related to significant financial instruments.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items shown under Level 1 and Level 2 are valued as follows:</w:t>
      </w:r>
    </w:p>
    <w:p>
      <w:pPr>
        <w:spacing w:after="0" w:line="22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u w:val="single" w:color="auto"/>
          <w:color w:val="auto"/>
        </w:rPr>
        <w:t>Fixed Maturity Securities Available for Sale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fair values of fixed maturity securities are based on quoted market prices, when available. For fixed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maturity securities not actively traded, fair values are estimated using values obtained from independent pricing services, or in the case of private placements (considered Level 3 financial assets), are estimated by discounting expected future cash flows using a current market value applicable to the coupon rate, credit and maturity of the investments.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Equity Securities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fair values for equity securities are based on quoted market prices.</w:t>
      </w:r>
    </w:p>
    <w:p>
      <w:pPr>
        <w:spacing w:after="0" w:line="22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Restricted Assets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portion of these assets include equity securities and fixed maturity securities that have quoted market prices that are used to determine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fair value. Also included are cash and cash equivalents and participations in mortgage loans. The carrying amounts reported in the accompanying condensed consolidated balance sheets for these financial instruments approximate their fair values due to their short-term nature.</w:t>
      </w:r>
    </w:p>
    <w:p>
      <w:pPr>
        <w:spacing w:after="0" w:line="17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Cemetery Perpetual Care Trust Investments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portion of these assets include equity securities and fixed maturity securities that have quoted market prices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are used to determine fair value. Also included are cash and cash equivalents. The carrying amounts reported in the accompanying condensed consolidated balance sheets for these financial instruments approximate their fair values due to their short-term nature.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Additionally, there were no transfers between Level 1 and Level 2 in the fair value hierarchy.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4" w:name="page45"/>
    <w:bookmarkEnd w:id="44"/>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June 30, 2024 (Unaudited)</w:t>
      </w:r>
    </w:p>
    <w:p>
      <w:pPr>
        <w:spacing w:after="0" w:line="176" w:lineRule="exact"/>
        <w:rPr>
          <w:sz w:val="20"/>
          <w:szCs w:val="20"/>
          <w:color w:val="auto"/>
        </w:rPr>
      </w:pPr>
    </w:p>
    <w:p>
      <w:pPr>
        <w:ind w:right="7340" w:firstLine="8"/>
        <w:spacing w:after="0" w:line="499" w:lineRule="auto"/>
        <w:tabs>
          <w:tab w:leader="none" w:pos="19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Fair Value of Financial Instruments</w:t>
      </w:r>
      <w:r>
        <w:rPr>
          <w:rFonts w:ascii="Times New Roman" w:cs="Times New Roman" w:eastAsia="Times New Roman" w:hAnsi="Times New Roman"/>
          <w:sz w:val="18"/>
          <w:szCs w:val="18"/>
          <w:color w:val="auto"/>
        </w:rPr>
        <w:t xml:space="preserve"> (Continued) The items shown under Level 3 are valued as follows:</w:t>
      </w:r>
    </w:p>
    <w:p>
      <w:pPr>
        <w:spacing w:after="0" w:line="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Loans Held for Sale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elected the fair value option for loans held for sale. The fair value is based on quoted market prices, when available.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When a quoted market price is not readily available, the Company uses the market price from its last sale of similar assets. Fair value is often difficult to determine in volatile markets and may contain significant unobservable inputs.</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u w:val="single" w:color="auto"/>
          <w:color w:val="auto"/>
        </w:rPr>
        <w:t>Loan Commitments and Forward Sale Commitments</w:t>
      </w:r>
      <w:r>
        <w:rPr>
          <w:rFonts w:ascii="Times New Roman" w:cs="Times New Roman" w:eastAsia="Times New Roman" w:hAnsi="Times New Roman"/>
          <w:sz w:val="18"/>
          <w:szCs w:val="18"/>
          <w:color w:val="auto"/>
        </w:rPr>
        <w:t>: The Company’s mortgage segment enters loan commitments with potential borrowers and forward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sale commitments to sell loans with third-party investors. The Company also uses a hedging strategy for these transactions. A loan commitment binds the Company to lend funds to a qualified borrower at a specified interest rate and within a specified period, generally up to 30 days after issuance of the loan commitment. Loan commitments are defined to be derivatives under GAAP and are recognized at fair value on the consolidated balance sheets with changes in their fair values recorded in current earnings.</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estimates the fair value of a loan commitment based on the change in estimated fair value of the underlying mortgage loan, quoted MBS prices, estimates of the fair value of mortgage servicing rights, and an estimate of the probability that the mortgage loan will fund within the terms of the commitment. The change in fair value of the underlying mortgage loan is measured from the date the loan commitment is issued. Following issuance, the value of a mortgage loan commitment can be either positive or negative depending upon the change in value of the underlying mortgage loans. Fallout rates and other factors from the Company’s recent historical data are used to estimate the quantity and value of mortgage loans that will be funded within the terms of the commitments.</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u w:val="single" w:color="auto"/>
          <w:color w:val="auto"/>
        </w:rPr>
        <w:t>Impaired Mortgage Loans Held for Investment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believes that the fair value of these nonperforming loans will approximate the unpaid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principal balance expected to be recovered based on the fair value of the underlying collateral. For residential and commercial properties, the collateral value is estimated by obtaining an independent appraisal. The appraisal typically considers comparable sales in the area, property condition, and potential rental income that could be generated (particularly for commercial properties). For residential construction loans, the collateral is typically incomplete, so the fair value is estimated as the replacement cost using data from a provider of building cost information to the real estate construction.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u w:val="single" w:color="auto"/>
          <w:color w:val="auto"/>
        </w:rPr>
        <w:t>Impaired Real Estate Held for Investment</w:t>
      </w:r>
      <w:r>
        <w:rPr>
          <w:rFonts w:ascii="Times New Roman" w:cs="Times New Roman" w:eastAsia="Times New Roman" w:hAnsi="Times New Roman"/>
          <w:sz w:val="18"/>
          <w:szCs w:val="18"/>
          <w:color w:val="auto"/>
        </w:rPr>
        <w:t>: The Company believes that in an orderly market, fair value will approximate the replacement cost of a home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rental income provides a cash flow stream for investment analysis. The Company believes the highest and best use of the properties are as income producing assets since it is the Company’s intent to hold the properties as rental properties, matching the income from the investment in rental properties with the funds required for future estimated policy claims.</w:t>
      </w:r>
    </w:p>
    <w:p>
      <w:pPr>
        <w:spacing w:after="0" w:line="18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It should be noted that for replacement cost, when determining the fair value of real estate held for investment, the Company uses a provider of building cost information to the real estate construction industry. For the investment analysis, the Company uses market data based upon its real estate operation experience and projected the present value of the net rental income over seven years. The Company also considers area comparable properties and property conditions when determining fair value.</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addition to this analysis performed by the Company, the Company depreciates Real Estate Held for Investment. This depreciation reduces the book value of these properties and lessens the exposure to the Company from further deterioration in real estate values.</w:t>
      </w:r>
    </w:p>
    <w:p>
      <w:pPr>
        <w:spacing w:after="0" w:line="16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Mortgage Servicing Rights</w:t>
      </w:r>
      <w:r>
        <w:rPr>
          <w:rFonts w:ascii="Times New Roman" w:cs="Times New Roman" w:eastAsia="Times New Roman" w:hAnsi="Times New Roman"/>
          <w:sz w:val="18"/>
          <w:szCs w:val="18"/>
          <w:color w:val="auto"/>
        </w:rPr>
        <w:t>: The Company initially recognizes Mortgage Servicing Rights (“MSRs”) at their estimated fair values derived from the net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flows associated with the servicing contracts, where the Company assumes the obligation to service the loan in the sale transaction.</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5" w:name="page46"/>
    <w:bookmarkEnd w:id="45"/>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June 30, 2024 (Unaudited)</w:t>
      </w:r>
    </w:p>
    <w:p>
      <w:pPr>
        <w:spacing w:after="0" w:line="176" w:lineRule="exact"/>
        <w:rPr>
          <w:sz w:val="20"/>
          <w:szCs w:val="20"/>
          <w:color w:val="auto"/>
        </w:rPr>
      </w:pPr>
    </w:p>
    <w:p>
      <w:pPr>
        <w:ind w:left="200" w:hanging="192"/>
        <w:spacing w:after="0"/>
        <w:tabs>
          <w:tab w:leader="none" w:pos="2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Fair Value of Financial Instruments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tables summarize Level 1, 2 and 3 financial assets and financial liabilities measured at fair value on a recurring basis by their classification in the condensed consolidated balance sheet as of June 30, 2024:</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9"/>
              </w:rPr>
              <w:t>Quoted Prices in</w:t>
            </w: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2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color w:val="auto"/>
              </w:rPr>
              <w:t>Active Markets for</w:t>
            </w: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Significant</w:t>
            </w:r>
          </w:p>
        </w:tc>
      </w:tr>
      <w:tr>
        <w:trPr>
          <w:trHeight w:val="216"/>
        </w:trPr>
        <w:tc>
          <w:tcPr>
            <w:tcW w:w="3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8"/>
              </w:rPr>
              <w:t>Identical</w:t>
            </w:r>
          </w:p>
        </w:tc>
        <w:tc>
          <w:tcPr>
            <w:tcW w:w="200" w:type="dxa"/>
            <w:vAlign w:val="bottom"/>
          </w:tcPr>
          <w:p>
            <w:pPr>
              <w:spacing w:after="0"/>
              <w:rPr>
                <w:sz w:val="18"/>
                <w:szCs w:val="18"/>
                <w:color w:val="auto"/>
              </w:rPr>
            </w:pPr>
          </w:p>
        </w:tc>
        <w:tc>
          <w:tcPr>
            <w:tcW w:w="156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Significant</w:t>
            </w:r>
          </w:p>
        </w:tc>
        <w:tc>
          <w:tcPr>
            <w:tcW w:w="16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7"/>
              </w:rPr>
              <w:t>Unobservable</w:t>
            </w:r>
          </w:p>
        </w:tc>
      </w:tr>
      <w:tr>
        <w:trPr>
          <w:trHeight w:val="216"/>
        </w:trPr>
        <w:tc>
          <w:tcPr>
            <w:tcW w:w="3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Assets</w:t>
            </w:r>
          </w:p>
        </w:tc>
        <w:tc>
          <w:tcPr>
            <w:tcW w:w="176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Observable Inputs</w:t>
            </w:r>
          </w:p>
        </w:tc>
        <w:tc>
          <w:tcPr>
            <w:tcW w:w="160" w:type="dxa"/>
            <w:vAlign w:val="bottom"/>
          </w:tcPr>
          <w:p>
            <w:pPr>
              <w:spacing w:after="0"/>
              <w:rPr>
                <w:sz w:val="18"/>
                <w:szCs w:val="18"/>
                <w:color w:val="auto"/>
              </w:rPr>
            </w:pPr>
          </w:p>
        </w:tc>
        <w:tc>
          <w:tcPr>
            <w:tcW w:w="140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Inputs</w:t>
            </w:r>
          </w:p>
        </w:tc>
      </w:tr>
      <w:tr>
        <w:trPr>
          <w:trHeight w:val="241"/>
        </w:trPr>
        <w:tc>
          <w:tcPr>
            <w:tcW w:w="37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00" w:type="dxa"/>
            <w:vAlign w:val="bottom"/>
            <w:gridSpan w:val="2"/>
          </w:tcPr>
          <w:p>
            <w:pPr>
              <w:jc w:val="right"/>
              <w:ind w:right="90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Pr>
          <w:p>
            <w:pPr>
              <w:spacing w:after="0"/>
              <w:rPr>
                <w:sz w:val="20"/>
                <w:szCs w:val="20"/>
                <w:color w:val="auto"/>
              </w:rPr>
            </w:pPr>
          </w:p>
        </w:tc>
        <w:tc>
          <w:tcPr>
            <w:tcW w:w="17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9"/>
              </w:rPr>
              <w:t>(Level 1)</w:t>
            </w:r>
          </w:p>
        </w:tc>
        <w:tc>
          <w:tcPr>
            <w:tcW w:w="200" w:type="dxa"/>
            <w:vAlign w:val="bottom"/>
          </w:tcPr>
          <w:p>
            <w:pPr>
              <w:spacing w:after="0"/>
              <w:rPr>
                <w:sz w:val="20"/>
                <w:szCs w:val="20"/>
                <w:color w:val="auto"/>
              </w:rPr>
            </w:pPr>
          </w:p>
        </w:tc>
        <w:tc>
          <w:tcPr>
            <w:tcW w:w="156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(Level 2)</w:t>
            </w:r>
          </w:p>
        </w:tc>
        <w:tc>
          <w:tcPr>
            <w:tcW w:w="160" w:type="dxa"/>
            <w:vAlign w:val="bottom"/>
          </w:tcPr>
          <w:p>
            <w:pPr>
              <w:spacing w:after="0"/>
              <w:rPr>
                <w:sz w:val="20"/>
                <w:szCs w:val="20"/>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(Level 3)</w:t>
            </w:r>
          </w:p>
        </w:tc>
      </w:tr>
      <w:tr>
        <w:trPr>
          <w:trHeight w:val="184"/>
        </w:trPr>
        <w:tc>
          <w:tcPr>
            <w:tcW w:w="3780" w:type="dxa"/>
            <w:vAlign w:val="bottom"/>
            <w:tcBorders>
              <w:top w:val="single" w:sz="8" w:color="CCEEFF"/>
            </w:tcBorders>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Assets accounted for at fair value on a</w:t>
            </w:r>
          </w:p>
        </w:tc>
        <w:tc>
          <w:tcPr>
            <w:tcW w:w="50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34"/>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recurring basis</w:t>
            </w:r>
          </w:p>
        </w:tc>
        <w:tc>
          <w:tcPr>
            <w:tcW w:w="5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Fixed maturity securities available for sale</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349,358,027</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348,120,558</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1,237,469</w:t>
            </w:r>
          </w:p>
        </w:tc>
        <w:tc>
          <w:tcPr>
            <w:tcW w:w="100" w:type="dxa"/>
            <w:vAlign w:val="bottom"/>
          </w:tcPr>
          <w:p>
            <w:pPr>
              <w:spacing w:after="0"/>
              <w:rPr>
                <w:sz w:val="18"/>
                <w:szCs w:val="18"/>
                <w:color w:val="auto"/>
              </w:rPr>
            </w:pPr>
          </w:p>
        </w:tc>
      </w:tr>
      <w:tr>
        <w:trPr>
          <w:trHeight w:val="216"/>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15,019,179</w:t>
            </w: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15,019,179</w:t>
            </w:r>
          </w:p>
        </w:tc>
        <w:tc>
          <w:tcPr>
            <w:tcW w:w="2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Loans held for sale</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150,196,416</w:t>
            </w:r>
          </w:p>
        </w:tc>
        <w:tc>
          <w:tcPr>
            <w:tcW w:w="120" w:type="dxa"/>
            <w:vAlign w:val="bottom"/>
          </w:tcPr>
          <w:p>
            <w:pPr>
              <w:spacing w:after="0"/>
              <w:rPr>
                <w:sz w:val="18"/>
                <w:szCs w:val="18"/>
                <w:color w:val="auto"/>
              </w:rPr>
            </w:pPr>
          </w:p>
        </w:tc>
        <w:tc>
          <w:tcPr>
            <w:tcW w:w="17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150,196,416</w:t>
            </w:r>
          </w:p>
        </w:tc>
        <w:tc>
          <w:tcPr>
            <w:tcW w:w="100" w:type="dxa"/>
            <w:vAlign w:val="bottom"/>
          </w:tcPr>
          <w:p>
            <w:pPr>
              <w:spacing w:after="0"/>
              <w:rPr>
                <w:sz w:val="18"/>
                <w:szCs w:val="18"/>
                <w:color w:val="auto"/>
              </w:rPr>
            </w:pPr>
          </w:p>
        </w:tc>
      </w:tr>
      <w:tr>
        <w:trPr>
          <w:trHeight w:val="216"/>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assets (1)</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1,560,266</w:t>
            </w: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1,560,266</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Restricted assets (2)</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8,546,971</w:t>
            </w:r>
          </w:p>
        </w:tc>
        <w:tc>
          <w:tcPr>
            <w:tcW w:w="120" w:type="dxa"/>
            <w:vAlign w:val="bottom"/>
          </w:tcPr>
          <w:p>
            <w:pPr>
              <w:spacing w:after="0"/>
              <w:rPr>
                <w:sz w:val="18"/>
                <w:szCs w:val="18"/>
                <w:color w:val="auto"/>
              </w:rPr>
            </w:pPr>
          </w:p>
        </w:tc>
        <w:tc>
          <w:tcPr>
            <w:tcW w:w="17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8,546,971</w:t>
            </w:r>
          </w:p>
        </w:tc>
        <w:tc>
          <w:tcPr>
            <w:tcW w:w="200" w:type="dxa"/>
            <w:vAlign w:val="bottom"/>
          </w:tcPr>
          <w:p>
            <w:pPr>
              <w:spacing w:after="0"/>
              <w:rPr>
                <w:sz w:val="18"/>
                <w:szCs w:val="18"/>
                <w:color w:val="auto"/>
              </w:rPr>
            </w:pP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Cemetery perpetual care trust investments (1)</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603,199</w:t>
            </w: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603,199</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Cemetery perpetual care trust investments (2)</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4,594,630</w:t>
            </w:r>
          </w:p>
        </w:tc>
        <w:tc>
          <w:tcPr>
            <w:tcW w:w="120" w:type="dxa"/>
            <w:vAlign w:val="bottom"/>
          </w:tcPr>
          <w:p>
            <w:pPr>
              <w:spacing w:after="0"/>
              <w:rPr>
                <w:sz w:val="18"/>
                <w:szCs w:val="18"/>
                <w:color w:val="auto"/>
              </w:rPr>
            </w:pPr>
          </w:p>
        </w:tc>
        <w:tc>
          <w:tcPr>
            <w:tcW w:w="17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4,594,630</w:t>
            </w:r>
          </w:p>
        </w:tc>
        <w:tc>
          <w:tcPr>
            <w:tcW w:w="200" w:type="dxa"/>
            <w:vAlign w:val="bottom"/>
          </w:tcPr>
          <w:p>
            <w:pPr>
              <w:spacing w:after="0"/>
              <w:rPr>
                <w:sz w:val="18"/>
                <w:szCs w:val="18"/>
                <w:color w:val="auto"/>
              </w:rPr>
            </w:pP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49"/>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Derivatives - loan commitments (3)</w:t>
            </w:r>
          </w:p>
        </w:tc>
        <w:tc>
          <w:tcPr>
            <w:tcW w:w="5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5,623,512</w:t>
            </w:r>
          </w:p>
        </w:tc>
        <w:tc>
          <w:tcPr>
            <w:tcW w:w="120" w:type="dxa"/>
            <w:vAlign w:val="bottom"/>
            <w:shd w:val="clear" w:color="auto" w:fill="CCEEFF"/>
          </w:tcPr>
          <w:p>
            <w:pPr>
              <w:spacing w:after="0"/>
              <w:rPr>
                <w:sz w:val="21"/>
                <w:szCs w:val="21"/>
                <w:color w:val="auto"/>
              </w:rPr>
            </w:pPr>
          </w:p>
        </w:tc>
        <w:tc>
          <w:tcPr>
            <w:tcW w:w="17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5,623,512</w:t>
            </w:r>
          </w:p>
        </w:tc>
        <w:tc>
          <w:tcPr>
            <w:tcW w:w="100" w:type="dxa"/>
            <w:vAlign w:val="bottom"/>
            <w:shd w:val="clear" w:color="auto" w:fill="CCEEFF"/>
          </w:tcPr>
          <w:p>
            <w:pPr>
              <w:spacing w:after="0"/>
              <w:rPr>
                <w:sz w:val="21"/>
                <w:szCs w:val="21"/>
                <w:color w:val="auto"/>
              </w:rPr>
            </w:pPr>
          </w:p>
        </w:tc>
      </w:tr>
      <w:tr>
        <w:trPr>
          <w:trHeight w:val="171"/>
        </w:trPr>
        <w:tc>
          <w:tcPr>
            <w:tcW w:w="3780" w:type="dxa"/>
            <w:vAlign w:val="bottom"/>
            <w:tcBorders>
              <w:top w:val="single" w:sz="8" w:color="CCEEFF"/>
            </w:tcBorders>
          </w:tcPr>
          <w:p>
            <w:pPr>
              <w:spacing w:after="0" w:line="171" w:lineRule="exact"/>
              <w:rPr>
                <w:sz w:val="20"/>
                <w:szCs w:val="20"/>
                <w:color w:val="auto"/>
              </w:rPr>
            </w:pPr>
            <w:r>
              <w:rPr>
                <w:rFonts w:ascii="Times New Roman" w:cs="Times New Roman" w:eastAsia="Times New Roman" w:hAnsi="Times New Roman"/>
                <w:sz w:val="18"/>
                <w:szCs w:val="18"/>
                <w:color w:val="auto"/>
              </w:rPr>
              <w:t>Total assets accounted for at fair value on a</w:t>
            </w:r>
          </w:p>
        </w:tc>
        <w:tc>
          <w:tcPr>
            <w:tcW w:w="500" w:type="dxa"/>
            <w:vAlign w:val="bottom"/>
            <w:tcBorders>
              <w:top w:val="single" w:sz="8" w:color="CCEEFF"/>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340" w:type="dxa"/>
            <w:vAlign w:val="bottom"/>
            <w:tcBorders>
              <w:top w:val="single" w:sz="8" w:color="CCEEFF"/>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spacing w:after="0"/>
              <w:rPr>
                <w:sz w:val="14"/>
                <w:szCs w:val="14"/>
                <w:color w:val="auto"/>
              </w:rPr>
            </w:pPr>
          </w:p>
        </w:tc>
        <w:tc>
          <w:tcPr>
            <w:tcW w:w="340" w:type="dxa"/>
            <w:vAlign w:val="bottom"/>
            <w:tcBorders>
              <w:top w:val="single" w:sz="8" w:color="CCEEFF"/>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320" w:type="dxa"/>
            <w:vAlign w:val="bottom"/>
            <w:tcBorders>
              <w:top w:val="single" w:sz="8" w:color="CCEEFF"/>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r>
      <w:tr>
        <w:trPr>
          <w:trHeight w:val="301"/>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recurring basis</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535,502,200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28,160,780</w:t>
            </w:r>
          </w:p>
        </w:tc>
        <w:tc>
          <w:tcPr>
            <w:tcW w:w="2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350,284,023</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157,057,397</w:t>
            </w:r>
          </w:p>
        </w:tc>
        <w:tc>
          <w:tcPr>
            <w:tcW w:w="100" w:type="dxa"/>
            <w:vAlign w:val="bottom"/>
          </w:tcPr>
          <w:p>
            <w:pPr>
              <w:spacing w:after="0"/>
              <w:rPr>
                <w:sz w:val="24"/>
                <w:szCs w:val="24"/>
                <w:color w:val="auto"/>
              </w:rPr>
            </w:pPr>
          </w:p>
        </w:tc>
      </w:tr>
      <w:tr>
        <w:trPr>
          <w:trHeight w:val="197"/>
        </w:trPr>
        <w:tc>
          <w:tcPr>
            <w:tcW w:w="37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198"/>
        </w:trPr>
        <w:tc>
          <w:tcPr>
            <w:tcW w:w="37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Liabilities accounted for at fair value on a</w:t>
            </w: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recurring basis</w:t>
            </w: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Derivatives - loan commitments (4)</w:t>
            </w:r>
          </w:p>
        </w:tc>
        <w:tc>
          <w:tcPr>
            <w:tcW w:w="5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(3,048,649)</w:t>
            </w:r>
          </w:p>
        </w:tc>
        <w:tc>
          <w:tcPr>
            <w:tcW w:w="120" w:type="dxa"/>
            <w:vAlign w:val="bottom"/>
            <w:shd w:val="clear" w:color="auto" w:fill="CCEEFF"/>
          </w:tcPr>
          <w:p>
            <w:pPr>
              <w:spacing w:after="0"/>
              <w:rPr>
                <w:sz w:val="21"/>
                <w:szCs w:val="21"/>
                <w:color w:val="auto"/>
              </w:rPr>
            </w:pPr>
          </w:p>
        </w:tc>
        <w:tc>
          <w:tcPr>
            <w:tcW w:w="17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(3,048,649)</w:t>
            </w:r>
          </w:p>
        </w:tc>
      </w:tr>
      <w:tr>
        <w:trPr>
          <w:trHeight w:val="171"/>
        </w:trPr>
        <w:tc>
          <w:tcPr>
            <w:tcW w:w="3780" w:type="dxa"/>
            <w:vAlign w:val="bottom"/>
            <w:tcBorders>
              <w:top w:val="single" w:sz="8" w:color="CCEEFF"/>
            </w:tcBorders>
          </w:tcPr>
          <w:p>
            <w:pPr>
              <w:spacing w:after="0" w:line="171" w:lineRule="exact"/>
              <w:rPr>
                <w:sz w:val="20"/>
                <w:szCs w:val="20"/>
                <w:color w:val="auto"/>
              </w:rPr>
            </w:pPr>
            <w:r>
              <w:rPr>
                <w:rFonts w:ascii="Times New Roman" w:cs="Times New Roman" w:eastAsia="Times New Roman" w:hAnsi="Times New Roman"/>
                <w:sz w:val="18"/>
                <w:szCs w:val="18"/>
                <w:color w:val="auto"/>
              </w:rPr>
              <w:t>Total liabilities accounted for at fair value</w:t>
            </w:r>
          </w:p>
        </w:tc>
        <w:tc>
          <w:tcPr>
            <w:tcW w:w="500" w:type="dxa"/>
            <w:vAlign w:val="bottom"/>
            <w:tcBorders>
              <w:top w:val="single" w:sz="8" w:color="CCEEFF"/>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340" w:type="dxa"/>
            <w:vAlign w:val="bottom"/>
            <w:tcBorders>
              <w:top w:val="single" w:sz="8" w:color="CCEEFF"/>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spacing w:after="0"/>
              <w:rPr>
                <w:sz w:val="14"/>
                <w:szCs w:val="14"/>
                <w:color w:val="auto"/>
              </w:rPr>
            </w:pPr>
          </w:p>
        </w:tc>
        <w:tc>
          <w:tcPr>
            <w:tcW w:w="340" w:type="dxa"/>
            <w:vAlign w:val="bottom"/>
            <w:tcBorders>
              <w:top w:val="single" w:sz="8" w:color="CCEEFF"/>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320" w:type="dxa"/>
            <w:vAlign w:val="bottom"/>
            <w:tcBorders>
              <w:top w:val="single" w:sz="8" w:color="CCEEFF"/>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r>
      <w:tr>
        <w:trPr>
          <w:trHeight w:val="261"/>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on a recurring basis</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(3,048,649)</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(3,048,649)</w:t>
            </w:r>
          </w:p>
        </w:tc>
      </w:tr>
      <w:tr>
        <w:trPr>
          <w:trHeight w:val="20"/>
        </w:trPr>
        <w:tc>
          <w:tcPr>
            <w:tcW w:w="37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(1)Fixed maturity securities available for sale</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(2)Equity securities</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(3)Included in other assets on the consolidated balance sheets</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(4)Included in other liabilities and accrued expenses on the consolidated balance sheets</w:t>
      </w:r>
    </w:p>
    <w:p>
      <w:pPr>
        <w:spacing w:after="0" w:line="33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6" w:name="page47"/>
    <w:bookmarkEnd w:id="46"/>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June 30, 2024 (Unaudited)</w:t>
      </w:r>
    </w:p>
    <w:p>
      <w:pPr>
        <w:spacing w:after="0" w:line="176" w:lineRule="exact"/>
        <w:rPr>
          <w:sz w:val="20"/>
          <w:szCs w:val="20"/>
          <w:color w:val="auto"/>
        </w:rPr>
      </w:pPr>
    </w:p>
    <w:p>
      <w:pPr>
        <w:ind w:left="200" w:hanging="192"/>
        <w:spacing w:after="0"/>
        <w:tabs>
          <w:tab w:leader="none" w:pos="2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Fair Value of Financial Instruments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tables summarize Level 1, 2 and 3 financial assets and financial liabilities measured at fair value on a recurring basis by their classification in the condensed consolidated balance sheet as of December 31, 2023:</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9"/>
              </w:rPr>
              <w:t>Quoted Prices in</w:t>
            </w: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2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color w:val="auto"/>
              </w:rPr>
              <w:t>Active Markets for</w:t>
            </w: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Significant</w:t>
            </w:r>
          </w:p>
        </w:tc>
      </w:tr>
      <w:tr>
        <w:trPr>
          <w:trHeight w:val="216"/>
        </w:trPr>
        <w:tc>
          <w:tcPr>
            <w:tcW w:w="3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8"/>
              </w:rPr>
              <w:t>Identical</w:t>
            </w:r>
          </w:p>
        </w:tc>
        <w:tc>
          <w:tcPr>
            <w:tcW w:w="200" w:type="dxa"/>
            <w:vAlign w:val="bottom"/>
          </w:tcPr>
          <w:p>
            <w:pPr>
              <w:spacing w:after="0"/>
              <w:rPr>
                <w:sz w:val="18"/>
                <w:szCs w:val="18"/>
                <w:color w:val="auto"/>
              </w:rPr>
            </w:pPr>
          </w:p>
        </w:tc>
        <w:tc>
          <w:tcPr>
            <w:tcW w:w="156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Significant</w:t>
            </w:r>
          </w:p>
        </w:tc>
        <w:tc>
          <w:tcPr>
            <w:tcW w:w="16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7"/>
              </w:rPr>
              <w:t>Unobservable</w:t>
            </w:r>
          </w:p>
        </w:tc>
      </w:tr>
      <w:tr>
        <w:trPr>
          <w:trHeight w:val="216"/>
        </w:trPr>
        <w:tc>
          <w:tcPr>
            <w:tcW w:w="3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Assets</w:t>
            </w:r>
          </w:p>
        </w:tc>
        <w:tc>
          <w:tcPr>
            <w:tcW w:w="176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Observable Inputs</w:t>
            </w:r>
          </w:p>
        </w:tc>
        <w:tc>
          <w:tcPr>
            <w:tcW w:w="160" w:type="dxa"/>
            <w:vAlign w:val="bottom"/>
          </w:tcPr>
          <w:p>
            <w:pPr>
              <w:spacing w:after="0"/>
              <w:rPr>
                <w:sz w:val="18"/>
                <w:szCs w:val="18"/>
                <w:color w:val="auto"/>
              </w:rPr>
            </w:pPr>
          </w:p>
        </w:tc>
        <w:tc>
          <w:tcPr>
            <w:tcW w:w="140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Inputs</w:t>
            </w:r>
          </w:p>
        </w:tc>
      </w:tr>
      <w:tr>
        <w:trPr>
          <w:trHeight w:val="241"/>
        </w:trPr>
        <w:tc>
          <w:tcPr>
            <w:tcW w:w="37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00" w:type="dxa"/>
            <w:vAlign w:val="bottom"/>
            <w:gridSpan w:val="2"/>
          </w:tcPr>
          <w:p>
            <w:pPr>
              <w:jc w:val="right"/>
              <w:ind w:right="90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Pr>
          <w:p>
            <w:pPr>
              <w:spacing w:after="0"/>
              <w:rPr>
                <w:sz w:val="20"/>
                <w:szCs w:val="20"/>
                <w:color w:val="auto"/>
              </w:rPr>
            </w:pPr>
          </w:p>
        </w:tc>
        <w:tc>
          <w:tcPr>
            <w:tcW w:w="17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9"/>
              </w:rPr>
              <w:t>(Level 1)</w:t>
            </w:r>
          </w:p>
        </w:tc>
        <w:tc>
          <w:tcPr>
            <w:tcW w:w="200" w:type="dxa"/>
            <w:vAlign w:val="bottom"/>
          </w:tcPr>
          <w:p>
            <w:pPr>
              <w:spacing w:after="0"/>
              <w:rPr>
                <w:sz w:val="20"/>
                <w:szCs w:val="20"/>
                <w:color w:val="auto"/>
              </w:rPr>
            </w:pPr>
          </w:p>
        </w:tc>
        <w:tc>
          <w:tcPr>
            <w:tcW w:w="156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(Level 2)</w:t>
            </w:r>
          </w:p>
        </w:tc>
        <w:tc>
          <w:tcPr>
            <w:tcW w:w="160" w:type="dxa"/>
            <w:vAlign w:val="bottom"/>
          </w:tcPr>
          <w:p>
            <w:pPr>
              <w:spacing w:after="0"/>
              <w:rPr>
                <w:sz w:val="20"/>
                <w:szCs w:val="20"/>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(Level 3)</w:t>
            </w:r>
          </w:p>
        </w:tc>
      </w:tr>
      <w:tr>
        <w:trPr>
          <w:trHeight w:val="184"/>
        </w:trPr>
        <w:tc>
          <w:tcPr>
            <w:tcW w:w="3780" w:type="dxa"/>
            <w:vAlign w:val="bottom"/>
            <w:tcBorders>
              <w:top w:val="single" w:sz="8" w:color="CCEEFF"/>
            </w:tcBorders>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Assets accounted for at fair value on a</w:t>
            </w:r>
          </w:p>
        </w:tc>
        <w:tc>
          <w:tcPr>
            <w:tcW w:w="50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34"/>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recurring basis</w:t>
            </w:r>
          </w:p>
        </w:tc>
        <w:tc>
          <w:tcPr>
            <w:tcW w:w="5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Fixed maturity securities available for sale</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381,535,986</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380,297,330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1,238,656</w:t>
            </w:r>
          </w:p>
        </w:tc>
        <w:tc>
          <w:tcPr>
            <w:tcW w:w="100" w:type="dxa"/>
            <w:vAlign w:val="bottom"/>
          </w:tcPr>
          <w:p>
            <w:pPr>
              <w:spacing w:after="0"/>
              <w:rPr>
                <w:sz w:val="18"/>
                <w:szCs w:val="18"/>
                <w:color w:val="auto"/>
              </w:rPr>
            </w:pPr>
          </w:p>
        </w:tc>
      </w:tr>
      <w:tr>
        <w:trPr>
          <w:trHeight w:val="216"/>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13,636,071</w:t>
            </w: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13,636,071</w:t>
            </w:r>
          </w:p>
        </w:tc>
        <w:tc>
          <w:tcPr>
            <w:tcW w:w="2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Loans held for sale</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126,549,190</w:t>
            </w:r>
          </w:p>
        </w:tc>
        <w:tc>
          <w:tcPr>
            <w:tcW w:w="120" w:type="dxa"/>
            <w:vAlign w:val="bottom"/>
          </w:tcPr>
          <w:p>
            <w:pPr>
              <w:spacing w:after="0"/>
              <w:rPr>
                <w:sz w:val="18"/>
                <w:szCs w:val="18"/>
                <w:color w:val="auto"/>
              </w:rPr>
            </w:pPr>
          </w:p>
        </w:tc>
        <w:tc>
          <w:tcPr>
            <w:tcW w:w="17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126,549,190</w:t>
            </w:r>
          </w:p>
        </w:tc>
        <w:tc>
          <w:tcPr>
            <w:tcW w:w="100" w:type="dxa"/>
            <w:vAlign w:val="bottom"/>
          </w:tcPr>
          <w:p>
            <w:pPr>
              <w:spacing w:after="0"/>
              <w:rPr>
                <w:sz w:val="18"/>
                <w:szCs w:val="18"/>
                <w:color w:val="auto"/>
              </w:rPr>
            </w:pPr>
          </w:p>
        </w:tc>
      </w:tr>
      <w:tr>
        <w:trPr>
          <w:trHeight w:val="216"/>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assets (1)</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1,853,860</w:t>
            </w: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1,853,860</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Restricted assets (2)</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7,385,203</w:t>
            </w:r>
          </w:p>
        </w:tc>
        <w:tc>
          <w:tcPr>
            <w:tcW w:w="120" w:type="dxa"/>
            <w:vAlign w:val="bottom"/>
          </w:tcPr>
          <w:p>
            <w:pPr>
              <w:spacing w:after="0"/>
              <w:rPr>
                <w:sz w:val="18"/>
                <w:szCs w:val="18"/>
                <w:color w:val="auto"/>
              </w:rPr>
            </w:pPr>
          </w:p>
        </w:tc>
        <w:tc>
          <w:tcPr>
            <w:tcW w:w="17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7,385,203</w:t>
            </w:r>
          </w:p>
        </w:tc>
        <w:tc>
          <w:tcPr>
            <w:tcW w:w="200" w:type="dxa"/>
            <w:vAlign w:val="bottom"/>
          </w:tcPr>
          <w:p>
            <w:pPr>
              <w:spacing w:after="0"/>
              <w:rPr>
                <w:sz w:val="18"/>
                <w:szCs w:val="18"/>
                <w:color w:val="auto"/>
              </w:rPr>
            </w:pP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Cemetery perpetual care trust investments (1)</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641,704</w:t>
            </w: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641,704</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Cemetery perpetual care trust investments (2)</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4,327,301</w:t>
            </w:r>
          </w:p>
        </w:tc>
        <w:tc>
          <w:tcPr>
            <w:tcW w:w="120" w:type="dxa"/>
            <w:vAlign w:val="bottom"/>
          </w:tcPr>
          <w:p>
            <w:pPr>
              <w:spacing w:after="0"/>
              <w:rPr>
                <w:sz w:val="18"/>
                <w:szCs w:val="18"/>
                <w:color w:val="auto"/>
              </w:rPr>
            </w:pPr>
          </w:p>
        </w:tc>
        <w:tc>
          <w:tcPr>
            <w:tcW w:w="17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4,327,301</w:t>
            </w:r>
          </w:p>
        </w:tc>
        <w:tc>
          <w:tcPr>
            <w:tcW w:w="200" w:type="dxa"/>
            <w:vAlign w:val="bottom"/>
          </w:tcPr>
          <w:p>
            <w:pPr>
              <w:spacing w:after="0"/>
              <w:rPr>
                <w:sz w:val="18"/>
                <w:szCs w:val="18"/>
                <w:color w:val="auto"/>
              </w:rPr>
            </w:pP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49"/>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Derivatives - loan commitments (3)</w:t>
            </w:r>
          </w:p>
        </w:tc>
        <w:tc>
          <w:tcPr>
            <w:tcW w:w="5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4,995,486</w:t>
            </w:r>
          </w:p>
        </w:tc>
        <w:tc>
          <w:tcPr>
            <w:tcW w:w="120" w:type="dxa"/>
            <w:vAlign w:val="bottom"/>
            <w:shd w:val="clear" w:color="auto" w:fill="CCEEFF"/>
          </w:tcPr>
          <w:p>
            <w:pPr>
              <w:spacing w:after="0"/>
              <w:rPr>
                <w:sz w:val="21"/>
                <w:szCs w:val="21"/>
                <w:color w:val="auto"/>
              </w:rPr>
            </w:pPr>
          </w:p>
        </w:tc>
        <w:tc>
          <w:tcPr>
            <w:tcW w:w="17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4,995,486</w:t>
            </w:r>
          </w:p>
        </w:tc>
        <w:tc>
          <w:tcPr>
            <w:tcW w:w="100" w:type="dxa"/>
            <w:vAlign w:val="bottom"/>
            <w:shd w:val="clear" w:color="auto" w:fill="CCEEFF"/>
          </w:tcPr>
          <w:p>
            <w:pPr>
              <w:spacing w:after="0"/>
              <w:rPr>
                <w:sz w:val="21"/>
                <w:szCs w:val="21"/>
                <w:color w:val="auto"/>
              </w:rPr>
            </w:pPr>
          </w:p>
        </w:tc>
      </w:tr>
      <w:tr>
        <w:trPr>
          <w:trHeight w:val="171"/>
        </w:trPr>
        <w:tc>
          <w:tcPr>
            <w:tcW w:w="3780" w:type="dxa"/>
            <w:vAlign w:val="bottom"/>
            <w:tcBorders>
              <w:top w:val="single" w:sz="8" w:color="CCEEFF"/>
            </w:tcBorders>
          </w:tcPr>
          <w:p>
            <w:pPr>
              <w:spacing w:after="0" w:line="171" w:lineRule="exact"/>
              <w:rPr>
                <w:sz w:val="20"/>
                <w:szCs w:val="20"/>
                <w:color w:val="auto"/>
              </w:rPr>
            </w:pPr>
            <w:r>
              <w:rPr>
                <w:rFonts w:ascii="Times New Roman" w:cs="Times New Roman" w:eastAsia="Times New Roman" w:hAnsi="Times New Roman"/>
                <w:sz w:val="18"/>
                <w:szCs w:val="18"/>
                <w:color w:val="auto"/>
              </w:rPr>
              <w:t>Total assets accounted for at fair value on a</w:t>
            </w:r>
          </w:p>
        </w:tc>
        <w:tc>
          <w:tcPr>
            <w:tcW w:w="500" w:type="dxa"/>
            <w:vAlign w:val="bottom"/>
            <w:tcBorders>
              <w:top w:val="single" w:sz="8" w:color="CCEEFF"/>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340" w:type="dxa"/>
            <w:vAlign w:val="bottom"/>
            <w:tcBorders>
              <w:top w:val="single" w:sz="8" w:color="CCEEFF"/>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spacing w:after="0"/>
              <w:rPr>
                <w:sz w:val="14"/>
                <w:szCs w:val="14"/>
                <w:color w:val="auto"/>
              </w:rPr>
            </w:pPr>
          </w:p>
        </w:tc>
        <w:tc>
          <w:tcPr>
            <w:tcW w:w="340" w:type="dxa"/>
            <w:vAlign w:val="bottom"/>
            <w:tcBorders>
              <w:top w:val="single" w:sz="8" w:color="CCEEFF"/>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320" w:type="dxa"/>
            <w:vAlign w:val="bottom"/>
            <w:tcBorders>
              <w:top w:val="single" w:sz="8" w:color="CCEEFF"/>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r>
      <w:tr>
        <w:trPr>
          <w:trHeight w:val="301"/>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recurring basis</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540,924,801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25,348,575</w:t>
            </w: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382,792,894</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132,783,332</w:t>
            </w:r>
          </w:p>
        </w:tc>
        <w:tc>
          <w:tcPr>
            <w:tcW w:w="100" w:type="dxa"/>
            <w:vAlign w:val="bottom"/>
          </w:tcPr>
          <w:p>
            <w:pPr>
              <w:spacing w:after="0"/>
              <w:rPr>
                <w:sz w:val="24"/>
                <w:szCs w:val="24"/>
                <w:color w:val="auto"/>
              </w:rPr>
            </w:pPr>
          </w:p>
        </w:tc>
      </w:tr>
      <w:tr>
        <w:trPr>
          <w:trHeight w:val="197"/>
        </w:trPr>
        <w:tc>
          <w:tcPr>
            <w:tcW w:w="37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198"/>
        </w:trPr>
        <w:tc>
          <w:tcPr>
            <w:tcW w:w="37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Liabilities accounted for at fair value on a</w:t>
            </w: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recurring basis</w:t>
            </w: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Derivatives - loan commitments (4)</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(3,412,224)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(3,412,224)</w:t>
            </w:r>
          </w:p>
        </w:tc>
      </w:tr>
      <w:tr>
        <w:trPr>
          <w:trHeight w:val="171"/>
        </w:trPr>
        <w:tc>
          <w:tcPr>
            <w:tcW w:w="3780" w:type="dxa"/>
            <w:vAlign w:val="bottom"/>
            <w:tcBorders>
              <w:top w:val="single" w:sz="8" w:color="CCEEFF"/>
            </w:tcBorders>
          </w:tcPr>
          <w:p>
            <w:pPr>
              <w:spacing w:after="0" w:line="171" w:lineRule="exact"/>
              <w:rPr>
                <w:sz w:val="20"/>
                <w:szCs w:val="20"/>
                <w:color w:val="auto"/>
              </w:rPr>
            </w:pPr>
            <w:r>
              <w:rPr>
                <w:rFonts w:ascii="Times New Roman" w:cs="Times New Roman" w:eastAsia="Times New Roman" w:hAnsi="Times New Roman"/>
                <w:sz w:val="18"/>
                <w:szCs w:val="18"/>
                <w:color w:val="auto"/>
              </w:rPr>
              <w:t>Total liabilities accounted for at fair value</w:t>
            </w:r>
          </w:p>
        </w:tc>
        <w:tc>
          <w:tcPr>
            <w:tcW w:w="500" w:type="dxa"/>
            <w:vAlign w:val="bottom"/>
            <w:tcBorders>
              <w:top w:val="single" w:sz="8" w:color="CCEEFF"/>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340" w:type="dxa"/>
            <w:vAlign w:val="bottom"/>
            <w:tcBorders>
              <w:top w:val="single" w:sz="8" w:color="CCEEFF"/>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spacing w:after="0"/>
              <w:rPr>
                <w:sz w:val="14"/>
                <w:szCs w:val="14"/>
                <w:color w:val="auto"/>
              </w:rPr>
            </w:pPr>
          </w:p>
        </w:tc>
        <w:tc>
          <w:tcPr>
            <w:tcW w:w="340" w:type="dxa"/>
            <w:vAlign w:val="bottom"/>
            <w:tcBorders>
              <w:top w:val="single" w:sz="8" w:color="CCEEFF"/>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320" w:type="dxa"/>
            <w:vAlign w:val="bottom"/>
            <w:tcBorders>
              <w:top w:val="single" w:sz="8" w:color="CCEEFF"/>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r>
      <w:tr>
        <w:trPr>
          <w:trHeight w:val="261"/>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on a recurring basis</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(3,412,224)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(3,412,224)</w:t>
            </w:r>
          </w:p>
        </w:tc>
      </w:tr>
      <w:tr>
        <w:trPr>
          <w:trHeight w:val="20"/>
        </w:trPr>
        <w:tc>
          <w:tcPr>
            <w:tcW w:w="37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(1)Fixed maturity securities available for sale</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(2)Equity securities</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(3)Included in other assets on the consolidated balance sheets</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(4)Included in other liabilities and accrued expenses on the consolidated balance sheets</w:t>
      </w:r>
    </w:p>
    <w:p>
      <w:pPr>
        <w:spacing w:after="0" w:line="33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7" w:name="page48"/>
    <w:bookmarkEnd w:id="47"/>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June 30, 2024 (Unaudited)</w:t>
      </w:r>
    </w:p>
    <w:p>
      <w:pPr>
        <w:spacing w:after="0" w:line="176" w:lineRule="exact"/>
        <w:rPr>
          <w:sz w:val="20"/>
          <w:szCs w:val="20"/>
          <w:color w:val="auto"/>
        </w:rPr>
      </w:pPr>
    </w:p>
    <w:p>
      <w:pPr>
        <w:ind w:left="200" w:hanging="192"/>
        <w:spacing w:after="0"/>
        <w:tabs>
          <w:tab w:leader="none" w:pos="2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Fair Value of Financial Instruments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For Level 3 assets and liabilities measured at fair value on a recurring basis as of June 30, 2024, the significant unobservable inputs used in the fair value measurements were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Significant</w:t>
            </w:r>
          </w:p>
        </w:tc>
        <w:tc>
          <w:tcPr>
            <w:tcW w:w="120" w:type="dxa"/>
            <w:vAlign w:val="bottom"/>
          </w:tcPr>
          <w:p>
            <w:pPr>
              <w:spacing w:after="0"/>
              <w:rPr>
                <w:sz w:val="20"/>
                <w:szCs w:val="20"/>
                <w:color w:val="auto"/>
              </w:rPr>
            </w:pPr>
          </w:p>
        </w:tc>
        <w:tc>
          <w:tcPr>
            <w:tcW w:w="2520" w:type="dxa"/>
            <w:vAlign w:val="bottom"/>
            <w:gridSpan w:val="5"/>
          </w:tcPr>
          <w:p>
            <w:pPr>
              <w:jc w:val="right"/>
              <w:ind w:right="940"/>
              <w:spacing w:after="0"/>
              <w:rPr>
                <w:sz w:val="20"/>
                <w:szCs w:val="20"/>
                <w:color w:val="auto"/>
              </w:rPr>
            </w:pPr>
            <w:r>
              <w:rPr>
                <w:rFonts w:ascii="Times New Roman" w:cs="Times New Roman" w:eastAsia="Times New Roman" w:hAnsi="Times New Roman"/>
                <w:sz w:val="18"/>
                <w:szCs w:val="18"/>
                <w:color w:val="auto"/>
              </w:rPr>
              <w:t>Range of Inputs</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11"/>
        </w:trPr>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Fair Value at</w:t>
            </w:r>
          </w:p>
        </w:tc>
        <w:tc>
          <w:tcPr>
            <w:tcW w:w="160" w:type="dxa"/>
            <w:vAlign w:val="bottom"/>
          </w:tcPr>
          <w:p>
            <w:pPr>
              <w:spacing w:after="0"/>
              <w:rPr>
                <w:sz w:val="18"/>
                <w:szCs w:val="18"/>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Valuation</w:t>
            </w:r>
          </w:p>
        </w:tc>
        <w:tc>
          <w:tcPr>
            <w:tcW w:w="220" w:type="dxa"/>
            <w:vAlign w:val="bottom"/>
          </w:tcPr>
          <w:p>
            <w:pPr>
              <w:spacing w:after="0"/>
              <w:rPr>
                <w:sz w:val="18"/>
                <w:szCs w:val="18"/>
                <w:color w:val="auto"/>
              </w:rPr>
            </w:pPr>
          </w:p>
        </w:tc>
        <w:tc>
          <w:tcPr>
            <w:tcW w:w="19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Unobservable</w:t>
            </w: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gridSpan w:val="2"/>
          </w:tcPr>
          <w:p>
            <w:pPr>
              <w:jc w:val="right"/>
              <w:ind w:right="520"/>
              <w:spacing w:after="0"/>
              <w:rPr>
                <w:sz w:val="20"/>
                <w:szCs w:val="20"/>
                <w:color w:val="auto"/>
              </w:rPr>
            </w:pPr>
            <w:r>
              <w:rPr>
                <w:rFonts w:ascii="Times New Roman" w:cs="Times New Roman" w:eastAsia="Times New Roman" w:hAnsi="Times New Roman"/>
                <w:sz w:val="18"/>
                <w:szCs w:val="18"/>
                <w:color w:val="auto"/>
                <w:w w:val="99"/>
              </w:rPr>
              <w:t>Minimum</w:t>
            </w:r>
          </w:p>
        </w:tc>
        <w:tc>
          <w:tcPr>
            <w:tcW w:w="8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Maximum</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7"/>
              </w:rPr>
              <w:t>Weighted</w:t>
            </w:r>
          </w:p>
        </w:tc>
      </w:tr>
      <w:tr>
        <w:trPr>
          <w:trHeight w:val="241"/>
        </w:trPr>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June 30, 2024</w:t>
            </w:r>
          </w:p>
        </w:tc>
        <w:tc>
          <w:tcPr>
            <w:tcW w:w="160" w:type="dxa"/>
            <w:vAlign w:val="bottom"/>
          </w:tcPr>
          <w:p>
            <w:pPr>
              <w:spacing w:after="0"/>
              <w:rPr>
                <w:sz w:val="20"/>
                <w:szCs w:val="20"/>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Technique</w:t>
            </w:r>
          </w:p>
        </w:tc>
        <w:tc>
          <w:tcPr>
            <w:tcW w:w="220" w:type="dxa"/>
            <w:vAlign w:val="bottom"/>
          </w:tcPr>
          <w:p>
            <w:pPr>
              <w:spacing w:after="0"/>
              <w:rPr>
                <w:sz w:val="20"/>
                <w:szCs w:val="20"/>
                <w:color w:val="auto"/>
              </w:rPr>
            </w:pPr>
          </w:p>
        </w:tc>
        <w:tc>
          <w:tcPr>
            <w:tcW w:w="2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Input(s)</w:t>
            </w:r>
          </w:p>
        </w:tc>
        <w:tc>
          <w:tcPr>
            <w:tcW w:w="120" w:type="dxa"/>
            <w:vAlign w:val="bottom"/>
          </w:tcPr>
          <w:p>
            <w:pPr>
              <w:spacing w:after="0"/>
              <w:rPr>
                <w:sz w:val="20"/>
                <w:szCs w:val="20"/>
                <w:color w:val="auto"/>
              </w:rPr>
            </w:pPr>
          </w:p>
        </w:tc>
        <w:tc>
          <w:tcPr>
            <w:tcW w:w="126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Value</w:t>
            </w:r>
          </w:p>
        </w:tc>
        <w:tc>
          <w:tcPr>
            <w:tcW w:w="160" w:type="dxa"/>
            <w:vAlign w:val="bottom"/>
          </w:tcPr>
          <w:p>
            <w:pPr>
              <w:spacing w:after="0"/>
              <w:rPr>
                <w:sz w:val="20"/>
                <w:szCs w:val="20"/>
                <w:color w:val="auto"/>
              </w:rPr>
            </w:pPr>
          </w:p>
        </w:tc>
        <w:tc>
          <w:tcPr>
            <w:tcW w:w="110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Value</w:t>
            </w:r>
          </w:p>
        </w:tc>
        <w:tc>
          <w:tcPr>
            <w:tcW w:w="100" w:type="dxa"/>
            <w:vAlign w:val="bottom"/>
          </w:tcPr>
          <w:p>
            <w:pPr>
              <w:spacing w:after="0"/>
              <w:rPr>
                <w:sz w:val="20"/>
                <w:szCs w:val="20"/>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Average</w:t>
            </w:r>
          </w:p>
        </w:tc>
      </w:tr>
      <w:tr>
        <w:trPr>
          <w:trHeight w:val="198"/>
        </w:trPr>
        <w:tc>
          <w:tcPr>
            <w:tcW w:w="1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0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90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Investor contract pricing</w:t>
            </w: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r>
      <w:tr>
        <w:trPr>
          <w:trHeight w:val="216"/>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held</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23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as a percentage of unpaid</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34"/>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 sale</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150,196,416</w:t>
            </w:r>
          </w:p>
        </w:tc>
        <w:tc>
          <w:tcPr>
            <w:tcW w:w="21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Market approach</w:t>
            </w:r>
          </w:p>
        </w:tc>
        <w:tc>
          <w:tcPr>
            <w:tcW w:w="23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principal balance</w:t>
            </w:r>
          </w:p>
        </w:tc>
        <w:tc>
          <w:tcPr>
            <w:tcW w:w="1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72.0%</w:t>
            </w:r>
          </w:p>
        </w:tc>
        <w:tc>
          <w:tcPr>
            <w:tcW w:w="1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108.0%</w:t>
            </w: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r>
      <w:tr>
        <w:trPr>
          <w:trHeight w:val="216"/>
        </w:trPr>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198"/>
        </w:trPr>
        <w:tc>
          <w:tcPr>
            <w:tcW w:w="11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Derivatives -</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34"/>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2,574,863</w:t>
            </w:r>
          </w:p>
        </w:tc>
        <w:tc>
          <w:tcPr>
            <w:tcW w:w="21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Market approach</w:t>
            </w:r>
          </w:p>
        </w:tc>
        <w:tc>
          <w:tcPr>
            <w:tcW w:w="23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Pull-through rate</w:t>
            </w:r>
          </w:p>
        </w:tc>
        <w:tc>
          <w:tcPr>
            <w:tcW w:w="1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65.0%</w:t>
            </w:r>
          </w:p>
        </w:tc>
        <w:tc>
          <w:tcPr>
            <w:tcW w:w="1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85.0%</w:t>
            </w:r>
          </w:p>
        </w:tc>
      </w:tr>
      <w:tr>
        <w:trPr>
          <w:trHeight w:val="216"/>
        </w:trPr>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3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Initial-Value</w:t>
            </w:r>
          </w:p>
        </w:tc>
        <w:tc>
          <w:tcPr>
            <w:tcW w:w="12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N/A</w:t>
            </w:r>
          </w:p>
        </w:tc>
        <w:tc>
          <w:tcPr>
            <w:tcW w:w="16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N/A</w:t>
            </w:r>
          </w:p>
        </w:tc>
        <w:tc>
          <w:tcPr>
            <w:tcW w:w="1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23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Servicing</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0 bps</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135 bps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44 bps</w:t>
            </w:r>
          </w:p>
        </w:tc>
      </w:tr>
      <w:tr>
        <w:trPr>
          <w:trHeight w:val="216"/>
        </w:trPr>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198"/>
        </w:trPr>
        <w:tc>
          <w:tcPr>
            <w:tcW w:w="11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Fixed</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maturity</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securities</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available for</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34"/>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1,237,469</w:t>
            </w:r>
          </w:p>
        </w:tc>
        <w:tc>
          <w:tcPr>
            <w:tcW w:w="21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Broker quotes</w:t>
            </w:r>
          </w:p>
        </w:tc>
        <w:tc>
          <w:tcPr>
            <w:tcW w:w="23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Pricing quotes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99.74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99.51</w:t>
            </w: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Level 3 assets and liabilities measured at fair value on a recurring basis as of December 31, 2023, the significant unobservable inputs used in the fair value measurements were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Significant</w:t>
            </w:r>
          </w:p>
        </w:tc>
        <w:tc>
          <w:tcPr>
            <w:tcW w:w="120" w:type="dxa"/>
            <w:vAlign w:val="bottom"/>
          </w:tcPr>
          <w:p>
            <w:pPr>
              <w:spacing w:after="0"/>
              <w:rPr>
                <w:sz w:val="20"/>
                <w:szCs w:val="20"/>
                <w:color w:val="auto"/>
              </w:rPr>
            </w:pPr>
          </w:p>
        </w:tc>
        <w:tc>
          <w:tcPr>
            <w:tcW w:w="2520" w:type="dxa"/>
            <w:vAlign w:val="bottom"/>
            <w:gridSpan w:val="5"/>
          </w:tcPr>
          <w:p>
            <w:pPr>
              <w:jc w:val="right"/>
              <w:ind w:right="940"/>
              <w:spacing w:after="0"/>
              <w:rPr>
                <w:sz w:val="20"/>
                <w:szCs w:val="20"/>
                <w:color w:val="auto"/>
              </w:rPr>
            </w:pPr>
            <w:r>
              <w:rPr>
                <w:rFonts w:ascii="Times New Roman" w:cs="Times New Roman" w:eastAsia="Times New Roman" w:hAnsi="Times New Roman"/>
                <w:sz w:val="18"/>
                <w:szCs w:val="18"/>
                <w:color w:val="auto"/>
              </w:rPr>
              <w:t>Range of Inputs</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11"/>
        </w:trPr>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Fair Value at</w:t>
            </w:r>
          </w:p>
        </w:tc>
        <w:tc>
          <w:tcPr>
            <w:tcW w:w="160" w:type="dxa"/>
            <w:vAlign w:val="bottom"/>
          </w:tcPr>
          <w:p>
            <w:pPr>
              <w:spacing w:after="0"/>
              <w:rPr>
                <w:sz w:val="18"/>
                <w:szCs w:val="18"/>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Valuation</w:t>
            </w:r>
          </w:p>
        </w:tc>
        <w:tc>
          <w:tcPr>
            <w:tcW w:w="220" w:type="dxa"/>
            <w:vAlign w:val="bottom"/>
          </w:tcPr>
          <w:p>
            <w:pPr>
              <w:spacing w:after="0"/>
              <w:rPr>
                <w:sz w:val="18"/>
                <w:szCs w:val="18"/>
                <w:color w:val="auto"/>
              </w:rPr>
            </w:pPr>
          </w:p>
        </w:tc>
        <w:tc>
          <w:tcPr>
            <w:tcW w:w="19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Unobservable</w:t>
            </w: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gridSpan w:val="2"/>
          </w:tcPr>
          <w:p>
            <w:pPr>
              <w:jc w:val="right"/>
              <w:ind w:right="520"/>
              <w:spacing w:after="0"/>
              <w:rPr>
                <w:sz w:val="20"/>
                <w:szCs w:val="20"/>
                <w:color w:val="auto"/>
              </w:rPr>
            </w:pPr>
            <w:r>
              <w:rPr>
                <w:rFonts w:ascii="Times New Roman" w:cs="Times New Roman" w:eastAsia="Times New Roman" w:hAnsi="Times New Roman"/>
                <w:sz w:val="18"/>
                <w:szCs w:val="18"/>
                <w:color w:val="auto"/>
                <w:w w:val="99"/>
              </w:rPr>
              <w:t>Minimum</w:t>
            </w:r>
          </w:p>
        </w:tc>
        <w:tc>
          <w:tcPr>
            <w:tcW w:w="8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Maximum</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7"/>
              </w:rPr>
              <w:t>Weighted</w:t>
            </w:r>
          </w:p>
        </w:tc>
      </w:tr>
      <w:tr>
        <w:trPr>
          <w:trHeight w:val="241"/>
        </w:trPr>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December 31, 2023</w:t>
            </w:r>
          </w:p>
        </w:tc>
        <w:tc>
          <w:tcPr>
            <w:tcW w:w="160" w:type="dxa"/>
            <w:vAlign w:val="bottom"/>
          </w:tcPr>
          <w:p>
            <w:pPr>
              <w:spacing w:after="0"/>
              <w:rPr>
                <w:sz w:val="20"/>
                <w:szCs w:val="20"/>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Technique</w:t>
            </w:r>
          </w:p>
        </w:tc>
        <w:tc>
          <w:tcPr>
            <w:tcW w:w="220" w:type="dxa"/>
            <w:vAlign w:val="bottom"/>
          </w:tcPr>
          <w:p>
            <w:pPr>
              <w:spacing w:after="0"/>
              <w:rPr>
                <w:sz w:val="20"/>
                <w:szCs w:val="20"/>
                <w:color w:val="auto"/>
              </w:rPr>
            </w:pPr>
          </w:p>
        </w:tc>
        <w:tc>
          <w:tcPr>
            <w:tcW w:w="2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Input(s)</w:t>
            </w:r>
          </w:p>
        </w:tc>
        <w:tc>
          <w:tcPr>
            <w:tcW w:w="120" w:type="dxa"/>
            <w:vAlign w:val="bottom"/>
          </w:tcPr>
          <w:p>
            <w:pPr>
              <w:spacing w:after="0"/>
              <w:rPr>
                <w:sz w:val="20"/>
                <w:szCs w:val="20"/>
                <w:color w:val="auto"/>
              </w:rPr>
            </w:pPr>
          </w:p>
        </w:tc>
        <w:tc>
          <w:tcPr>
            <w:tcW w:w="126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Value</w:t>
            </w:r>
          </w:p>
        </w:tc>
        <w:tc>
          <w:tcPr>
            <w:tcW w:w="160" w:type="dxa"/>
            <w:vAlign w:val="bottom"/>
          </w:tcPr>
          <w:p>
            <w:pPr>
              <w:spacing w:after="0"/>
              <w:rPr>
                <w:sz w:val="20"/>
                <w:szCs w:val="20"/>
                <w:color w:val="auto"/>
              </w:rPr>
            </w:pPr>
          </w:p>
        </w:tc>
        <w:tc>
          <w:tcPr>
            <w:tcW w:w="110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Value</w:t>
            </w:r>
          </w:p>
        </w:tc>
        <w:tc>
          <w:tcPr>
            <w:tcW w:w="100" w:type="dxa"/>
            <w:vAlign w:val="bottom"/>
          </w:tcPr>
          <w:p>
            <w:pPr>
              <w:spacing w:after="0"/>
              <w:rPr>
                <w:sz w:val="20"/>
                <w:szCs w:val="20"/>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Average</w:t>
            </w:r>
          </w:p>
        </w:tc>
      </w:tr>
      <w:tr>
        <w:trPr>
          <w:trHeight w:val="198"/>
        </w:trPr>
        <w:tc>
          <w:tcPr>
            <w:tcW w:w="1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0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90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Investor contract pricing</w:t>
            </w: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r>
      <w:tr>
        <w:trPr>
          <w:trHeight w:val="216"/>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held</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23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as a percentage of unpaid</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34"/>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 sale</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126,549,190</w:t>
            </w:r>
          </w:p>
        </w:tc>
        <w:tc>
          <w:tcPr>
            <w:tcW w:w="21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Market approach</w:t>
            </w:r>
          </w:p>
        </w:tc>
        <w:tc>
          <w:tcPr>
            <w:tcW w:w="23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principal balance</w:t>
            </w:r>
          </w:p>
        </w:tc>
        <w:tc>
          <w:tcPr>
            <w:tcW w:w="1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70.0%</w:t>
            </w:r>
          </w:p>
        </w:tc>
        <w:tc>
          <w:tcPr>
            <w:tcW w:w="1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121.0%</w:t>
            </w: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r>
      <w:tr>
        <w:trPr>
          <w:trHeight w:val="216"/>
        </w:trPr>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198"/>
        </w:trPr>
        <w:tc>
          <w:tcPr>
            <w:tcW w:w="11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Derivatives -</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34"/>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1,583,262</w:t>
            </w:r>
          </w:p>
        </w:tc>
        <w:tc>
          <w:tcPr>
            <w:tcW w:w="21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Market approach</w:t>
            </w:r>
          </w:p>
        </w:tc>
        <w:tc>
          <w:tcPr>
            <w:tcW w:w="23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Pull-through rate</w:t>
            </w:r>
          </w:p>
        </w:tc>
        <w:tc>
          <w:tcPr>
            <w:tcW w:w="1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70.0%</w:t>
            </w:r>
          </w:p>
        </w:tc>
        <w:tc>
          <w:tcPr>
            <w:tcW w:w="1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99.0%</w:t>
            </w: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86.0%</w:t>
            </w:r>
          </w:p>
        </w:tc>
      </w:tr>
      <w:tr>
        <w:trPr>
          <w:trHeight w:val="216"/>
        </w:trPr>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3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Initial-Value</w:t>
            </w:r>
          </w:p>
        </w:tc>
        <w:tc>
          <w:tcPr>
            <w:tcW w:w="12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N/A</w:t>
            </w:r>
          </w:p>
        </w:tc>
        <w:tc>
          <w:tcPr>
            <w:tcW w:w="16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N/A</w:t>
            </w:r>
          </w:p>
        </w:tc>
        <w:tc>
          <w:tcPr>
            <w:tcW w:w="1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23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Servicing</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0 bps</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119 bps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49 bps</w:t>
            </w:r>
          </w:p>
        </w:tc>
      </w:tr>
      <w:tr>
        <w:trPr>
          <w:trHeight w:val="216"/>
        </w:trPr>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198"/>
        </w:trPr>
        <w:tc>
          <w:tcPr>
            <w:tcW w:w="11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Fixed</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maturity</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securities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available for</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34"/>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1,238,656</w:t>
            </w:r>
          </w:p>
        </w:tc>
        <w:tc>
          <w:tcPr>
            <w:tcW w:w="21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Broker quotes</w:t>
            </w:r>
          </w:p>
        </w:tc>
        <w:tc>
          <w:tcPr>
            <w:tcW w:w="23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Pricing quotes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98.40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102.46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99.86</w:t>
            </w:r>
          </w:p>
        </w:tc>
      </w:tr>
      <w:tr>
        <w:trPr>
          <w:trHeight w:val="439"/>
        </w:trPr>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2"/>
          </w:tcPr>
          <w:p>
            <w:pPr>
              <w:jc w:val="right"/>
              <w:ind w:right="1510"/>
              <w:spacing w:after="0"/>
              <w:rPr>
                <w:sz w:val="20"/>
                <w:szCs w:val="20"/>
                <w:color w:val="auto"/>
              </w:rPr>
            </w:pPr>
            <w:r>
              <w:rPr>
                <w:rFonts w:ascii="Times New Roman" w:cs="Times New Roman" w:eastAsia="Times New Roman" w:hAnsi="Times New Roman"/>
                <w:sz w:val="18"/>
                <w:szCs w:val="18"/>
                <w:color w:val="auto"/>
              </w:rPr>
              <w:t>45</w:t>
            </w: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1" w:right="339" w:bottom="1440" w:gutter="0" w:footer="0" w:header="0"/>
        </w:sectPr>
      </w:pPr>
    </w:p>
    <w:bookmarkStart w:id="48" w:name="page49"/>
    <w:bookmarkEnd w:id="48"/>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June 30, 2024 (Unaudited)</w:t>
      </w:r>
    </w:p>
    <w:p>
      <w:pPr>
        <w:spacing w:after="0" w:line="176" w:lineRule="exact"/>
        <w:rPr>
          <w:sz w:val="20"/>
          <w:szCs w:val="20"/>
          <w:color w:val="auto"/>
        </w:rPr>
      </w:pPr>
    </w:p>
    <w:p>
      <w:pPr>
        <w:ind w:left="200" w:hanging="192"/>
        <w:spacing w:after="0"/>
        <w:tabs>
          <w:tab w:leader="none" w:pos="2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Fair Value of Financial Instruments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is a summary of changes in the condensed consolidated balance sheet line items measured using level 3 inputs for the three month period ended June 30, 2024:</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color w:val="auto"/>
                <w:w w:val="99"/>
              </w:rPr>
              <w:t>Fixed Maturity</w:t>
            </w:r>
          </w:p>
        </w:tc>
      </w:tr>
      <w:tr>
        <w:trPr>
          <w:trHeight w:val="216"/>
        </w:trPr>
        <w:tc>
          <w:tcPr>
            <w:tcW w:w="5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color w:val="auto"/>
              </w:rPr>
              <w:t>Net Loan</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color w:val="auto"/>
                <w:w w:val="98"/>
              </w:rPr>
              <w:t>Securities Available</w:t>
            </w:r>
          </w:p>
        </w:tc>
      </w:tr>
      <w:tr>
        <w:trPr>
          <w:trHeight w:val="241"/>
        </w:trPr>
        <w:tc>
          <w:tcPr>
            <w:tcW w:w="5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Commitments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w w:val="99"/>
              </w:rPr>
              <w:t>Loans Held for Sale</w:t>
            </w:r>
          </w:p>
        </w:tc>
        <w:tc>
          <w:tcPr>
            <w:tcW w:w="100" w:type="dxa"/>
            <w:vAlign w:val="bottom"/>
          </w:tcPr>
          <w:p>
            <w:pPr>
              <w:spacing w:after="0"/>
              <w:rPr>
                <w:sz w:val="20"/>
                <w:szCs w:val="20"/>
                <w:color w:val="auto"/>
              </w:rPr>
            </w:pPr>
          </w:p>
        </w:tc>
        <w:tc>
          <w:tcPr>
            <w:tcW w:w="176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color w:val="auto"/>
                <w:w w:val="99"/>
              </w:rPr>
              <w:t>for Sale</w:t>
            </w:r>
          </w:p>
        </w:tc>
      </w:tr>
      <w:tr>
        <w:trPr>
          <w:trHeight w:val="216"/>
        </w:trPr>
        <w:tc>
          <w:tcPr>
            <w:tcW w:w="5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 March 31, 2024</w:t>
            </w: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2,145,040</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112,678,958</w:t>
            </w:r>
          </w:p>
        </w:tc>
        <w:tc>
          <w:tcPr>
            <w:tcW w:w="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1,232,187</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Originations and purchases</w:t>
            </w:r>
          </w:p>
        </w:tc>
        <w:tc>
          <w:tcPr>
            <w:tcW w:w="200" w:type="dxa"/>
            <w:vAlign w:val="bottom"/>
          </w:tcPr>
          <w:p>
            <w:pPr>
              <w:spacing w:after="0"/>
              <w:rPr>
                <w:sz w:val="18"/>
                <w:szCs w:val="18"/>
                <w:color w:val="auto"/>
              </w:rPr>
            </w:pPr>
          </w:p>
        </w:tc>
        <w:tc>
          <w:tcPr>
            <w:tcW w:w="1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624,218,401</w:t>
            </w:r>
          </w:p>
        </w:tc>
        <w:tc>
          <w:tcPr>
            <w:tcW w:w="100" w:type="dxa"/>
            <w:vAlign w:val="bottom"/>
          </w:tcPr>
          <w:p>
            <w:pPr>
              <w:spacing w:after="0"/>
              <w:rPr>
                <w:sz w:val="18"/>
                <w:szCs w:val="18"/>
                <w:color w:val="auto"/>
              </w:rPr>
            </w:pPr>
          </w:p>
        </w:tc>
        <w:tc>
          <w:tcPr>
            <w:tcW w:w="1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maturities and paydowns</w:t>
            </w:r>
          </w:p>
        </w:tc>
        <w:tc>
          <w:tcPr>
            <w:tcW w:w="20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(599,685,654)</w:t>
            </w: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Total gains (losses):</w:t>
            </w: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Included in earnings</w:t>
            </w:r>
          </w:p>
        </w:tc>
        <w:tc>
          <w:tcPr>
            <w:tcW w:w="20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429,823(1)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12,984,711(1)</w:t>
            </w:r>
          </w:p>
        </w:tc>
        <w:tc>
          <w:tcPr>
            <w:tcW w:w="100" w:type="dxa"/>
            <w:vAlign w:val="bottom"/>
            <w:shd w:val="clear" w:color="auto" w:fill="CCEEFF"/>
          </w:tcPr>
          <w:p>
            <w:pPr>
              <w:spacing w:after="0"/>
              <w:rPr>
                <w:sz w:val="18"/>
                <w:szCs w:val="18"/>
                <w:color w:val="auto"/>
              </w:rPr>
            </w:pPr>
          </w:p>
        </w:tc>
        <w:tc>
          <w:tcPr>
            <w:tcW w:w="1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7"/>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Included in other comprehensive income</w:t>
            </w:r>
          </w:p>
        </w:tc>
        <w:tc>
          <w:tcPr>
            <w:tcW w:w="200" w:type="dxa"/>
            <w:vAlign w:val="bottom"/>
          </w:tcPr>
          <w:p>
            <w:pPr>
              <w:spacing w:after="0"/>
              <w:rPr>
                <w:sz w:val="20"/>
                <w:szCs w:val="20"/>
                <w:color w:val="auto"/>
              </w:rPr>
            </w:pPr>
          </w:p>
        </w:tc>
        <w:tc>
          <w:tcPr>
            <w:tcW w:w="1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5,282</w:t>
            </w:r>
          </w:p>
        </w:tc>
        <w:tc>
          <w:tcPr>
            <w:tcW w:w="200" w:type="dxa"/>
            <w:vAlign w:val="bottom"/>
          </w:tcPr>
          <w:p>
            <w:pPr>
              <w:spacing w:after="0"/>
              <w:rPr>
                <w:sz w:val="20"/>
                <w:szCs w:val="20"/>
                <w:color w:val="auto"/>
              </w:rPr>
            </w:pPr>
          </w:p>
        </w:tc>
      </w:tr>
      <w:tr>
        <w:trPr>
          <w:trHeight w:val="243"/>
        </w:trPr>
        <w:tc>
          <w:tcPr>
            <w:tcW w:w="52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1460" w:type="dxa"/>
            <w:vAlign w:val="bottom"/>
            <w:tcBorders>
              <w:top w:val="single" w:sz="8" w:color="auto"/>
            </w:tcBorders>
            <w:shd w:val="clear" w:color="auto" w:fill="CCEEFF"/>
          </w:tcPr>
          <w:p>
            <w:pPr>
              <w:spacing w:after="0"/>
              <w:rPr>
                <w:sz w:val="21"/>
                <w:szCs w:val="21"/>
                <w:color w:val="auto"/>
              </w:rPr>
            </w:pPr>
          </w:p>
        </w:tc>
        <w:tc>
          <w:tcPr>
            <w:tcW w:w="3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1560" w:type="dxa"/>
            <w:vAlign w:val="bottom"/>
            <w:tcBorders>
              <w:top w:val="single" w:sz="8" w:color="auto"/>
            </w:tcBorders>
            <w:shd w:val="clear" w:color="auto" w:fill="CCEEFF"/>
          </w:tcPr>
          <w:p>
            <w:pPr>
              <w:spacing w:after="0"/>
              <w:rPr>
                <w:sz w:val="21"/>
                <w:szCs w:val="21"/>
                <w:color w:val="auto"/>
              </w:rPr>
            </w:pPr>
          </w:p>
        </w:tc>
        <w:tc>
          <w:tcPr>
            <w:tcW w:w="44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1540" w:type="dxa"/>
            <w:vAlign w:val="bottom"/>
            <w:tcBorders>
              <w:top w:val="single" w:sz="8" w:color="auto"/>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CCEEFF"/>
            </w:tcBorders>
            <w:shd w:val="clear" w:color="auto" w:fill="CCEEFF"/>
          </w:tcPr>
          <w:p>
            <w:pPr>
              <w:spacing w:after="0"/>
              <w:rPr>
                <w:sz w:val="21"/>
                <w:szCs w:val="21"/>
                <w:color w:val="auto"/>
              </w:rPr>
            </w:pPr>
          </w:p>
        </w:tc>
      </w:tr>
      <w:tr>
        <w:trPr>
          <w:trHeight w:val="243"/>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Balance - June 30, 2024</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2,574,863</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150,196,416</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1,237,469</w:t>
            </w:r>
          </w:p>
        </w:tc>
        <w:tc>
          <w:tcPr>
            <w:tcW w:w="200" w:type="dxa"/>
            <w:vAlign w:val="bottom"/>
          </w:tcPr>
          <w:p>
            <w:pPr>
              <w:spacing w:after="0"/>
              <w:rPr>
                <w:sz w:val="21"/>
                <w:szCs w:val="21"/>
                <w:color w:val="auto"/>
              </w:rPr>
            </w:pPr>
          </w:p>
        </w:tc>
      </w:tr>
      <w:tr>
        <w:trPr>
          <w:trHeight w:val="20"/>
        </w:trPr>
        <w:tc>
          <w:tcPr>
            <w:tcW w:w="5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(1)As a component of Mortgage fee income on the condensed consolidated statements of earnings</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(2)As a component of Net investment income on the condensed consolidated statements of earnings</w:t>
      </w:r>
    </w:p>
    <w:p>
      <w:pPr>
        <w:spacing w:after="0" w:line="3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is a summary of changes in the condensed consolidated balance sheet line items measured using level 3 inputs for the three month period ended June 30, 2023:</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Fixed Maturity</w:t>
            </w:r>
          </w:p>
        </w:tc>
      </w:tr>
      <w:tr>
        <w:trPr>
          <w:trHeight w:val="216"/>
        </w:trPr>
        <w:tc>
          <w:tcPr>
            <w:tcW w:w="28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gridSpan w:val="2"/>
          </w:tcPr>
          <w:p>
            <w:pPr>
              <w:jc w:val="right"/>
              <w:ind w:right="920"/>
              <w:spacing w:after="0"/>
              <w:rPr>
                <w:sz w:val="20"/>
                <w:szCs w:val="20"/>
                <w:color w:val="auto"/>
              </w:rPr>
            </w:pPr>
            <w:r>
              <w:rPr>
                <w:rFonts w:ascii="Times New Roman" w:cs="Times New Roman" w:eastAsia="Times New Roman" w:hAnsi="Times New Roman"/>
                <w:sz w:val="18"/>
                <w:szCs w:val="18"/>
                <w:color w:val="auto"/>
              </w:rPr>
              <w:t>Net Loan</w:t>
            </w: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8"/>
              </w:rPr>
              <w:t>Securities Available</w:t>
            </w:r>
          </w:p>
        </w:tc>
      </w:tr>
      <w:tr>
        <w:trPr>
          <w:trHeight w:val="241"/>
        </w:trPr>
        <w:tc>
          <w:tcPr>
            <w:tcW w:w="282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Commitments</w:t>
            </w:r>
          </w:p>
        </w:tc>
        <w:tc>
          <w:tcPr>
            <w:tcW w:w="100" w:type="dxa"/>
            <w:vAlign w:val="bottom"/>
          </w:tcPr>
          <w:p>
            <w:pPr>
              <w:spacing w:after="0"/>
              <w:rPr>
                <w:sz w:val="20"/>
                <w:szCs w:val="20"/>
                <w:color w:val="auto"/>
              </w:rPr>
            </w:pPr>
          </w:p>
        </w:tc>
        <w:tc>
          <w:tcPr>
            <w:tcW w:w="20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w w:val="99"/>
              </w:rPr>
              <w:t>Loans Held for Sale</w:t>
            </w:r>
          </w:p>
        </w:tc>
        <w:tc>
          <w:tcPr>
            <w:tcW w:w="100" w:type="dxa"/>
            <w:vAlign w:val="bottom"/>
          </w:tcPr>
          <w:p>
            <w:pPr>
              <w:spacing w:after="0"/>
              <w:rPr>
                <w:sz w:val="20"/>
                <w:szCs w:val="20"/>
                <w:color w:val="auto"/>
              </w:rPr>
            </w:pPr>
          </w:p>
        </w:tc>
        <w:tc>
          <w:tcPr>
            <w:tcW w:w="17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for Sale</w:t>
            </w:r>
          </w:p>
        </w:tc>
      </w:tr>
      <w:tr>
        <w:trPr>
          <w:trHeight w:val="216"/>
        </w:trPr>
        <w:tc>
          <w:tcPr>
            <w:tcW w:w="52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 March 31, 2023</w:t>
            </w: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3,384,829</w:t>
            </w: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173,015,404</w:t>
            </w:r>
          </w:p>
        </w:tc>
        <w:tc>
          <w:tcPr>
            <w:tcW w:w="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1,435,519</w:t>
            </w:r>
          </w:p>
        </w:tc>
        <w:tc>
          <w:tcPr>
            <w:tcW w:w="220" w:type="dxa"/>
            <w:vAlign w:val="bottom"/>
            <w:tcBorders>
              <w:top w:val="single" w:sz="8" w:color="CCEEFF"/>
            </w:tcBorders>
            <w:shd w:val="clear" w:color="auto" w:fill="CCEEFF"/>
          </w:tcPr>
          <w:p>
            <w:pPr>
              <w:spacing w:after="0"/>
              <w:rPr>
                <w:sz w:val="18"/>
                <w:szCs w:val="18"/>
                <w:color w:val="auto"/>
              </w:rPr>
            </w:pPr>
          </w:p>
        </w:tc>
      </w:tr>
      <w:tr>
        <w:trPr>
          <w:trHeight w:val="216"/>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Originations and purchases</w:t>
            </w:r>
          </w:p>
        </w:tc>
        <w:tc>
          <w:tcPr>
            <w:tcW w:w="200" w:type="dxa"/>
            <w:vAlign w:val="bottom"/>
          </w:tcPr>
          <w:p>
            <w:pPr>
              <w:spacing w:after="0"/>
              <w:rPr>
                <w:sz w:val="18"/>
                <w:szCs w:val="18"/>
                <w:color w:val="auto"/>
              </w:rPr>
            </w:pPr>
          </w:p>
        </w:tc>
        <w:tc>
          <w:tcPr>
            <w:tcW w:w="18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607,867,445</w:t>
            </w:r>
          </w:p>
        </w:tc>
        <w:tc>
          <w:tcPr>
            <w:tcW w:w="100" w:type="dxa"/>
            <w:vAlign w:val="bottom"/>
          </w:tcPr>
          <w:p>
            <w:pPr>
              <w:spacing w:after="0"/>
              <w:rPr>
                <w:sz w:val="18"/>
                <w:szCs w:val="18"/>
                <w:color w:val="auto"/>
              </w:rPr>
            </w:pPr>
          </w:p>
        </w:tc>
        <w:tc>
          <w:tcPr>
            <w:tcW w:w="1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maturities and paydowns</w:t>
            </w:r>
          </w:p>
        </w:tc>
        <w:tc>
          <w:tcPr>
            <w:tcW w:w="20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(628,567,681)</w:t>
            </w:r>
          </w:p>
        </w:tc>
        <w:tc>
          <w:tcPr>
            <w:tcW w:w="1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Transfer to mortgage loans held for investment</w:t>
            </w: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(1,150,074)</w:t>
            </w: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gains (losses):</w:t>
            </w: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198"/>
        </w:trPr>
        <w:tc>
          <w:tcPr>
            <w:tcW w:w="28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80" w:type="dxa"/>
            <w:vAlign w:val="bottom"/>
            <w:gridSpan w:val="2"/>
          </w:tcPr>
          <w:p>
            <w:pPr>
              <w:jc w:val="right"/>
              <w:ind w:right="36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34"/>
        </w:trPr>
        <w:tc>
          <w:tcPr>
            <w:tcW w:w="52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Included in earnings</w:t>
            </w:r>
          </w:p>
        </w:tc>
        <w:tc>
          <w:tcPr>
            <w:tcW w:w="200" w:type="dxa"/>
            <w:vAlign w:val="bottom"/>
          </w:tcPr>
          <w:p>
            <w:pPr>
              <w:spacing w:after="0"/>
              <w:rPr>
                <w:sz w:val="20"/>
                <w:szCs w:val="20"/>
                <w:color w:val="auto"/>
              </w:rPr>
            </w:pPr>
          </w:p>
        </w:tc>
        <w:tc>
          <w:tcPr>
            <w:tcW w:w="1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(151,382(1)</w:t>
            </w:r>
          </w:p>
        </w:tc>
        <w:tc>
          <w:tcPr>
            <w:tcW w:w="100" w:type="dxa"/>
            <w:vAlign w:val="bottom"/>
          </w:tcPr>
          <w:p>
            <w:pPr>
              <w:spacing w:after="0"/>
              <w:rPr>
                <w:sz w:val="20"/>
                <w:szCs w:val="20"/>
                <w:color w:val="auto"/>
              </w:rPr>
            </w:pPr>
          </w:p>
        </w:tc>
        <w:tc>
          <w:tcPr>
            <w:tcW w:w="2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10,144,966(1)</w:t>
            </w:r>
          </w:p>
        </w:tc>
        <w:tc>
          <w:tcPr>
            <w:tcW w:w="100" w:type="dxa"/>
            <w:vAlign w:val="bottom"/>
          </w:tcPr>
          <w:p>
            <w:pPr>
              <w:spacing w:after="0"/>
              <w:rPr>
                <w:sz w:val="20"/>
                <w:szCs w:val="20"/>
                <w:color w:val="auto"/>
              </w:rPr>
            </w:pP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6"/>
        </w:trPr>
        <w:tc>
          <w:tcPr>
            <w:tcW w:w="52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Included in other comprehensive income</w:t>
            </w:r>
          </w:p>
        </w:tc>
        <w:tc>
          <w:tcPr>
            <w:tcW w:w="200" w:type="dxa"/>
            <w:vAlign w:val="bottom"/>
            <w:shd w:val="clear" w:color="auto" w:fill="CCEEFF"/>
          </w:tcPr>
          <w:p>
            <w:pPr>
              <w:spacing w:after="0"/>
              <w:rPr>
                <w:sz w:val="20"/>
                <w:szCs w:val="20"/>
                <w:color w:val="auto"/>
              </w:rPr>
            </w:pPr>
          </w:p>
        </w:tc>
        <w:tc>
          <w:tcPr>
            <w:tcW w:w="18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20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(3,645)</w:t>
            </w:r>
          </w:p>
        </w:tc>
      </w:tr>
      <w:tr>
        <w:trPr>
          <w:trHeight w:val="243"/>
        </w:trPr>
        <w:tc>
          <w:tcPr>
            <w:tcW w:w="2820" w:type="dxa"/>
            <w:vAlign w:val="bottom"/>
            <w:tcBorders>
              <w:top w:val="single" w:sz="8" w:color="CCEEFF"/>
            </w:tcBorders>
          </w:tcPr>
          <w:p>
            <w:pPr>
              <w:spacing w:after="0"/>
              <w:rPr>
                <w:sz w:val="21"/>
                <w:szCs w:val="21"/>
                <w:color w:val="auto"/>
              </w:rPr>
            </w:pPr>
          </w:p>
        </w:tc>
        <w:tc>
          <w:tcPr>
            <w:tcW w:w="2380" w:type="dxa"/>
            <w:vAlign w:val="bottom"/>
            <w:tcBorders>
              <w:top w:val="single" w:sz="8" w:color="CCEEFF"/>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460" w:type="dxa"/>
            <w:vAlign w:val="bottom"/>
            <w:tcBorders>
              <w:top w:val="single" w:sz="8" w:color="auto"/>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560" w:type="dxa"/>
            <w:vAlign w:val="bottom"/>
            <w:tcBorders>
              <w:top w:val="single" w:sz="8" w:color="auto"/>
            </w:tcBorders>
          </w:tcPr>
          <w:p>
            <w:pPr>
              <w:spacing w:after="0"/>
              <w:rPr>
                <w:sz w:val="21"/>
                <w:szCs w:val="21"/>
                <w:color w:val="auto"/>
              </w:rPr>
            </w:pPr>
          </w:p>
        </w:tc>
        <w:tc>
          <w:tcPr>
            <w:tcW w:w="440" w:type="dxa"/>
            <w:vAlign w:val="bottom"/>
            <w:tcBorders>
              <w:top w:val="single" w:sz="8" w:color="CCEEFF"/>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540" w:type="dxa"/>
            <w:vAlign w:val="bottom"/>
            <w:tcBorders>
              <w:top w:val="single" w:sz="8" w:color="auto"/>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r>
      <w:tr>
        <w:trPr>
          <w:trHeight w:val="243"/>
        </w:trPr>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 June 30, 2023</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3,233,447</w:t>
            </w:r>
          </w:p>
        </w:tc>
        <w:tc>
          <w:tcPr>
            <w:tcW w:w="4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161,310,060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1,431,874</w:t>
            </w: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238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auto"/>
              <w:bottom w:val="single" w:sz="8" w:color="auto"/>
            </w:tcBorders>
            <w:gridSpan w:val="2"/>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r>
      <w:tr>
        <w:trPr>
          <w:trHeight w:val="204"/>
        </w:trPr>
        <w:tc>
          <w:tcPr>
            <w:tcW w:w="7280" w:type="dxa"/>
            <w:vAlign w:val="bottom"/>
            <w:gridSpan w:val="5"/>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34"/>
        </w:trPr>
        <w:tc>
          <w:tcPr>
            <w:tcW w:w="282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(1)As a component of Mortgage fee</w:t>
            </w:r>
          </w:p>
        </w:tc>
        <w:tc>
          <w:tcPr>
            <w:tcW w:w="446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w w:val="96"/>
              </w:rPr>
              <w:t>income on the condensed consolidated statements of earnings</w:t>
            </w: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319"/>
        </w:trPr>
        <w:tc>
          <w:tcPr>
            <w:tcW w:w="728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(2)As a component of Net investment income on the condensed consolidated statements of earnings</w:t>
            </w: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547"/>
        </w:trPr>
        <w:tc>
          <w:tcPr>
            <w:tcW w:w="282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1050"/>
              <w:spacing w:after="0"/>
              <w:rPr>
                <w:sz w:val="20"/>
                <w:szCs w:val="20"/>
                <w:color w:val="auto"/>
              </w:rPr>
            </w:pPr>
            <w:r>
              <w:rPr>
                <w:rFonts w:ascii="Times New Roman" w:cs="Times New Roman" w:eastAsia="Times New Roman" w:hAnsi="Times New Roman"/>
                <w:sz w:val="18"/>
                <w:szCs w:val="18"/>
                <w:color w:val="auto"/>
              </w:rPr>
              <w:t>46</w:t>
            </w: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1" w:right="339" w:bottom="1440" w:gutter="0" w:footer="0" w:header="0"/>
        </w:sectPr>
      </w:pPr>
    </w:p>
    <w:bookmarkStart w:id="49" w:name="page50"/>
    <w:bookmarkEnd w:id="49"/>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June 30, 2024 (Unaudited)</w:t>
      </w:r>
    </w:p>
    <w:p>
      <w:pPr>
        <w:spacing w:after="0" w:line="176" w:lineRule="exact"/>
        <w:rPr>
          <w:sz w:val="20"/>
          <w:szCs w:val="20"/>
          <w:color w:val="auto"/>
        </w:rPr>
      </w:pPr>
    </w:p>
    <w:p>
      <w:pPr>
        <w:ind w:left="200" w:hanging="192"/>
        <w:spacing w:after="0"/>
        <w:tabs>
          <w:tab w:leader="none" w:pos="2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Fair Value of Financial Instruments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is a summary of changes in the condensed consolidated balance sheet line items measured using level 3 inputs for the six month period ended June 30, 2024:</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color w:val="auto"/>
                <w:w w:val="99"/>
              </w:rPr>
              <w:t>Fixed Maturity</w:t>
            </w:r>
          </w:p>
        </w:tc>
      </w:tr>
      <w:tr>
        <w:trPr>
          <w:trHeight w:val="216"/>
        </w:trPr>
        <w:tc>
          <w:tcPr>
            <w:tcW w:w="5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color w:val="auto"/>
              </w:rPr>
              <w:t>Net Loan</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color w:val="auto"/>
                <w:w w:val="98"/>
              </w:rPr>
              <w:t>Securities Available</w:t>
            </w:r>
          </w:p>
        </w:tc>
      </w:tr>
      <w:tr>
        <w:trPr>
          <w:trHeight w:val="241"/>
        </w:trPr>
        <w:tc>
          <w:tcPr>
            <w:tcW w:w="5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Commitments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w w:val="99"/>
              </w:rPr>
              <w:t>Loans Held for Sale</w:t>
            </w:r>
          </w:p>
        </w:tc>
        <w:tc>
          <w:tcPr>
            <w:tcW w:w="100" w:type="dxa"/>
            <w:vAlign w:val="bottom"/>
          </w:tcPr>
          <w:p>
            <w:pPr>
              <w:spacing w:after="0"/>
              <w:rPr>
                <w:sz w:val="20"/>
                <w:szCs w:val="20"/>
                <w:color w:val="auto"/>
              </w:rPr>
            </w:pPr>
          </w:p>
        </w:tc>
        <w:tc>
          <w:tcPr>
            <w:tcW w:w="176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color w:val="auto"/>
                <w:w w:val="99"/>
              </w:rPr>
              <w:t>for Sale</w:t>
            </w:r>
          </w:p>
        </w:tc>
      </w:tr>
      <w:tr>
        <w:trPr>
          <w:trHeight w:val="216"/>
        </w:trPr>
        <w:tc>
          <w:tcPr>
            <w:tcW w:w="5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 December 31, 2023</w:t>
            </w: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1,583,262</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126,549,190</w:t>
            </w:r>
          </w:p>
        </w:tc>
        <w:tc>
          <w:tcPr>
            <w:tcW w:w="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1,238,656</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Originations and purchases</w:t>
            </w:r>
          </w:p>
        </w:tc>
        <w:tc>
          <w:tcPr>
            <w:tcW w:w="200" w:type="dxa"/>
            <w:vAlign w:val="bottom"/>
          </w:tcPr>
          <w:p>
            <w:pPr>
              <w:spacing w:after="0"/>
              <w:rPr>
                <w:sz w:val="18"/>
                <w:szCs w:val="18"/>
                <w:color w:val="auto"/>
              </w:rPr>
            </w:pPr>
          </w:p>
        </w:tc>
        <w:tc>
          <w:tcPr>
            <w:tcW w:w="1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1,089,823,515</w:t>
            </w:r>
          </w:p>
        </w:tc>
        <w:tc>
          <w:tcPr>
            <w:tcW w:w="100" w:type="dxa"/>
            <w:vAlign w:val="bottom"/>
          </w:tcPr>
          <w:p>
            <w:pPr>
              <w:spacing w:after="0"/>
              <w:rPr>
                <w:sz w:val="18"/>
                <w:szCs w:val="18"/>
                <w:color w:val="auto"/>
              </w:rPr>
            </w:pPr>
          </w:p>
        </w:tc>
        <w:tc>
          <w:tcPr>
            <w:tcW w:w="1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maturities and paydowns</w:t>
            </w:r>
          </w:p>
        </w:tc>
        <w:tc>
          <w:tcPr>
            <w:tcW w:w="20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(1,085,736,592)</w:t>
            </w: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Transfer to mortgage loans held for investment</w:t>
            </w:r>
          </w:p>
        </w:tc>
        <w:tc>
          <w:tcPr>
            <w:tcW w:w="200" w:type="dxa"/>
            <w:vAlign w:val="bottom"/>
          </w:tcPr>
          <w:p>
            <w:pPr>
              <w:spacing w:after="0"/>
              <w:rPr>
                <w:sz w:val="18"/>
                <w:szCs w:val="18"/>
                <w:color w:val="auto"/>
              </w:rPr>
            </w:pPr>
          </w:p>
        </w:tc>
        <w:tc>
          <w:tcPr>
            <w:tcW w:w="1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(1,867,552)</w:t>
            </w:r>
          </w:p>
        </w:tc>
        <w:tc>
          <w:tcPr>
            <w:tcW w:w="100" w:type="dxa"/>
            <w:vAlign w:val="bottom"/>
          </w:tcPr>
          <w:p>
            <w:pPr>
              <w:spacing w:after="0"/>
              <w:rPr>
                <w:sz w:val="18"/>
                <w:szCs w:val="18"/>
                <w:color w:val="auto"/>
              </w:rPr>
            </w:pPr>
          </w:p>
        </w:tc>
        <w:tc>
          <w:tcPr>
            <w:tcW w:w="1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held for sale foreclosed into real estate held for sale</w:t>
            </w: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(858,977)</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Total gains (losses):</w:t>
            </w: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Included in earnings</w:t>
            </w:r>
          </w:p>
        </w:tc>
        <w:tc>
          <w:tcPr>
            <w:tcW w:w="20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991,601(1)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22,286,832(1)</w:t>
            </w:r>
          </w:p>
        </w:tc>
        <w:tc>
          <w:tcPr>
            <w:tcW w:w="100" w:type="dxa"/>
            <w:vAlign w:val="bottom"/>
            <w:shd w:val="clear" w:color="auto" w:fill="CCEEFF"/>
          </w:tcPr>
          <w:p>
            <w:pPr>
              <w:spacing w:after="0"/>
              <w:rPr>
                <w:sz w:val="18"/>
                <w:szCs w:val="18"/>
                <w:color w:val="auto"/>
              </w:rPr>
            </w:pPr>
          </w:p>
        </w:tc>
        <w:tc>
          <w:tcPr>
            <w:tcW w:w="1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7"/>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Included in other comprehensive income</w:t>
            </w:r>
          </w:p>
        </w:tc>
        <w:tc>
          <w:tcPr>
            <w:tcW w:w="200" w:type="dxa"/>
            <w:vAlign w:val="bottom"/>
          </w:tcPr>
          <w:p>
            <w:pPr>
              <w:spacing w:after="0"/>
              <w:rPr>
                <w:sz w:val="20"/>
                <w:szCs w:val="20"/>
                <w:color w:val="auto"/>
              </w:rPr>
            </w:pPr>
          </w:p>
        </w:tc>
        <w:tc>
          <w:tcPr>
            <w:tcW w:w="1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7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(1,187)</w:t>
            </w:r>
          </w:p>
        </w:tc>
      </w:tr>
      <w:tr>
        <w:trPr>
          <w:trHeight w:val="243"/>
        </w:trPr>
        <w:tc>
          <w:tcPr>
            <w:tcW w:w="52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1460" w:type="dxa"/>
            <w:vAlign w:val="bottom"/>
            <w:tcBorders>
              <w:top w:val="single" w:sz="8" w:color="auto"/>
            </w:tcBorders>
            <w:shd w:val="clear" w:color="auto" w:fill="CCEEFF"/>
          </w:tcPr>
          <w:p>
            <w:pPr>
              <w:spacing w:after="0"/>
              <w:rPr>
                <w:sz w:val="21"/>
                <w:szCs w:val="21"/>
                <w:color w:val="auto"/>
              </w:rPr>
            </w:pPr>
          </w:p>
        </w:tc>
        <w:tc>
          <w:tcPr>
            <w:tcW w:w="3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1560" w:type="dxa"/>
            <w:vAlign w:val="bottom"/>
            <w:tcBorders>
              <w:top w:val="single" w:sz="8" w:color="auto"/>
            </w:tcBorders>
            <w:shd w:val="clear" w:color="auto" w:fill="CCEEFF"/>
          </w:tcPr>
          <w:p>
            <w:pPr>
              <w:spacing w:after="0"/>
              <w:rPr>
                <w:sz w:val="21"/>
                <w:szCs w:val="21"/>
                <w:color w:val="auto"/>
              </w:rPr>
            </w:pPr>
          </w:p>
        </w:tc>
        <w:tc>
          <w:tcPr>
            <w:tcW w:w="44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1540" w:type="dxa"/>
            <w:vAlign w:val="bottom"/>
            <w:tcBorders>
              <w:top w:val="single" w:sz="8" w:color="auto"/>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CCEEFF"/>
            </w:tcBorders>
            <w:shd w:val="clear" w:color="auto" w:fill="CCEEFF"/>
          </w:tcPr>
          <w:p>
            <w:pPr>
              <w:spacing w:after="0"/>
              <w:rPr>
                <w:sz w:val="21"/>
                <w:szCs w:val="21"/>
                <w:color w:val="auto"/>
              </w:rPr>
            </w:pPr>
          </w:p>
        </w:tc>
      </w:tr>
      <w:tr>
        <w:trPr>
          <w:trHeight w:val="243"/>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Balance - June 30, 2024</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2,574,863</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150,196,416</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1,237,469</w:t>
            </w:r>
          </w:p>
        </w:tc>
        <w:tc>
          <w:tcPr>
            <w:tcW w:w="200" w:type="dxa"/>
            <w:vAlign w:val="bottom"/>
          </w:tcPr>
          <w:p>
            <w:pPr>
              <w:spacing w:after="0"/>
              <w:rPr>
                <w:sz w:val="21"/>
                <w:szCs w:val="21"/>
                <w:color w:val="auto"/>
              </w:rPr>
            </w:pPr>
          </w:p>
        </w:tc>
      </w:tr>
      <w:tr>
        <w:trPr>
          <w:trHeight w:val="20"/>
        </w:trPr>
        <w:tc>
          <w:tcPr>
            <w:tcW w:w="5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(1)As a component of Mortgage fee income on the condensed consolidated statements of earnings</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(2)As a component of Net investment income on the condensed consolidated statements of earnings</w:t>
      </w:r>
    </w:p>
    <w:p>
      <w:pPr>
        <w:spacing w:after="0" w:line="3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is a summary of changes in the condensed consolidated balance sheet line items measured using level 3 inputs for the six month period ended June 30, 2023:</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Fixed Maturity</w:t>
            </w:r>
          </w:p>
        </w:tc>
      </w:tr>
      <w:tr>
        <w:trPr>
          <w:trHeight w:val="216"/>
        </w:trPr>
        <w:tc>
          <w:tcPr>
            <w:tcW w:w="5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color w:val="auto"/>
              </w:rPr>
              <w:t>Net Loan</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8"/>
              </w:rPr>
              <w:t>Securities Available</w:t>
            </w:r>
          </w:p>
        </w:tc>
      </w:tr>
      <w:tr>
        <w:trPr>
          <w:trHeight w:val="241"/>
        </w:trPr>
        <w:tc>
          <w:tcPr>
            <w:tcW w:w="5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Commitments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w w:val="99"/>
              </w:rPr>
              <w:t>Loans Held for Sale</w:t>
            </w:r>
          </w:p>
        </w:tc>
        <w:tc>
          <w:tcPr>
            <w:tcW w:w="100" w:type="dxa"/>
            <w:vAlign w:val="bottom"/>
          </w:tcPr>
          <w:p>
            <w:pPr>
              <w:spacing w:after="0"/>
              <w:rPr>
                <w:sz w:val="20"/>
                <w:szCs w:val="20"/>
                <w:color w:val="auto"/>
              </w:rPr>
            </w:pPr>
          </w:p>
        </w:tc>
        <w:tc>
          <w:tcPr>
            <w:tcW w:w="17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for Sale</w:t>
            </w:r>
          </w:p>
        </w:tc>
      </w:tr>
      <w:tr>
        <w:trPr>
          <w:trHeight w:val="216"/>
        </w:trPr>
        <w:tc>
          <w:tcPr>
            <w:tcW w:w="5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 December 31, 2022</w:t>
            </w: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2,706,877</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141,179,620</w:t>
            </w:r>
          </w:p>
        </w:tc>
        <w:tc>
          <w:tcPr>
            <w:tcW w:w="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1,435,519</w:t>
            </w:r>
          </w:p>
        </w:tc>
        <w:tc>
          <w:tcPr>
            <w:tcW w:w="220" w:type="dxa"/>
            <w:vAlign w:val="bottom"/>
            <w:tcBorders>
              <w:top w:val="single" w:sz="8" w:color="CCEEFF"/>
            </w:tcBorders>
            <w:shd w:val="clear" w:color="auto" w:fill="CCEE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Originations and purchases</w:t>
            </w:r>
          </w:p>
        </w:tc>
        <w:tc>
          <w:tcPr>
            <w:tcW w:w="200" w:type="dxa"/>
            <w:vAlign w:val="bottom"/>
          </w:tcPr>
          <w:p>
            <w:pPr>
              <w:spacing w:after="0"/>
              <w:rPr>
                <w:sz w:val="18"/>
                <w:szCs w:val="18"/>
                <w:color w:val="auto"/>
              </w:rPr>
            </w:pPr>
          </w:p>
        </w:tc>
        <w:tc>
          <w:tcPr>
            <w:tcW w:w="1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1,139,735,241</w:t>
            </w:r>
          </w:p>
        </w:tc>
        <w:tc>
          <w:tcPr>
            <w:tcW w:w="100" w:type="dxa"/>
            <w:vAlign w:val="bottom"/>
          </w:tcPr>
          <w:p>
            <w:pPr>
              <w:spacing w:after="0"/>
              <w:rPr>
                <w:sz w:val="18"/>
                <w:szCs w:val="18"/>
                <w:color w:val="auto"/>
              </w:rPr>
            </w:pPr>
          </w:p>
        </w:tc>
        <w:tc>
          <w:tcPr>
            <w:tcW w:w="1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maturities and paydowns</w:t>
            </w:r>
          </w:p>
        </w:tc>
        <w:tc>
          <w:tcPr>
            <w:tcW w:w="20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(1,140,477,623)</w:t>
            </w:r>
          </w:p>
        </w:tc>
        <w:tc>
          <w:tcPr>
            <w:tcW w:w="1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Transfer to mortgage loans held for investment</w:t>
            </w:r>
          </w:p>
        </w:tc>
        <w:tc>
          <w:tcPr>
            <w:tcW w:w="200" w:type="dxa"/>
            <w:vAlign w:val="bottom"/>
          </w:tcPr>
          <w:p>
            <w:pPr>
              <w:spacing w:after="0"/>
              <w:rPr>
                <w:sz w:val="18"/>
                <w:szCs w:val="18"/>
                <w:color w:val="auto"/>
              </w:rPr>
            </w:pPr>
          </w:p>
        </w:tc>
        <w:tc>
          <w:tcPr>
            <w:tcW w:w="1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(1,150,074)</w:t>
            </w:r>
          </w:p>
        </w:tc>
        <w:tc>
          <w:tcPr>
            <w:tcW w:w="100" w:type="dxa"/>
            <w:vAlign w:val="bottom"/>
          </w:tcPr>
          <w:p>
            <w:pPr>
              <w:spacing w:after="0"/>
              <w:rPr>
                <w:sz w:val="18"/>
                <w:szCs w:val="18"/>
                <w:color w:val="auto"/>
              </w:rPr>
            </w:pPr>
          </w:p>
        </w:tc>
        <w:tc>
          <w:tcPr>
            <w:tcW w:w="1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gains (losses):</w:t>
            </w: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Included in earnings</w:t>
            </w:r>
          </w:p>
        </w:tc>
        <w:tc>
          <w:tcPr>
            <w:tcW w:w="200" w:type="dxa"/>
            <w:vAlign w:val="bottom"/>
          </w:tcPr>
          <w:p>
            <w:pPr>
              <w:spacing w:after="0"/>
              <w:rPr>
                <w:sz w:val="18"/>
                <w:szCs w:val="18"/>
                <w:color w:val="auto"/>
              </w:rPr>
            </w:pPr>
          </w:p>
        </w:tc>
        <w:tc>
          <w:tcPr>
            <w:tcW w:w="1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526,570(1)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22,022,896(1)</w:t>
            </w:r>
          </w:p>
        </w:tc>
        <w:tc>
          <w:tcPr>
            <w:tcW w:w="100" w:type="dxa"/>
            <w:vAlign w:val="bottom"/>
          </w:tcPr>
          <w:p>
            <w:pPr>
              <w:spacing w:after="0"/>
              <w:rPr>
                <w:sz w:val="18"/>
                <w:szCs w:val="18"/>
                <w:color w:val="auto"/>
              </w:rPr>
            </w:pP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6"/>
        </w:trPr>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Included in other comprehensive income</w:t>
            </w:r>
          </w:p>
        </w:tc>
        <w:tc>
          <w:tcPr>
            <w:tcW w:w="200" w:type="dxa"/>
            <w:vAlign w:val="bottom"/>
            <w:shd w:val="clear" w:color="auto" w:fill="CCEEFF"/>
          </w:tcPr>
          <w:p>
            <w:pPr>
              <w:spacing w:after="0"/>
              <w:rPr>
                <w:sz w:val="20"/>
                <w:szCs w:val="20"/>
                <w:color w:val="auto"/>
              </w:rPr>
            </w:pPr>
          </w:p>
        </w:tc>
        <w:tc>
          <w:tcPr>
            <w:tcW w:w="1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(3,645)</w:t>
            </w:r>
          </w:p>
        </w:tc>
      </w:tr>
      <w:tr>
        <w:trPr>
          <w:trHeight w:val="243"/>
        </w:trPr>
        <w:tc>
          <w:tcPr>
            <w:tcW w:w="5200" w:type="dxa"/>
            <w:vAlign w:val="bottom"/>
            <w:tcBorders>
              <w:top w:val="single" w:sz="8" w:color="CCEEFF"/>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460" w:type="dxa"/>
            <w:vAlign w:val="bottom"/>
            <w:tcBorders>
              <w:top w:val="single" w:sz="8" w:color="auto"/>
            </w:tcBorders>
          </w:tcPr>
          <w:p>
            <w:pPr>
              <w:spacing w:after="0"/>
              <w:rPr>
                <w:sz w:val="21"/>
                <w:szCs w:val="21"/>
                <w:color w:val="auto"/>
              </w:rPr>
            </w:pPr>
          </w:p>
        </w:tc>
        <w:tc>
          <w:tcPr>
            <w:tcW w:w="32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560" w:type="dxa"/>
            <w:vAlign w:val="bottom"/>
            <w:tcBorders>
              <w:top w:val="single" w:sz="8" w:color="auto"/>
            </w:tcBorders>
          </w:tcPr>
          <w:p>
            <w:pPr>
              <w:spacing w:after="0"/>
              <w:rPr>
                <w:sz w:val="21"/>
                <w:szCs w:val="21"/>
                <w:color w:val="auto"/>
              </w:rPr>
            </w:pPr>
          </w:p>
        </w:tc>
        <w:tc>
          <w:tcPr>
            <w:tcW w:w="440" w:type="dxa"/>
            <w:vAlign w:val="bottom"/>
            <w:tcBorders>
              <w:top w:val="single" w:sz="8" w:color="CCEEFF"/>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540" w:type="dxa"/>
            <w:vAlign w:val="bottom"/>
            <w:tcBorders>
              <w:top w:val="single" w:sz="8" w:color="auto"/>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r>
      <w:tr>
        <w:trPr>
          <w:trHeight w:val="243"/>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 June 30, 2023</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3,233,447</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161,310,060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1,431,874</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(1)As a component of Mortgage fee income on the condensed consolidated statements of earnings</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(2)As a component of Net investment income on the condensed consolidated statements of earnings</w:t>
      </w:r>
    </w:p>
    <w:p>
      <w:pPr>
        <w:spacing w:after="0" w:line="333"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The Company did not have any financial assets and financial liabilities measured at fair value on a nonrecurring basis as of June 30, 2024 and as of December 31, 2023.</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0" w:name="page51"/>
    <w:bookmarkEnd w:id="50"/>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June 30, 2024 (Unaudited)</w:t>
      </w:r>
    </w:p>
    <w:p>
      <w:pPr>
        <w:spacing w:after="0" w:line="176" w:lineRule="exact"/>
        <w:rPr>
          <w:sz w:val="20"/>
          <w:szCs w:val="20"/>
          <w:color w:val="auto"/>
        </w:rPr>
      </w:pPr>
    </w:p>
    <w:p>
      <w:pPr>
        <w:ind w:left="200" w:hanging="192"/>
        <w:spacing w:after="0"/>
        <w:tabs>
          <w:tab w:leader="none" w:pos="2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Fair Value of Financial Instruments</w:t>
      </w:r>
      <w:r>
        <w:rPr>
          <w:rFonts w:ascii="Times New Roman" w:cs="Times New Roman" w:eastAsia="Times New Roman" w:hAnsi="Times New Roman"/>
          <w:sz w:val="18"/>
          <w:szCs w:val="18"/>
          <w:color w:val="auto"/>
        </w:rPr>
        <w:t xml:space="preserve"> (Continued)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Financial Instruments Carried at Other Than Fair Value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ASC 825, Financial Instruments, requires disclosure of fair value information about financial instruments, whether or not recognized in the balance sheet, for which it is practicable to estimate that value.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uses its best judgment in estimating the fair value of the Company’s financial instruments; however, there are inherent limitations in any estimation technique. Therefore, for substantially all financial instruments, the fair value estimates presented herein are not necessarily indicative of the amounts the Company could have realized in a sales transaction as of June 30, 2024 and December 31, 2023.</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carrying values and estimated fair values for such financial instruments, and their corresponding placement in the fair value hierarchy, are summarized as follows as of June 30, 2024:</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4"/>
              </w:rPr>
              <w:t>Total</w:t>
            </w:r>
          </w:p>
        </w:tc>
      </w:tr>
      <w:tr>
        <w:trPr>
          <w:trHeight w:val="216"/>
        </w:trPr>
        <w:tc>
          <w:tcPr>
            <w:tcW w:w="3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8"/>
              </w:rPr>
              <w:t>Estimated Fair</w:t>
            </w:r>
          </w:p>
        </w:tc>
      </w:tr>
      <w:tr>
        <w:trPr>
          <w:trHeight w:val="241"/>
        </w:trPr>
        <w:tc>
          <w:tcPr>
            <w:tcW w:w="37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Carrying Value</w:t>
            </w:r>
          </w:p>
        </w:tc>
        <w:tc>
          <w:tcPr>
            <w:tcW w:w="14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Level 1</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Level 2</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Level 3</w:t>
            </w:r>
          </w:p>
        </w:tc>
        <w:tc>
          <w:tcPr>
            <w:tcW w:w="120" w:type="dxa"/>
            <w:vAlign w:val="bottom"/>
          </w:tcPr>
          <w:p>
            <w:pPr>
              <w:spacing w:after="0"/>
              <w:rPr>
                <w:sz w:val="20"/>
                <w:szCs w:val="20"/>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2"/>
              </w:rPr>
              <w:t>Value</w:t>
            </w:r>
          </w:p>
        </w:tc>
      </w:tr>
      <w:tr>
        <w:trPr>
          <w:trHeight w:val="216"/>
        </w:trPr>
        <w:tc>
          <w:tcPr>
            <w:tcW w:w="3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4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Mortgage loans held for investment</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Residential</w:t>
            </w:r>
          </w:p>
        </w:tc>
        <w:tc>
          <w:tcPr>
            <w:tcW w:w="5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100,537,622</w:t>
            </w:r>
          </w:p>
        </w:tc>
        <w:tc>
          <w:tcPr>
            <w:tcW w:w="1100" w:type="dxa"/>
            <w:vAlign w:val="bottom"/>
            <w:gridSpan w:val="2"/>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99,598,873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99,598,873</w:t>
            </w:r>
          </w:p>
        </w:tc>
      </w:tr>
      <w:tr>
        <w:trPr>
          <w:trHeight w:val="216"/>
        </w:trPr>
        <w:tc>
          <w:tcPr>
            <w:tcW w:w="3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Residential construction</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111,709,170</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111,709,170</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111,709,170</w:t>
            </w:r>
          </w:p>
        </w:tc>
      </w:tr>
      <w:tr>
        <w:trPr>
          <w:trHeight w:val="250"/>
        </w:trPr>
        <w:tc>
          <w:tcPr>
            <w:tcW w:w="3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4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72,096,739</w:t>
            </w:r>
          </w:p>
        </w:tc>
        <w:tc>
          <w:tcPr>
            <w:tcW w:w="14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71,457,137</w:t>
            </w: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71,457,137</w:t>
            </w:r>
          </w:p>
        </w:tc>
      </w:tr>
      <w:tr>
        <w:trPr>
          <w:trHeight w:val="203"/>
        </w:trPr>
        <w:tc>
          <w:tcPr>
            <w:tcW w:w="374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Mortgage loans held for investment, net</w:t>
            </w:r>
          </w:p>
        </w:tc>
        <w:tc>
          <w:tcPr>
            <w:tcW w:w="44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284,343,531</w:t>
            </w:r>
          </w:p>
        </w:tc>
        <w:tc>
          <w:tcPr>
            <w:tcW w:w="20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960" w:type="dxa"/>
            <w:vAlign w:val="bottom"/>
            <w:tcBorders>
              <w:top w:val="single" w:sz="8" w:color="auto"/>
            </w:tcBorders>
          </w:tcPr>
          <w:p>
            <w:pPr>
              <w:jc w:val="right"/>
              <w:ind w:right="7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960" w:type="dxa"/>
            <w:vAlign w:val="bottom"/>
            <w:tcBorders>
              <w:top w:val="single" w:sz="8" w:color="auto"/>
            </w:tcBorders>
          </w:tcPr>
          <w:p>
            <w:pPr>
              <w:jc w:val="right"/>
              <w:ind w:right="7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8"/>
                <w:szCs w:val="8"/>
                <w:color w:val="auto"/>
                <w:w w:val="73"/>
              </w:rPr>
              <w:t>-</w:t>
            </w:r>
          </w:p>
        </w:tc>
        <w:tc>
          <w:tcPr>
            <w:tcW w:w="34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282,765,180</w:t>
            </w:r>
          </w:p>
        </w:tc>
        <w:tc>
          <w:tcPr>
            <w:tcW w:w="3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282,765,180</w:t>
            </w:r>
          </w:p>
        </w:tc>
        <w:tc>
          <w:tcPr>
            <w:tcW w:w="100" w:type="dxa"/>
            <w:vAlign w:val="bottom"/>
            <w:tcBorders>
              <w:top w:val="single" w:sz="8" w:color="CCEEFF"/>
            </w:tcBorders>
          </w:tcPr>
          <w:p>
            <w:pPr>
              <w:spacing w:after="0"/>
              <w:rPr>
                <w:sz w:val="17"/>
                <w:szCs w:val="17"/>
                <w:color w:val="auto"/>
              </w:rPr>
            </w:pP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Policy loans</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13,472,198</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13,472,198</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13,472,198</w:t>
            </w: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Insurance assignments, net (1)</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46,871,366</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46,871,366</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46,871,366</w:t>
            </w: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assets (2)</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637,783</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637,783</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637,783</w:t>
            </w: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Cemetery perpetual care trust investments (2)</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2,030,930</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2,030,930</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2,030,930</w:t>
            </w: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 servicing rights, net</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3,172,109</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4,667,158</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4,667,158</w:t>
            </w:r>
          </w:p>
        </w:tc>
      </w:tr>
      <w:tr>
        <w:trPr>
          <w:trHeight w:val="216"/>
        </w:trPr>
        <w:tc>
          <w:tcPr>
            <w:tcW w:w="3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Bank and other loans payable</w:t>
            </w:r>
          </w:p>
        </w:tc>
        <w:tc>
          <w:tcPr>
            <w:tcW w:w="5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(103,540,666)</w:t>
            </w:r>
          </w:p>
        </w:tc>
        <w:tc>
          <w:tcPr>
            <w:tcW w:w="1100" w:type="dxa"/>
            <w:vAlign w:val="bottom"/>
            <w:gridSpan w:val="2"/>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(84,778,875)</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(84,778,875)</w:t>
            </w: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Policyholder account balances (3)</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(38,842,923)</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(40,844,813)</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(40,844,813)</w:t>
            </w:r>
          </w:p>
        </w:tc>
      </w:tr>
      <w:tr>
        <w:trPr>
          <w:trHeight w:val="234"/>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Future policy benefits - annuities (3)</w:t>
            </w: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(106,166,278)</w:t>
            </w: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9"/>
              </w:rPr>
              <w:t>(104,501,993)</w:t>
            </w:r>
          </w:p>
        </w:tc>
        <w:tc>
          <w:tcPr>
            <w:tcW w:w="12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(104,501,993)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78308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(1)Included in other investments and policy loans on the condensed consolidated balance sheets</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(2)Mortgage loans held for investment</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(3)Included in future policy benefits and unpaid claims on the condensed consolidated balance sheets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1" w:name="page52"/>
    <w:bookmarkEnd w:id="51"/>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June 30, 2024 (Unaudited)</w:t>
      </w:r>
    </w:p>
    <w:p>
      <w:pPr>
        <w:spacing w:after="0" w:line="176" w:lineRule="exact"/>
        <w:rPr>
          <w:sz w:val="20"/>
          <w:szCs w:val="20"/>
          <w:color w:val="auto"/>
        </w:rPr>
      </w:pPr>
    </w:p>
    <w:p>
      <w:pPr>
        <w:ind w:left="200" w:hanging="192"/>
        <w:spacing w:after="0"/>
        <w:tabs>
          <w:tab w:leader="none" w:pos="2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Fair Value of Financial Instruments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carrying values and estimated fair values for such financial instruments, and their corresponding placement in the fair value hierarchy, are summarized as follows as of December 31, 2023:</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4"/>
              </w:rPr>
              <w:t>Total</w:t>
            </w:r>
          </w:p>
        </w:tc>
      </w:tr>
      <w:tr>
        <w:trPr>
          <w:trHeight w:val="216"/>
        </w:trPr>
        <w:tc>
          <w:tcPr>
            <w:tcW w:w="3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8"/>
              </w:rPr>
              <w:t>Estimated Fair</w:t>
            </w:r>
          </w:p>
        </w:tc>
      </w:tr>
      <w:tr>
        <w:trPr>
          <w:trHeight w:val="241"/>
        </w:trPr>
        <w:tc>
          <w:tcPr>
            <w:tcW w:w="37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Carrying Value</w:t>
            </w:r>
          </w:p>
        </w:tc>
        <w:tc>
          <w:tcPr>
            <w:tcW w:w="14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Level 1</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Level 2</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Level 3</w:t>
            </w:r>
          </w:p>
        </w:tc>
        <w:tc>
          <w:tcPr>
            <w:tcW w:w="120" w:type="dxa"/>
            <w:vAlign w:val="bottom"/>
          </w:tcPr>
          <w:p>
            <w:pPr>
              <w:spacing w:after="0"/>
              <w:rPr>
                <w:sz w:val="20"/>
                <w:szCs w:val="20"/>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2"/>
              </w:rPr>
              <w:t>Value</w:t>
            </w:r>
          </w:p>
        </w:tc>
      </w:tr>
      <w:tr>
        <w:trPr>
          <w:trHeight w:val="216"/>
        </w:trPr>
        <w:tc>
          <w:tcPr>
            <w:tcW w:w="3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4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Mortgage loans held for investment</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Residential</w:t>
            </w:r>
          </w:p>
        </w:tc>
        <w:tc>
          <w:tcPr>
            <w:tcW w:w="5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99,519,750</w:t>
            </w:r>
          </w:p>
        </w:tc>
        <w:tc>
          <w:tcPr>
            <w:tcW w:w="1100" w:type="dxa"/>
            <w:vAlign w:val="bottom"/>
            <w:gridSpan w:val="2"/>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96,998,106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96,998,106</w:t>
            </w:r>
          </w:p>
        </w:tc>
      </w:tr>
      <w:tr>
        <w:trPr>
          <w:trHeight w:val="216"/>
        </w:trPr>
        <w:tc>
          <w:tcPr>
            <w:tcW w:w="3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Residential construction</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103,529,896</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103,529,896</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103,529,896</w:t>
            </w:r>
          </w:p>
        </w:tc>
      </w:tr>
      <w:tr>
        <w:trPr>
          <w:trHeight w:val="249"/>
        </w:trPr>
        <w:tc>
          <w:tcPr>
            <w:tcW w:w="3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4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72,567,191</w:t>
            </w:r>
          </w:p>
        </w:tc>
        <w:tc>
          <w:tcPr>
            <w:tcW w:w="14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72,149,530</w:t>
            </w: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72,149,530</w:t>
            </w:r>
          </w:p>
        </w:tc>
      </w:tr>
      <w:tr>
        <w:trPr>
          <w:trHeight w:val="203"/>
        </w:trPr>
        <w:tc>
          <w:tcPr>
            <w:tcW w:w="374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Mortgage loans held for investment, net</w:t>
            </w:r>
          </w:p>
        </w:tc>
        <w:tc>
          <w:tcPr>
            <w:tcW w:w="44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275,616,837</w:t>
            </w:r>
          </w:p>
        </w:tc>
        <w:tc>
          <w:tcPr>
            <w:tcW w:w="20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960" w:type="dxa"/>
            <w:vAlign w:val="bottom"/>
            <w:tcBorders>
              <w:top w:val="single" w:sz="8" w:color="auto"/>
            </w:tcBorders>
          </w:tcPr>
          <w:p>
            <w:pPr>
              <w:jc w:val="right"/>
              <w:ind w:right="7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960" w:type="dxa"/>
            <w:vAlign w:val="bottom"/>
            <w:tcBorders>
              <w:top w:val="single" w:sz="8" w:color="auto"/>
            </w:tcBorders>
          </w:tcPr>
          <w:p>
            <w:pPr>
              <w:jc w:val="right"/>
              <w:ind w:right="7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8"/>
                <w:szCs w:val="8"/>
                <w:color w:val="auto"/>
                <w:w w:val="73"/>
              </w:rPr>
              <w:t>-</w:t>
            </w:r>
          </w:p>
        </w:tc>
        <w:tc>
          <w:tcPr>
            <w:tcW w:w="34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272,677,532</w:t>
            </w:r>
          </w:p>
        </w:tc>
        <w:tc>
          <w:tcPr>
            <w:tcW w:w="3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272,677,532</w:t>
            </w:r>
          </w:p>
        </w:tc>
        <w:tc>
          <w:tcPr>
            <w:tcW w:w="100" w:type="dxa"/>
            <w:vAlign w:val="bottom"/>
            <w:tcBorders>
              <w:top w:val="single" w:sz="8" w:color="CCEEFF"/>
            </w:tcBorders>
          </w:tcPr>
          <w:p>
            <w:pPr>
              <w:spacing w:after="0"/>
              <w:rPr>
                <w:sz w:val="17"/>
                <w:szCs w:val="17"/>
                <w:color w:val="auto"/>
              </w:rPr>
            </w:pP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Policy loans</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13,264,183</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13,264,183</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13,264,183</w:t>
            </w: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Insurance assignments, net (1)</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44,051,486</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44,051,486</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44,051,486</w:t>
            </w: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assets (2)</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675,219</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675,219</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675,219</w:t>
            </w: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Cemetery perpetual care trust investments (2)</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246,865</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246,865</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246,865</w:t>
            </w: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 servicing rights, net</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3,461,146</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4,543,657</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4,543,657</w:t>
            </w:r>
          </w:p>
        </w:tc>
      </w:tr>
      <w:tr>
        <w:trPr>
          <w:trHeight w:val="216"/>
        </w:trPr>
        <w:tc>
          <w:tcPr>
            <w:tcW w:w="3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Bank and other loans payable</w:t>
            </w:r>
          </w:p>
        </w:tc>
        <w:tc>
          <w:tcPr>
            <w:tcW w:w="5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(105,555,137)</w:t>
            </w:r>
          </w:p>
        </w:tc>
        <w:tc>
          <w:tcPr>
            <w:tcW w:w="1100" w:type="dxa"/>
            <w:vAlign w:val="bottom"/>
            <w:gridSpan w:val="2"/>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9"/>
              </w:rPr>
              <w:t>(105,555,137)</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(105,555,137)</w:t>
            </w: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Policyholder account balances (3)</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(39,245,123)</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(48,920,691)</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(48,920,691)</w:t>
            </w:r>
          </w:p>
        </w:tc>
      </w:tr>
      <w:tr>
        <w:trPr>
          <w:trHeight w:val="234"/>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Future policy benefits - annuities (3)</w:t>
            </w: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(106,285,010)</w:t>
            </w: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9"/>
              </w:rPr>
              <w:t>(102,177,585)</w:t>
            </w:r>
          </w:p>
        </w:tc>
        <w:tc>
          <w:tcPr>
            <w:tcW w:w="12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(102,177,585)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78308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(1)Included in other investments and policy loans on the consolidated balance sheets</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(2)Mortgage loans held for investment</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(3)Included in future policy benefits and unpaid claims on the consolidated balance sheets</w:t>
      </w:r>
    </w:p>
    <w:p>
      <w:pPr>
        <w:spacing w:after="0" w:line="3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methods, assumptions and significant valuation techniques and inputs used to estimate the fair value of these financial instruments are summarized as follows:</w:t>
      </w:r>
    </w:p>
    <w:p>
      <w:pPr>
        <w:spacing w:after="0" w:line="16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Mortgage Loans Held for Investment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estimated fair value of the Company’s mortgage loans held for investment is determined using various methods.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Company’s mortgage loans are grouped into three categories: Residential, Residential Construction and Commercial. When estimating the expected future cash flows, it is assumed that all loans will be held to maturity, and any loans that are non-performing are evaluated individually for impairment.</w:t>
      </w:r>
    </w:p>
    <w:p>
      <w:pPr>
        <w:spacing w:after="0" w:line="175"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Residential – The estimated fair value is determined through a combination of discounted cash flows (estimating expected future cash flows of payments and discounting them using current interest rates from single-family mortgages) and considering pricing of similar loans that were sold recently.</w:t>
      </w:r>
    </w:p>
    <w:p>
      <w:pPr>
        <w:spacing w:after="0" w:line="176"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Residential Construction – These loans are primarily short in maturity. Accordingly, the estimated fair value is determined to be the carrying value.</w:t>
      </w:r>
    </w:p>
    <w:p>
      <w:pPr>
        <w:spacing w:after="0" w:line="162"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Commercial – The estimated fair value is determined by estimating expected future cash flows of payments and discounting them using current interest rates for commercial mortgages.</w:t>
      </w:r>
    </w:p>
    <w:p>
      <w:pPr>
        <w:spacing w:after="0" w:line="160"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Policy Loans</w:t>
      </w:r>
      <w:r>
        <w:rPr>
          <w:rFonts w:ascii="Times New Roman" w:cs="Times New Roman" w:eastAsia="Times New Roman" w:hAnsi="Times New Roman"/>
          <w:sz w:val="18"/>
          <w:szCs w:val="18"/>
          <w:color w:val="auto"/>
        </w:rPr>
        <w:t>: The carrying amounts reported in the accompanying condensed consolidated balance sheet for these financial instruments approximate their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fair values because they are fully collateralized by the cash surrender value of the underlying insurance policies.</w:t>
      </w:r>
    </w:p>
    <w:p>
      <w:pPr>
        <w:spacing w:after="0" w:line="158"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Insurance Assignments, Net</w:t>
      </w:r>
      <w:r>
        <w:rPr>
          <w:rFonts w:ascii="Times New Roman" w:cs="Times New Roman" w:eastAsia="Times New Roman" w:hAnsi="Times New Roman"/>
          <w:sz w:val="18"/>
          <w:szCs w:val="18"/>
          <w:color w:val="auto"/>
        </w:rPr>
        <w:t>: These investments are primarily short in maturity, accordingly, the carrying amounts reported in the accompanying condensed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consolidated balance sheet for these financial instruments approximate their fair values.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2" w:name="page53"/>
    <w:bookmarkEnd w:id="52"/>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June 30, 2024 (Unaudited)</w:t>
      </w:r>
    </w:p>
    <w:p>
      <w:pPr>
        <w:spacing w:after="0" w:line="176" w:lineRule="exact"/>
        <w:rPr>
          <w:sz w:val="20"/>
          <w:szCs w:val="20"/>
          <w:color w:val="auto"/>
        </w:rPr>
      </w:pPr>
    </w:p>
    <w:p>
      <w:pPr>
        <w:ind w:left="200" w:hanging="192"/>
        <w:spacing w:after="0"/>
        <w:tabs>
          <w:tab w:leader="none" w:pos="2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Fair Value of Financial Instruments</w:t>
      </w:r>
      <w:r>
        <w:rPr>
          <w:rFonts w:ascii="Times New Roman" w:cs="Times New Roman" w:eastAsia="Times New Roman" w:hAnsi="Times New Roman"/>
          <w:sz w:val="18"/>
          <w:szCs w:val="18"/>
          <w:color w:val="auto"/>
        </w:rPr>
        <w:t xml:space="preserve"> (Continued)</w:t>
      </w:r>
    </w:p>
    <w:p>
      <w:pPr>
        <w:spacing w:after="0" w:line="22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Bank and Other Loans Payable</w:t>
      </w:r>
      <w:r>
        <w:rPr>
          <w:rFonts w:ascii="Times New Roman" w:cs="Times New Roman" w:eastAsia="Times New Roman" w:hAnsi="Times New Roman"/>
          <w:sz w:val="18"/>
          <w:szCs w:val="18"/>
          <w:color w:val="auto"/>
        </w:rPr>
        <w:t>: The carrying amounts reported in the accompanying condensed consolidated balance sheet for warehouse lines of credit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approximate their fair values due to their relatively short-term maturities and variable interest rates. The estimated fair value for bank loans collateralized by real estate is determined by estimating future cash flows of payments and discounting them using current market rates.</w:t>
      </w:r>
    </w:p>
    <w:p>
      <w:pPr>
        <w:spacing w:after="0" w:line="1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u w:val="single" w:color="auto"/>
          <w:color w:val="auto"/>
        </w:rPr>
        <w:t>Policyholder Account Balances and Future Policy Benefits-Annuities</w:t>
      </w:r>
      <w:r>
        <w:rPr>
          <w:rFonts w:ascii="Times New Roman" w:cs="Times New Roman" w:eastAsia="Times New Roman" w:hAnsi="Times New Roman"/>
          <w:sz w:val="18"/>
          <w:szCs w:val="18"/>
          <w:color w:val="auto"/>
        </w:rPr>
        <w:t>: Future policy benefit reserves for interest-sensitive insurance products are computed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a retrospective deposit method and represent policy account balances before applicable surrender charges. Policy benefits and claims that are charged to expense include benefit claims incurred in the period of more than related policy account balances. Interest crediting rates for interest-sensitive insurance products ranged from 1.5% to 6.5%. The fair values for these investment-type insurance contracts are estimated based on the present value of liability cash flows. The fair values for the Company’s insurance contracts other than investment-type contracts are not required to be disclosed. However, the fair values of liabilities under all insurance contracts are taken into consideration in the Company’s overall management of interest rate risk, such that the Company’s exposure to changing interest rates is minimized through the matching of investment maturities with amounts due under insurance contracts.</w:t>
      </w:r>
    </w:p>
    <w:p>
      <w:pPr>
        <w:spacing w:after="0" w:line="185" w:lineRule="exact"/>
        <w:rPr>
          <w:sz w:val="20"/>
          <w:szCs w:val="20"/>
          <w:color w:val="auto"/>
        </w:rPr>
      </w:pPr>
    </w:p>
    <w:p>
      <w:pPr>
        <w:ind w:left="200" w:hanging="192"/>
        <w:spacing w:after="0"/>
        <w:tabs>
          <w:tab w:leader="none" w:pos="2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Derivative Instruments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Mortgage Banking Derivatives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Loan Commitments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 exposed to price risk due to the potential impact of changes in interest rates on the values of loan commitments from the time a loan commitment is made to an applicant to the time the loan that would result from the exercise of that loan commitment is funded. Managing price risk is complicated by the fact that the ultimate percentage of loan commitments that will be exercised (i.e., the number of loans that will be funded) fluctuates. The probability that a loan will not be funded, or the loan application is denied or withdrawn within the terms of the commitment is driven by several factors, particularly the change, if any, in mortgage rates following the issuance of the loan commitment.</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general, the probability of funding increases if mortgage rates rise and decreases if mortgage rates fall. This is due primarily to the relative attractiveness of current mortgage rates compared to the applicant’s committed rate. The probability that a loan will not be funded within the terms of the mortgage loan commitment also is influenced by the source of the applications (retail, broker or correspondent channels), proximity to rate lock expiration, purpose for the loan (purchase or refinance), product type and the application approval status. The Company has developed fallout estimates using historical data that consider all the variables, as well as renegotiations of rate and point commitments that tend to occur when mortgage rates fall. These fallout estimates are used to estimate the number of loans that the Company expects to be funded within the terms of the loan commitments and are updated periodically to reflect the most current data.</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estimates the fair value of a loan commitment based on the change in estimated fair value of the underlying mortgage loan, quoted mortgage-backed securities (“MBS”) prices, estimates of the fair value of mortgage servicing rights, and an estimate of the probability that the mortgage loan will fund within the terms of the commitment net of estimated commission expense. The change in fair value of the underlying mortgage loan is measured from the date the loan commitment is issued and is shown net of related expenses. Following issuance, the value of a loan commitment can be either positive or negative depending upon the change in value of the underlying mortgage loans. Fallout rates and other factors from the Company’s recent historical data are used to estimate the quantity and value of mortgage loans that will be funded within the terms of the commitments.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3" w:name="page54"/>
    <w:bookmarkEnd w:id="53"/>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June 30, 2024 (Unaudited)</w:t>
      </w:r>
    </w:p>
    <w:p>
      <w:pPr>
        <w:spacing w:after="0" w:line="176" w:lineRule="exact"/>
        <w:rPr>
          <w:sz w:val="20"/>
          <w:szCs w:val="20"/>
          <w:color w:val="auto"/>
        </w:rPr>
      </w:pPr>
    </w:p>
    <w:p>
      <w:pPr>
        <w:ind w:right="8460" w:firstLine="8"/>
        <w:spacing w:after="0" w:line="500" w:lineRule="auto"/>
        <w:tabs>
          <w:tab w:leader="none" w:pos="19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Derivative Instruments</w:t>
      </w:r>
      <w:r>
        <w:rPr>
          <w:rFonts w:ascii="Times New Roman" w:cs="Times New Roman" w:eastAsia="Times New Roman" w:hAnsi="Times New Roman"/>
          <w:sz w:val="18"/>
          <w:szCs w:val="18"/>
          <w:color w:val="auto"/>
        </w:rPr>
        <w:t xml:space="preserve"> (Continued) </w:t>
      </w:r>
      <w:r>
        <w:rPr>
          <w:rFonts w:ascii="Times New Roman" w:cs="Times New Roman" w:eastAsia="Times New Roman" w:hAnsi="Times New Roman"/>
          <w:sz w:val="18"/>
          <w:szCs w:val="18"/>
          <w:u w:val="single" w:color="auto"/>
          <w:color w:val="auto"/>
        </w:rPr>
        <w:t>Forward Sale Commitments</w:t>
      </w:r>
    </w:p>
    <w:p>
      <w:pPr>
        <w:spacing w:after="0" w:line="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utilizes forward commitments to economically hedge the price risk associated with its outstanding mortgage loan commitments. A forward commitment protects the Company from losses on sales of the loans arising from exercise of the loan commitments. Management expects these types of commitments will experience changes in fair value opposite to changes in fair value of the loan commitments, thereby reducing earnings volatility related to the recognition in earnings of changes in the values of the commitments.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net changes in fair value of loan commitments and forward sale commitments are shown in current earnings as a component of mortgage fee income on the consolidated statements of earnings. Mortgage banking derivatives are shown in other assets and other liabilities and accrued expenses on the condensed consolidated balance sheets.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fair value and notional amounts of derivative instruments: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center"/>
              <w:ind w:right="320"/>
              <w:spacing w:after="0"/>
              <w:rPr>
                <w:sz w:val="20"/>
                <w:szCs w:val="20"/>
                <w:color w:val="auto"/>
              </w:rPr>
            </w:pPr>
            <w:r>
              <w:rPr>
                <w:rFonts w:ascii="Times New Roman" w:cs="Times New Roman" w:eastAsia="Times New Roman" w:hAnsi="Times New Roman"/>
                <w:sz w:val="18"/>
                <w:szCs w:val="18"/>
                <w:color w:val="auto"/>
                <w:w w:val="99"/>
              </w:rPr>
              <w:t>June 30, 2024</w:t>
            </w: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20" w:type="dxa"/>
            <w:vAlign w:val="bottom"/>
            <w:tcBorders>
              <w:bottom w:val="single" w:sz="8" w:color="auto"/>
            </w:tcBorders>
            <w:gridSpan w:val="4"/>
          </w:tcPr>
          <w:p>
            <w:pPr>
              <w:ind w:left="980"/>
              <w:spacing w:after="0"/>
              <w:rPr>
                <w:sz w:val="20"/>
                <w:szCs w:val="20"/>
                <w:color w:val="auto"/>
              </w:rPr>
            </w:pPr>
            <w:r>
              <w:rPr>
                <w:rFonts w:ascii="Times New Roman" w:cs="Times New Roman" w:eastAsia="Times New Roman" w:hAnsi="Times New Roman"/>
                <w:sz w:val="18"/>
                <w:szCs w:val="18"/>
                <w:color w:val="auto"/>
              </w:rPr>
              <w:t>December 31, 2023</w:t>
            </w:r>
          </w:p>
        </w:tc>
        <w:tc>
          <w:tcPr>
            <w:tcW w:w="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198"/>
        </w:trPr>
        <w:tc>
          <w:tcPr>
            <w:tcW w:w="1340" w:type="dxa"/>
            <w:vAlign w:val="bottom"/>
          </w:tcPr>
          <w:p>
            <w:pPr>
              <w:spacing w:after="0"/>
              <w:rPr>
                <w:sz w:val="17"/>
                <w:szCs w:val="17"/>
                <w:color w:val="auto"/>
              </w:rPr>
            </w:pPr>
          </w:p>
        </w:tc>
        <w:tc>
          <w:tcPr>
            <w:tcW w:w="1320" w:type="dxa"/>
            <w:vAlign w:val="bottom"/>
            <w:gridSpan w:val="2"/>
          </w:tcPr>
          <w:p>
            <w:pPr>
              <w:jc w:val="center"/>
              <w:ind w:right="220"/>
              <w:spacing w:after="0" w:line="198" w:lineRule="exact"/>
              <w:rPr>
                <w:sz w:val="20"/>
                <w:szCs w:val="20"/>
                <w:color w:val="auto"/>
              </w:rPr>
            </w:pPr>
            <w:r>
              <w:rPr>
                <w:rFonts w:ascii="Times New Roman" w:cs="Times New Roman" w:eastAsia="Times New Roman" w:hAnsi="Times New Roman"/>
                <w:sz w:val="18"/>
                <w:szCs w:val="18"/>
                <w:color w:val="auto"/>
                <w:w w:val="99"/>
              </w:rPr>
              <w:t>Balance Sheet</w:t>
            </w:r>
          </w:p>
        </w:tc>
        <w:tc>
          <w:tcPr>
            <w:tcW w:w="1180" w:type="dxa"/>
            <w:vAlign w:val="bottom"/>
            <w:gridSpan w:val="2"/>
          </w:tcPr>
          <w:p>
            <w:pPr>
              <w:jc w:val="center"/>
              <w:ind w:right="160"/>
              <w:spacing w:after="0" w:line="198" w:lineRule="exact"/>
              <w:rPr>
                <w:sz w:val="20"/>
                <w:szCs w:val="20"/>
                <w:color w:val="auto"/>
              </w:rPr>
            </w:pPr>
            <w:r>
              <w:rPr>
                <w:rFonts w:ascii="Times New Roman" w:cs="Times New Roman" w:eastAsia="Times New Roman" w:hAnsi="Times New Roman"/>
                <w:sz w:val="18"/>
                <w:szCs w:val="18"/>
                <w:color w:val="auto"/>
                <w:w w:val="98"/>
              </w:rPr>
              <w:t>Notional</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400"/>
              <w:spacing w:after="0" w:line="198" w:lineRule="exact"/>
              <w:rPr>
                <w:sz w:val="20"/>
                <w:szCs w:val="20"/>
                <w:color w:val="auto"/>
              </w:rPr>
            </w:pPr>
            <w:r>
              <w:rPr>
                <w:rFonts w:ascii="Times New Roman" w:cs="Times New Roman" w:eastAsia="Times New Roman" w:hAnsi="Times New Roman"/>
                <w:sz w:val="18"/>
                <w:szCs w:val="18"/>
                <w:color w:val="auto"/>
              </w:rPr>
              <w:t>Asset Fair</w:t>
            </w:r>
          </w:p>
        </w:tc>
        <w:tc>
          <w:tcPr>
            <w:tcW w:w="1040" w:type="dxa"/>
            <w:vAlign w:val="bottom"/>
            <w:gridSpan w:val="2"/>
          </w:tcPr>
          <w:p>
            <w:pPr>
              <w:ind w:left="40"/>
              <w:spacing w:after="0" w:line="198" w:lineRule="exact"/>
              <w:rPr>
                <w:sz w:val="20"/>
                <w:szCs w:val="20"/>
                <w:color w:val="auto"/>
              </w:rPr>
            </w:pPr>
            <w:r>
              <w:rPr>
                <w:rFonts w:ascii="Times New Roman" w:cs="Times New Roman" w:eastAsia="Times New Roman" w:hAnsi="Times New Roman"/>
                <w:sz w:val="18"/>
                <w:szCs w:val="18"/>
                <w:color w:val="auto"/>
              </w:rPr>
              <w:t>Liability Fair</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2"/>
          </w:tcPr>
          <w:p>
            <w:pPr>
              <w:jc w:val="center"/>
              <w:ind w:right="280"/>
              <w:spacing w:after="0" w:line="198" w:lineRule="exact"/>
              <w:rPr>
                <w:sz w:val="20"/>
                <w:szCs w:val="20"/>
                <w:color w:val="auto"/>
              </w:rPr>
            </w:pPr>
            <w:r>
              <w:rPr>
                <w:rFonts w:ascii="Times New Roman" w:cs="Times New Roman" w:eastAsia="Times New Roman" w:hAnsi="Times New Roman"/>
                <w:sz w:val="18"/>
                <w:szCs w:val="18"/>
                <w:color w:val="auto"/>
              </w:rPr>
              <w:t>Notional</w:t>
            </w:r>
          </w:p>
        </w:tc>
        <w:tc>
          <w:tcPr>
            <w:tcW w:w="1140" w:type="dxa"/>
            <w:vAlign w:val="bottom"/>
            <w:gridSpan w:val="2"/>
          </w:tcPr>
          <w:p>
            <w:pPr>
              <w:jc w:val="center"/>
              <w:ind w:right="240"/>
              <w:spacing w:after="0" w:line="198" w:lineRule="exact"/>
              <w:rPr>
                <w:sz w:val="20"/>
                <w:szCs w:val="20"/>
                <w:color w:val="auto"/>
              </w:rPr>
            </w:pPr>
            <w:r>
              <w:rPr>
                <w:rFonts w:ascii="Times New Roman" w:cs="Times New Roman" w:eastAsia="Times New Roman" w:hAnsi="Times New Roman"/>
                <w:sz w:val="18"/>
                <w:szCs w:val="18"/>
                <w:color w:val="auto"/>
              </w:rPr>
              <w:t>Asset Fair</w:t>
            </w:r>
          </w:p>
        </w:tc>
        <w:tc>
          <w:tcPr>
            <w:tcW w:w="40" w:type="dxa"/>
            <w:vAlign w:val="bottom"/>
          </w:tcPr>
          <w:p>
            <w:pPr>
              <w:spacing w:after="0"/>
              <w:rPr>
                <w:sz w:val="17"/>
                <w:szCs w:val="17"/>
                <w:color w:val="auto"/>
              </w:rPr>
            </w:pPr>
          </w:p>
        </w:tc>
        <w:tc>
          <w:tcPr>
            <w:tcW w:w="9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Liability</w:t>
            </w:r>
          </w:p>
        </w:tc>
        <w:tc>
          <w:tcPr>
            <w:tcW w:w="80" w:type="dxa"/>
            <w:vAlign w:val="bottom"/>
          </w:tcPr>
          <w:p>
            <w:pPr>
              <w:spacing w:after="0"/>
              <w:rPr>
                <w:sz w:val="17"/>
                <w:szCs w:val="17"/>
                <w:color w:val="auto"/>
              </w:rPr>
            </w:pPr>
          </w:p>
        </w:tc>
      </w:tr>
      <w:tr>
        <w:trPr>
          <w:trHeight w:val="241"/>
        </w:trPr>
        <w:tc>
          <w:tcPr>
            <w:tcW w:w="1340" w:type="dxa"/>
            <w:vAlign w:val="bottom"/>
          </w:tcPr>
          <w:p>
            <w:pPr>
              <w:spacing w:after="0"/>
              <w:rPr>
                <w:sz w:val="20"/>
                <w:szCs w:val="20"/>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Location</w:t>
            </w:r>
          </w:p>
        </w:tc>
        <w:tc>
          <w:tcPr>
            <w:tcW w:w="11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8"/>
              </w:rPr>
              <w:t>Amount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Value</w:t>
            </w:r>
          </w:p>
        </w:tc>
        <w:tc>
          <w:tcPr>
            <w:tcW w:w="200" w:type="dxa"/>
            <w:vAlign w:val="bottom"/>
          </w:tcPr>
          <w:p>
            <w:pPr>
              <w:spacing w:after="0"/>
              <w:rPr>
                <w:sz w:val="20"/>
                <w:szCs w:val="20"/>
                <w:color w:val="auto"/>
              </w:rPr>
            </w:pPr>
          </w:p>
        </w:tc>
        <w:tc>
          <w:tcPr>
            <w:tcW w:w="9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Value</w:t>
            </w:r>
          </w:p>
        </w:tc>
        <w:tc>
          <w:tcPr>
            <w:tcW w:w="160" w:type="dxa"/>
            <w:vAlign w:val="bottom"/>
          </w:tcPr>
          <w:p>
            <w:pPr>
              <w:spacing w:after="0"/>
              <w:rPr>
                <w:sz w:val="20"/>
                <w:szCs w:val="20"/>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Amount</w:t>
            </w: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7"/>
              </w:rPr>
              <w:t>Value</w:t>
            </w:r>
          </w:p>
        </w:tc>
        <w:tc>
          <w:tcPr>
            <w:tcW w:w="40" w:type="dxa"/>
            <w:vAlign w:val="bottom"/>
          </w:tcPr>
          <w:p>
            <w:pPr>
              <w:spacing w:after="0"/>
              <w:rPr>
                <w:sz w:val="20"/>
                <w:szCs w:val="20"/>
                <w:color w:val="auto"/>
              </w:rPr>
            </w:pPr>
          </w:p>
        </w:tc>
        <w:tc>
          <w:tcPr>
            <w:tcW w:w="9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6"/>
              </w:rPr>
              <w:t>Fair Value</w:t>
            </w:r>
          </w:p>
        </w:tc>
      </w:tr>
      <w:tr>
        <w:trPr>
          <w:trHeight w:val="184"/>
        </w:trPr>
        <w:tc>
          <w:tcPr>
            <w:tcW w:w="1340" w:type="dxa"/>
            <w:vAlign w:val="bottom"/>
            <w:tcBorders>
              <w:top w:val="single" w:sz="8" w:color="CCEEFF"/>
            </w:tcBorders>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Derivatives not</w:t>
            </w:r>
          </w:p>
        </w:tc>
        <w:tc>
          <w:tcPr>
            <w:tcW w:w="112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r>
      <w:tr>
        <w:trPr>
          <w:trHeight w:val="216"/>
        </w:trPr>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designated as</w:t>
            </w: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hedging</w:t>
            </w: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4"/>
        </w:trPr>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instruments:</w:t>
            </w:r>
          </w:p>
        </w:tc>
        <w:tc>
          <w:tcPr>
            <w:tcW w:w="1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198"/>
        </w:trPr>
        <w:tc>
          <w:tcPr>
            <w:tcW w:w="1340" w:type="dxa"/>
            <w:vAlign w:val="bottom"/>
          </w:tcPr>
          <w:p>
            <w:pPr>
              <w:spacing w:after="0"/>
              <w:rPr>
                <w:sz w:val="17"/>
                <w:szCs w:val="17"/>
                <w:color w:val="auto"/>
              </w:rPr>
            </w:pPr>
          </w:p>
        </w:tc>
        <w:tc>
          <w:tcPr>
            <w:tcW w:w="1320" w:type="dxa"/>
            <w:vAlign w:val="bottom"/>
            <w:gridSpan w:val="2"/>
          </w:tcPr>
          <w:p>
            <w:pPr>
              <w:jc w:val="center"/>
              <w:ind w:right="220"/>
              <w:spacing w:after="0" w:line="198" w:lineRule="exact"/>
              <w:rPr>
                <w:sz w:val="20"/>
                <w:szCs w:val="20"/>
                <w:color w:val="auto"/>
              </w:rPr>
            </w:pPr>
            <w:r>
              <w:rPr>
                <w:rFonts w:ascii="Times New Roman" w:cs="Times New Roman" w:eastAsia="Times New Roman" w:hAnsi="Times New Roman"/>
                <w:sz w:val="18"/>
                <w:szCs w:val="18"/>
                <w:color w:val="auto"/>
                <w:w w:val="98"/>
              </w:rPr>
              <w:t>Other assets</w:t>
            </w: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Loan</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and Other</w:t>
            </w: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55"/>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commitments</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liabilities</w:t>
            </w:r>
          </w:p>
        </w:tc>
        <w:tc>
          <w:tcPr>
            <w:tcW w:w="11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8"/>
              </w:rPr>
              <w:t>$ 229,458,247</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5,623,512</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3,048,649</w:t>
            </w:r>
          </w:p>
        </w:tc>
        <w:tc>
          <w:tcPr>
            <w:tcW w:w="14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161,832,250</w:t>
            </w: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$ 4,995,486</w:t>
            </w:r>
          </w:p>
        </w:tc>
        <w:tc>
          <w:tcPr>
            <w:tcW w:w="102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color w:val="auto"/>
              </w:rPr>
              <w:t>$ 3,412,224</w:t>
            </w:r>
          </w:p>
        </w:tc>
      </w:tr>
      <w:tr>
        <w:trPr>
          <w:trHeight w:val="229"/>
        </w:trPr>
        <w:tc>
          <w:tcPr>
            <w:tcW w:w="13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$ 229,458,247</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97"/>
              </w:rPr>
              <w:t>5,623,512</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7"/>
              </w:rPr>
              <w:t>3,048,649</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161,832,250</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$ 4,995,486</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$ 3,412,224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table below presents the gains (losses) on derivatives. There were no gains or losses reclassified from accumulated other comprehensive income into income or gains or losses recognized in income on derivatives ineffective portion, or any amounts excluded from effective testing.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60" w:type="dxa"/>
            <w:vAlign w:val="bottom"/>
            <w:gridSpan w:val="7"/>
          </w:tcPr>
          <w:p>
            <w:pPr>
              <w:jc w:val="center"/>
              <w:ind w:right="880"/>
              <w:spacing w:after="0"/>
              <w:rPr>
                <w:sz w:val="20"/>
                <w:szCs w:val="20"/>
                <w:color w:val="auto"/>
              </w:rPr>
            </w:pPr>
            <w:r>
              <w:rPr>
                <w:rFonts w:ascii="Times New Roman" w:cs="Times New Roman" w:eastAsia="Times New Roman" w:hAnsi="Times New Roman"/>
                <w:sz w:val="18"/>
                <w:szCs w:val="18"/>
                <w:color w:val="auto"/>
                <w:w w:val="99"/>
              </w:rPr>
              <w:t>Net Amount Gain (Loss)</w:t>
            </w:r>
          </w:p>
        </w:tc>
        <w:tc>
          <w:tcPr>
            <w:tcW w:w="2880" w:type="dxa"/>
            <w:vAlign w:val="bottom"/>
            <w:gridSpan w:val="6"/>
          </w:tcPr>
          <w:p>
            <w:pPr>
              <w:jc w:val="center"/>
              <w:ind w:right="400"/>
              <w:spacing w:after="0"/>
              <w:rPr>
                <w:sz w:val="20"/>
                <w:szCs w:val="20"/>
                <w:color w:val="auto"/>
              </w:rPr>
            </w:pPr>
            <w:r>
              <w:rPr>
                <w:rFonts w:ascii="Times New Roman" w:cs="Times New Roman" w:eastAsia="Times New Roman" w:hAnsi="Times New Roman"/>
                <w:sz w:val="18"/>
                <w:szCs w:val="18"/>
                <w:color w:val="auto"/>
              </w:rPr>
              <w:t>Net Amount Gain (Loss)</w:t>
            </w:r>
          </w:p>
        </w:tc>
        <w:tc>
          <w:tcPr>
            <w:tcW w:w="1140" w:type="dxa"/>
            <w:vAlign w:val="bottom"/>
          </w:tcPr>
          <w:p>
            <w:pPr>
              <w:spacing w:after="0"/>
              <w:rPr>
                <w:sz w:val="19"/>
                <w:szCs w:val="19"/>
                <w:color w:val="auto"/>
              </w:rPr>
            </w:pPr>
          </w:p>
        </w:tc>
      </w:tr>
      <w:tr>
        <w:trPr>
          <w:trHeight w:val="241"/>
        </w:trPr>
        <w:tc>
          <w:tcPr>
            <w:tcW w:w="1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60" w:type="dxa"/>
            <w:vAlign w:val="bottom"/>
            <w:gridSpan w:val="7"/>
          </w:tcPr>
          <w:p>
            <w:pPr>
              <w:jc w:val="center"/>
              <w:ind w:right="880"/>
              <w:spacing w:after="0"/>
              <w:rPr>
                <w:sz w:val="20"/>
                <w:szCs w:val="20"/>
                <w:color w:val="auto"/>
              </w:rPr>
            </w:pPr>
            <w:r>
              <w:rPr>
                <w:rFonts w:ascii="Times New Roman" w:cs="Times New Roman" w:eastAsia="Times New Roman" w:hAnsi="Times New Roman"/>
                <w:sz w:val="18"/>
                <w:szCs w:val="18"/>
                <w:color w:val="auto"/>
              </w:rPr>
              <w:t>Three Months Ended June 30,</w:t>
            </w:r>
          </w:p>
        </w:tc>
        <w:tc>
          <w:tcPr>
            <w:tcW w:w="2880" w:type="dxa"/>
            <w:vAlign w:val="bottom"/>
            <w:gridSpan w:val="6"/>
          </w:tcPr>
          <w:p>
            <w:pPr>
              <w:jc w:val="center"/>
              <w:ind w:right="380"/>
              <w:spacing w:after="0"/>
              <w:rPr>
                <w:sz w:val="20"/>
                <w:szCs w:val="20"/>
                <w:color w:val="auto"/>
              </w:rPr>
            </w:pPr>
            <w:r>
              <w:rPr>
                <w:rFonts w:ascii="Times New Roman" w:cs="Times New Roman" w:eastAsia="Times New Roman" w:hAnsi="Times New Roman"/>
                <w:sz w:val="18"/>
                <w:szCs w:val="18"/>
                <w:color w:val="auto"/>
                <w:w w:val="99"/>
              </w:rPr>
              <w:t>Six Months Ended June 30,</w:t>
            </w:r>
          </w:p>
        </w:tc>
        <w:tc>
          <w:tcPr>
            <w:tcW w:w="1140" w:type="dxa"/>
            <w:vAlign w:val="bottom"/>
          </w:tcPr>
          <w:p>
            <w:pPr>
              <w:spacing w:after="0"/>
              <w:rPr>
                <w:sz w:val="20"/>
                <w:szCs w:val="20"/>
                <w:color w:val="auto"/>
              </w:rPr>
            </w:pPr>
          </w:p>
        </w:tc>
      </w:tr>
      <w:tr>
        <w:trPr>
          <w:trHeight w:val="237"/>
        </w:trPr>
        <w:tc>
          <w:tcPr>
            <w:tcW w:w="17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Derivative</w:t>
            </w:r>
          </w:p>
        </w:tc>
        <w:tc>
          <w:tcPr>
            <w:tcW w:w="17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Classification</w:t>
            </w:r>
          </w:p>
        </w:tc>
        <w:tc>
          <w:tcPr>
            <w:tcW w:w="3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2024</w:t>
            </w:r>
          </w:p>
        </w:tc>
        <w:tc>
          <w:tcPr>
            <w:tcW w:w="16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2023</w:t>
            </w:r>
          </w:p>
        </w:tc>
        <w:tc>
          <w:tcPr>
            <w:tcW w:w="2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2024</w:t>
            </w:r>
          </w:p>
        </w:tc>
        <w:tc>
          <w:tcPr>
            <w:tcW w:w="14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2023</w:t>
            </w: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198"/>
        </w:trPr>
        <w:tc>
          <w:tcPr>
            <w:tcW w:w="15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Mortgage fee</w:t>
            </w:r>
          </w:p>
        </w:tc>
        <w:tc>
          <w:tcPr>
            <w:tcW w:w="2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140" w:type="dxa"/>
            <w:vAlign w:val="bottom"/>
          </w:tcPr>
          <w:p>
            <w:pPr>
              <w:spacing w:after="0"/>
              <w:rPr>
                <w:sz w:val="17"/>
                <w:szCs w:val="17"/>
                <w:color w:val="auto"/>
              </w:rPr>
            </w:pPr>
          </w:p>
        </w:tc>
      </w:tr>
      <w:tr>
        <w:trPr>
          <w:trHeight w:val="261"/>
        </w:trPr>
        <w:tc>
          <w:tcPr>
            <w:tcW w:w="1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 commitments</w:t>
            </w:r>
          </w:p>
        </w:tc>
        <w:tc>
          <w:tcPr>
            <w:tcW w:w="1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429,823</w:t>
            </w:r>
          </w:p>
        </w:tc>
        <w:tc>
          <w:tcPr>
            <w:tcW w:w="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(151,382)   $</w:t>
            </w: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991,601</w:t>
            </w:r>
          </w:p>
        </w:tc>
        <w:tc>
          <w:tcPr>
            <w:tcW w:w="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526,570</w:t>
            </w:r>
          </w:p>
        </w:tc>
        <w:tc>
          <w:tcPr>
            <w:tcW w:w="1140" w:type="dxa"/>
            <w:vAlign w:val="bottom"/>
          </w:tcPr>
          <w:p>
            <w:pPr>
              <w:spacing w:after="0"/>
              <w:rPr>
                <w:sz w:val="22"/>
                <w:szCs w:val="22"/>
                <w:color w:val="auto"/>
              </w:rPr>
            </w:pPr>
          </w:p>
        </w:tc>
      </w:tr>
      <w:tr>
        <w:trPr>
          <w:trHeight w:val="20"/>
        </w:trPr>
        <w:tc>
          <w:tcPr>
            <w:tcW w:w="15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20"/>
        </w:trPr>
        <w:tc>
          <w:tcPr>
            <w:tcW w:w="15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color w:val="auto"/>
              </w:rPr>
              <w:t>51</w:t>
            </w:r>
          </w:p>
        </w:tc>
        <w:tc>
          <w:tcPr>
            <w:tcW w:w="2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7" w:right="339" w:bottom="1440" w:gutter="0" w:footer="0" w:header="0"/>
        </w:sectPr>
      </w:pPr>
    </w:p>
    <w:bookmarkStart w:id="54" w:name="page55"/>
    <w:bookmarkEnd w:id="54"/>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June 30, 2024 (Unaudited)</w:t>
      </w:r>
    </w:p>
    <w:p>
      <w:pPr>
        <w:spacing w:after="0" w:line="176" w:lineRule="exact"/>
        <w:rPr>
          <w:sz w:val="20"/>
          <w:szCs w:val="20"/>
          <w:color w:val="auto"/>
        </w:rPr>
      </w:pPr>
    </w:p>
    <w:p>
      <w:pPr>
        <w:ind w:left="300" w:hanging="292"/>
        <w:spacing w:after="0"/>
        <w:tabs>
          <w:tab w:leader="none" w:pos="3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Reinsurance, Commitments and Contingencies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Reinsurance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follows the procedure of reinsuring risks of more than a specified limit, which ranges from $25,000 to $100,000 on newly issued policies. The Company has also assumed various reinsurance agreements through acquisition of various life companies. The Company is ultimately liable for these reinsured amounts in the event such reinsurers are unable to pay their portion of the claims. The Company evaluates the financial condition of reinsurers and monitors the concentration of credit risk. The Company is also a reinsurer of insurance with other companies.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Mortgage Loan Loss Settlements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Future loan losses can be extremely difficult to estimate. However, the Company believes that the Company’s reserve methodology and its current practice of property preservation allow it to estimate its potential losses on loans sold. See Note 4 to the condensed consolidated financial statements for additional information about the Company’s loan loss reserve.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Covenants for Mortgage Warehouse Lines of Credit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through its subsidiary SecurityNational Mortgage Company (“SecurityNational Mortgage”), has a line of credit with Texas Capital Bank N.A. This agreement allows SecurityNational Mortgage to borrow up to $100,000,000 for the sole purpose of funding mortgage loans (the “Texas Capital Bank Warehouse Line of Credit”). The agreement charges interest at the 1-Month SOFR rate plus 2.0% and matures on November 30, 2024. The Company is required to comply with covenants for adjusted tangible net worth, unrestricted cash balance, and minimum combined pre-tax income (excluding any changes in the fair value of mortgage servicing rights) of at least $1.00 on a rolling four-quarter basis.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through its subsidiary SecurityNational Mortgage, has a line of credit with U.S Bank. This agreement allows SecurityNational Mortgage to borrow up to $15,000,000 for the sole purpose of funding mortgage loans (the “U.S. Bank Warehouse Line of Credit” and, together with the Texas Capital Bank Warehouse Line of Credit, the “Warehouse Lines of Credit”). The agreement charges interest at 2.10% plus the greater of (i) 0%, and (ii) the one-month forward-looking term rate based on SOFR and matures on June 20, 2025. The Company is required to comply with covenants for adjusted tangible net worth, unrestricted cash balance, and minimum combined pre-tax income (excluding any changes in the fair value of mortgage servicing rights) of at least $1.00 on a rolling twelve months.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through its subsidiary SecurityNational Mortgage, has a line of credit with Western Alliance Bank. This agreement allows SecurityNational Mortgage to borrow up to $35,000,000 for the sole purpose of funding mortgage loans (the “Western Alliance Bank Warehouse Line of Credit”). The agreement charges interest at the 1-Month SOFR rate plus 2.0% and matures on June 20, 2025. The Company is required to comply with covenants for adjusted tangible net worth, unrestricted cash balance, and minimum combined pre-tax income of at least $1.00 on a quarterly basis.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5" w:name="page56"/>
    <w:bookmarkEnd w:id="55"/>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June 30, 2024 (Unaudited)</w:t>
      </w:r>
    </w:p>
    <w:p>
      <w:pPr>
        <w:spacing w:after="0" w:line="176" w:lineRule="exact"/>
        <w:rPr>
          <w:sz w:val="20"/>
          <w:szCs w:val="20"/>
          <w:color w:val="auto"/>
        </w:rPr>
      </w:pPr>
    </w:p>
    <w:p>
      <w:pPr>
        <w:ind w:left="300" w:hanging="292"/>
        <w:spacing w:after="0"/>
        <w:tabs>
          <w:tab w:leader="none" w:pos="3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Reinsurance, Commitments and Contingencies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agreements for the warehouse lines of credit include cross default provisions where certain events of default under other of SecurityNational Mortgage’s obligations constitute events of default under the warehouse lines of credit. As of June 30, 2024, the Company was not in compliance with the net income covenant of the warehouse lines of credit and its operating cash flow covenant for its standby letter of credit with its primary bank. SecurityNational Mortgage has received or is in the process of receiving waivers under the warehouse lines of credit from the warehouse banks. In the unlikely event the Company is required to repay the outstanding advances of approximately $6,617,000 on the warehouse line of credit that has not provided a covenant waiver, the Company has sufficient cash and borrowing capacity on the warehouse lines of credit that have provided covenant waivers to fund its origination activities. The Company has performed an internal analysis of its funding capacities of both internal and external sources and has determined that there are sufficient funds to continue its business model. The Company continues to negotiate other warehouse lines of credit with other lenders.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Covenants for Revolving Lines of Credit and Bank Loans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debt covenants on its revolving lines of credit and is required to comply with minimum operating cash flow ratios and minimum net worth for each of its business segments. The Company also has debt covenants for one of its loans on real estate for a minimum consolidated operating cash flow ratio, minimum liquidity, and consolidated net worth. In addition to these financial debt covenants, the Company is required to provide segment specific financial statements and building specific financial statements on all bank loans. As of June 30, 2024, the Company was in compliance with all these debt covenants.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Contingencies and Commitments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commitments to fund existing construction and land development loans pursuant to the various loan agreements. As of June 30, 2024, the Company’s commitments were approximately $169,193,000 for these loans, of which $113,325,774 had been funded. The Company advances funds in accordance with the loan agreements once the work has been completed and an independent inspection is made. The maximum loan commitment ranges between 50% and 80% of appraised value. The Company receives fees and interest for these loans and the interest rate is generally fixed at 5.25% to 8.50% per annum. Maturities range between six and eighteen months.</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belongs to a captive insurance group (“the captive group”) for certain casualty insurance, worker compensation and general liability programs. The captive group maintains insurance reserves relative to these programs. The level of exposure from catastrophic events is limited by the purchase of stop-loss and aggregate liability reinsurance coverage. When estimating the insurance liabilities and related reserves, the captive group considers several factors, which include historical claims experience, demographic factors, severity factors and valuations provided by independent third-party actuaries. If actual claims or adverse development of loss reserves occurs and exceed these estimates, additional reserves may be required from the Company and its members. The estimation process contains uncertainty since captive insurance management must use judgment to estimate the ultimate cost that will be incurred to settle reported claims and unreported claims for incidents incurred but not reported as of the balance sheet date.</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 a defendant in various other legal actions arising from the normal conduct of business. The Company believes that none of the actions, if adversely determined, will have a material effect on the Company’s financial position or results of operations. Based on the Company’s assessment and legal counsel’s analysis concerning the likelihood of unfavorable outcomes, no amounts have been accrued for the above claims in the consolidated financial statements. The Company is not a party to any other material legal proceedings outside the ordinary course of business or to any other legal proceedings, which, if adversely determined, would have a material adverse effect on its financial condition or results of operations.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6" w:name="page57"/>
    <w:bookmarkEnd w:id="56"/>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June 30, 2024 (Unaudited)</w:t>
      </w:r>
    </w:p>
    <w:p>
      <w:pPr>
        <w:spacing w:after="0" w:line="176" w:lineRule="exact"/>
        <w:rPr>
          <w:sz w:val="20"/>
          <w:szCs w:val="20"/>
          <w:color w:val="auto"/>
        </w:rPr>
      </w:pPr>
    </w:p>
    <w:p>
      <w:pPr>
        <w:ind w:left="280" w:hanging="272"/>
        <w:spacing w:after="0"/>
        <w:tabs>
          <w:tab w:leader="none" w:pos="2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Mortgage Servicing Rights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initially records its MSRs at fair value as discussed in Note 8.</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After being initially recorded at fair value, MSRs backed by mortgage loans are accounted for using the amortization method. Amortization expense is included in other expenses on the consolidated statements of earnings. MSR amortization is determined by amortizing the MSR balance in proportion to, and over the period of the estimated future net servicing income of the underlying financial assets.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periodically assesses MSRs for impairment. Impairment occurs when the current fair value of the MSR falls below the asset’s carrying value (carrying value is the amortized cost reduced by any related valuation allowance). If MSRs are impaired, the impairment is recognized in current-period earnings and the carrying value of the MSRs is adjusted through a valuation allowance.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periodically reviews the various loan strata to determine whether the value of the MSRs in each stratum is impaired and likely to recover. If the Company deems recovery of the value to be unlikely in the foreseeable future, a write-down of the cost of the MSRs for that stratum to its estimated recoverable value is charged to the valuation allowance.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presents the MSR activity:</w:t>
            </w:r>
          </w:p>
        </w:tc>
        <w:tc>
          <w:tcPr>
            <w:tcW w:w="3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4"/>
        </w:trPr>
        <w:tc>
          <w:tcPr>
            <w:tcW w:w="5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As of June 30,</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As of December 31,</w:t>
            </w:r>
          </w:p>
        </w:tc>
      </w:tr>
      <w:tr>
        <w:trPr>
          <w:trHeight w:val="241"/>
        </w:trPr>
        <w:tc>
          <w:tcPr>
            <w:tcW w:w="546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color w:val="auto"/>
              </w:rPr>
              <w:t>2024</w:t>
            </w:r>
          </w:p>
        </w:tc>
        <w:tc>
          <w:tcPr>
            <w:tcW w:w="18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rPr>
              <w:t>2023</w:t>
            </w:r>
          </w:p>
        </w:tc>
        <w:tc>
          <w:tcPr>
            <w:tcW w:w="80" w:type="dxa"/>
            <w:vAlign w:val="bottom"/>
            <w:tcBorders>
              <w:bottom w:val="single" w:sz="8" w:color="CCEEFF"/>
            </w:tcBorders>
          </w:tcPr>
          <w:p>
            <w:pPr>
              <w:spacing w:after="0"/>
              <w:rPr>
                <w:sz w:val="20"/>
                <w:szCs w:val="20"/>
                <w:color w:val="auto"/>
              </w:rPr>
            </w:pPr>
          </w:p>
        </w:tc>
      </w:tr>
      <w:tr>
        <w:trPr>
          <w:trHeight w:val="21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Amortized cost:</w:t>
            </w:r>
          </w:p>
        </w:tc>
        <w:tc>
          <w:tcPr>
            <w:tcW w:w="32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Balance before valuation allowance at beginning of year</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3,461,146</w:t>
            </w:r>
          </w:p>
        </w:tc>
        <w:tc>
          <w:tcPr>
            <w:tcW w:w="3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3,039,765</w:t>
            </w:r>
          </w:p>
        </w:tc>
      </w:tr>
      <w:tr>
        <w:trPr>
          <w:trHeight w:val="21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MSR additions resulting from loan sales (1)</w:t>
            </w:r>
          </w:p>
        </w:tc>
        <w:tc>
          <w:tcPr>
            <w:tcW w:w="32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30,606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1,009,312</w:t>
            </w: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(2)</w:t>
            </w:r>
          </w:p>
        </w:tc>
        <w:tc>
          <w:tcPr>
            <w:tcW w:w="320" w:type="dxa"/>
            <w:vAlign w:val="bottom"/>
          </w:tcPr>
          <w:p>
            <w:pPr>
              <w:spacing w:after="0"/>
              <w:rPr>
                <w:sz w:val="18"/>
                <w:szCs w:val="18"/>
                <w:color w:val="auto"/>
              </w:rPr>
            </w:pPr>
          </w:p>
        </w:tc>
        <w:tc>
          <w:tcPr>
            <w:tcW w:w="2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(319,643)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(587,931)</w:t>
            </w:r>
          </w:p>
        </w:tc>
      </w:tr>
      <w:tr>
        <w:trPr>
          <w:trHeight w:val="21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 of MSRs</w:t>
            </w:r>
          </w:p>
        </w:tc>
        <w:tc>
          <w:tcPr>
            <w:tcW w:w="32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54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Application of valuation allowance to write down MSRs with other than</w:t>
            </w:r>
          </w:p>
        </w:tc>
        <w:tc>
          <w:tcPr>
            <w:tcW w:w="3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55"/>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temporary impairment</w:t>
            </w:r>
          </w:p>
        </w:tc>
        <w:tc>
          <w:tcPr>
            <w:tcW w:w="320" w:type="dxa"/>
            <w:vAlign w:val="bottom"/>
          </w:tcPr>
          <w:p>
            <w:pPr>
              <w:spacing w:after="0"/>
              <w:rPr>
                <w:sz w:val="22"/>
                <w:szCs w:val="22"/>
                <w:color w:val="auto"/>
              </w:rPr>
            </w:pPr>
          </w:p>
        </w:tc>
        <w:tc>
          <w:tcPr>
            <w:tcW w:w="2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4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before valuation allowance at end of period</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3,172,109</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3,461,146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5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allowance for impairment of MSRs:</w:t>
            </w:r>
          </w:p>
        </w:tc>
        <w:tc>
          <w:tcPr>
            <w:tcW w:w="32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w:t>
            </w:r>
          </w:p>
        </w:tc>
        <w:tc>
          <w:tcPr>
            <w:tcW w:w="32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54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Application of valuation allowance to write down MSRs with other than</w:t>
            </w:r>
          </w:p>
        </w:tc>
        <w:tc>
          <w:tcPr>
            <w:tcW w:w="3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55"/>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temporary impairment</w:t>
            </w:r>
          </w:p>
        </w:tc>
        <w:tc>
          <w:tcPr>
            <w:tcW w:w="320" w:type="dxa"/>
            <w:vAlign w:val="bottom"/>
          </w:tcPr>
          <w:p>
            <w:pPr>
              <w:spacing w:after="0"/>
              <w:rPr>
                <w:sz w:val="22"/>
                <w:szCs w:val="22"/>
                <w:color w:val="auto"/>
              </w:rPr>
            </w:pPr>
          </w:p>
        </w:tc>
        <w:tc>
          <w:tcPr>
            <w:tcW w:w="2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4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5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3"/>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 servicing rights, net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3,172,109</w:t>
            </w:r>
          </w:p>
        </w:tc>
        <w:tc>
          <w:tcPr>
            <w:tcW w:w="3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3,461,146</w:t>
            </w: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r>
        <w:trPr>
          <w:trHeight w:val="196"/>
        </w:trPr>
        <w:tc>
          <w:tcPr>
            <w:tcW w:w="5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43"/>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Estimated fair value of MSRs at end of period</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4,667,158</w:t>
            </w:r>
          </w:p>
        </w:tc>
        <w:tc>
          <w:tcPr>
            <w:tcW w:w="3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4,543,657</w:t>
            </w: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ind w:left="720" w:hanging="301"/>
        <w:spacing w:after="0"/>
        <w:tabs>
          <w:tab w:leader="none" w:pos="7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mortgage fee income on the condensed consolidated statements of earnings</w:t>
      </w:r>
    </w:p>
    <w:p>
      <w:pPr>
        <w:spacing w:after="0" w:line="117" w:lineRule="exact"/>
        <w:rPr>
          <w:rFonts w:ascii="Times New Roman" w:cs="Times New Roman" w:eastAsia="Times New Roman" w:hAnsi="Times New Roman"/>
          <w:sz w:val="18"/>
          <w:szCs w:val="18"/>
          <w:color w:val="auto"/>
        </w:rPr>
      </w:pPr>
    </w:p>
    <w:p>
      <w:pPr>
        <w:ind w:left="720" w:hanging="301"/>
        <w:spacing w:after="0"/>
        <w:tabs>
          <w:tab w:leader="none" w:pos="7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other expenses on the condensed consolidated statements of earnings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7" w:name="page58"/>
    <w:bookmarkEnd w:id="57"/>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June 30, 2024 (Unaudited)</w:t>
      </w:r>
    </w:p>
    <w:p>
      <w:pPr>
        <w:spacing w:after="0" w:line="176" w:lineRule="exact"/>
        <w:rPr>
          <w:sz w:val="20"/>
          <w:szCs w:val="20"/>
          <w:color w:val="auto"/>
        </w:rPr>
      </w:pPr>
    </w:p>
    <w:p>
      <w:pPr>
        <w:ind w:left="280" w:hanging="272"/>
        <w:spacing w:after="0"/>
        <w:tabs>
          <w:tab w:leader="none" w:pos="2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Mortgage Servicing Rights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table below summarizes the Company’s estimate of future amortization of its existing MSRs carried at amortized cost. This projection was developed using the Company’s assumptions in its June 30, 2024 valuation of MSRs. The assumptions used in the following table are likely to change as market conditions, portfolio composition and borrower behavior change, causing both actual and projected amortization levels to change over time.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80" w:type="dxa"/>
            <w:vAlign w:val="bottom"/>
          </w:tcPr>
          <w:p>
            <w:pPr>
              <w:spacing w:after="0"/>
              <w:rPr>
                <w:sz w:val="18"/>
                <w:szCs w:val="18"/>
                <w:color w:val="auto"/>
              </w:rPr>
            </w:pPr>
          </w:p>
        </w:tc>
        <w:tc>
          <w:tcPr>
            <w:tcW w:w="104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9"/>
              </w:rPr>
              <w:t>Estimated</w:t>
            </w:r>
          </w:p>
        </w:tc>
      </w:tr>
      <w:tr>
        <w:trPr>
          <w:trHeight w:val="216"/>
        </w:trPr>
        <w:tc>
          <w:tcPr>
            <w:tcW w:w="4580" w:type="dxa"/>
            <w:vAlign w:val="bottom"/>
          </w:tcPr>
          <w:p>
            <w:pPr>
              <w:spacing w:after="0"/>
              <w:rPr>
                <w:sz w:val="18"/>
                <w:szCs w:val="18"/>
                <w:color w:val="auto"/>
              </w:rPr>
            </w:pPr>
          </w:p>
        </w:tc>
        <w:tc>
          <w:tcPr>
            <w:tcW w:w="10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MSR</w:t>
            </w:r>
          </w:p>
        </w:tc>
      </w:tr>
      <w:tr>
        <w:trPr>
          <w:trHeight w:val="241"/>
        </w:trPr>
        <w:tc>
          <w:tcPr>
            <w:tcW w:w="4580" w:type="dxa"/>
            <w:vAlign w:val="bottom"/>
          </w:tcPr>
          <w:p>
            <w:pPr>
              <w:spacing w:after="0"/>
              <w:rPr>
                <w:sz w:val="20"/>
                <w:szCs w:val="20"/>
                <w:color w:val="auto"/>
              </w:rPr>
            </w:pPr>
          </w:p>
        </w:tc>
        <w:tc>
          <w:tcPr>
            <w:tcW w:w="104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9"/>
              </w:rPr>
              <w:t>Amortization</w:t>
            </w:r>
          </w:p>
        </w:tc>
      </w:tr>
      <w:tr>
        <w:trPr>
          <w:trHeight w:val="216"/>
        </w:trPr>
        <w:tc>
          <w:tcPr>
            <w:tcW w:w="4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630,403</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503,024</w:t>
            </w:r>
          </w:p>
        </w:tc>
      </w:t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408,681</w:t>
            </w: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325,593</w:t>
            </w:r>
          </w:p>
        </w:tc>
      </w:t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259,506</w:t>
            </w:r>
          </w:p>
        </w:tc>
      </w:tr>
      <w:tr>
        <w:trPr>
          <w:trHeight w:val="237"/>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1,044,902</w:t>
            </w:r>
          </w:p>
        </w:tc>
      </w:tr>
      <w:tr>
        <w:trPr>
          <w:trHeight w:val="229"/>
        </w:trPr>
        <w:tc>
          <w:tcPr>
            <w:tcW w:w="45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3,172,109</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5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Company collected the following contractual servicing fee income and late fee income as reported in other revenues on the condensed consolidated statement of earnings.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40" w:type="dxa"/>
            <w:vAlign w:val="bottom"/>
            <w:gridSpan w:val="5"/>
          </w:tcPr>
          <w:p>
            <w:pPr>
              <w:jc w:val="right"/>
              <w:ind w:right="800"/>
              <w:spacing w:after="0"/>
              <w:rPr>
                <w:sz w:val="20"/>
                <w:szCs w:val="20"/>
                <w:color w:val="auto"/>
              </w:rPr>
            </w:pPr>
            <w:r>
              <w:rPr>
                <w:rFonts w:ascii="Times New Roman" w:cs="Times New Roman" w:eastAsia="Times New Roman" w:hAnsi="Times New Roman"/>
                <w:sz w:val="18"/>
                <w:szCs w:val="18"/>
                <w:color w:val="auto"/>
              </w:rPr>
              <w:t>Three Months Ended</w:t>
            </w:r>
          </w:p>
        </w:tc>
        <w:tc>
          <w:tcPr>
            <w:tcW w:w="260" w:type="dxa"/>
            <w:vAlign w:val="bottom"/>
          </w:tcPr>
          <w:p>
            <w:pPr>
              <w:spacing w:after="0"/>
              <w:rPr>
                <w:sz w:val="18"/>
                <w:szCs w:val="18"/>
                <w:color w:val="auto"/>
              </w:rPr>
            </w:pPr>
          </w:p>
        </w:tc>
        <w:tc>
          <w:tcPr>
            <w:tcW w:w="2400" w:type="dxa"/>
            <w:vAlign w:val="bottom"/>
            <w:gridSpan w:val="5"/>
          </w:tcPr>
          <w:p>
            <w:pPr>
              <w:jc w:val="right"/>
              <w:ind w:right="720"/>
              <w:spacing w:after="0"/>
              <w:rPr>
                <w:sz w:val="20"/>
                <w:szCs w:val="20"/>
                <w:color w:val="auto"/>
              </w:rPr>
            </w:pPr>
            <w:r>
              <w:rPr>
                <w:rFonts w:ascii="Times New Roman" w:cs="Times New Roman" w:eastAsia="Times New Roman" w:hAnsi="Times New Roman"/>
                <w:sz w:val="18"/>
                <w:szCs w:val="18"/>
                <w:color w:val="auto"/>
              </w:rPr>
              <w:t>Six Months Ended</w:t>
            </w:r>
          </w:p>
        </w:tc>
      </w:tr>
      <w:tr>
        <w:trPr>
          <w:trHeight w:val="241"/>
        </w:trPr>
        <w:tc>
          <w:tcPr>
            <w:tcW w:w="34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June 30,</w:t>
            </w:r>
          </w:p>
        </w:tc>
        <w:tc>
          <w:tcPr>
            <w:tcW w:w="88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June 30,</w:t>
            </w:r>
          </w:p>
        </w:tc>
        <w:tc>
          <w:tcPr>
            <w:tcW w:w="8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36"/>
        </w:trPr>
        <w:tc>
          <w:tcPr>
            <w:tcW w:w="34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2024</w:t>
            </w:r>
          </w:p>
        </w:tc>
        <w:tc>
          <w:tcPr>
            <w:tcW w:w="28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2023</w:t>
            </w:r>
          </w:p>
        </w:tc>
        <w:tc>
          <w:tcPr>
            <w:tcW w:w="26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2024</w:t>
            </w:r>
          </w:p>
        </w:tc>
        <w:tc>
          <w:tcPr>
            <w:tcW w:w="26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2023</w:t>
            </w:r>
          </w:p>
        </w:tc>
        <w:tc>
          <w:tcPr>
            <w:tcW w:w="80" w:type="dxa"/>
            <w:vAlign w:val="bottom"/>
            <w:tcBorders>
              <w:bottom w:val="single" w:sz="8" w:color="CCEEFF"/>
            </w:tcBorders>
          </w:tcPr>
          <w:p>
            <w:pPr>
              <w:spacing w:after="0"/>
              <w:rPr>
                <w:sz w:val="20"/>
                <w:szCs w:val="20"/>
                <w:color w:val="auto"/>
              </w:rPr>
            </w:pPr>
          </w:p>
        </w:tc>
      </w:tr>
      <w:tr>
        <w:trPr>
          <w:trHeight w:val="216"/>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Contractual servicing fees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241,944</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233,218</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498,606</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643,618</w:t>
            </w:r>
          </w:p>
        </w:tc>
        <w:tc>
          <w:tcPr>
            <w:tcW w:w="80" w:type="dxa"/>
            <w:vAlign w:val="bottom"/>
            <w:shd w:val="clear" w:color="auto" w:fill="CCEEFF"/>
          </w:tcPr>
          <w:p>
            <w:pPr>
              <w:spacing w:after="0"/>
              <w:rPr>
                <w:sz w:val="18"/>
                <w:szCs w:val="18"/>
                <w:color w:val="auto"/>
              </w:rPr>
            </w:pPr>
          </w:p>
        </w:tc>
      </w:tr>
      <w:tr>
        <w:trPr>
          <w:trHeight w:val="237"/>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Late fees</w:t>
            </w:r>
          </w:p>
        </w:tc>
        <w:tc>
          <w:tcPr>
            <w:tcW w:w="240" w:type="dxa"/>
            <w:vAlign w:val="bottom"/>
          </w:tcPr>
          <w:p>
            <w:pPr>
              <w:spacing w:after="0"/>
              <w:rPr>
                <w:sz w:val="20"/>
                <w:szCs w:val="20"/>
                <w:color w:val="auto"/>
              </w:rPr>
            </w:pP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53,004</w:t>
            </w:r>
          </w:p>
        </w:tc>
        <w:tc>
          <w:tcPr>
            <w:tcW w:w="280" w:type="dxa"/>
            <w:vAlign w:val="bottom"/>
          </w:tcPr>
          <w:p>
            <w:pPr>
              <w:spacing w:after="0"/>
              <w:rPr>
                <w:sz w:val="20"/>
                <w:szCs w:val="20"/>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14,008</w:t>
            </w:r>
          </w:p>
        </w:tc>
        <w:tc>
          <w:tcPr>
            <w:tcW w:w="260" w:type="dxa"/>
            <w:vAlign w:val="bottom"/>
          </w:tcPr>
          <w:p>
            <w:pPr>
              <w:spacing w:after="0"/>
              <w:rPr>
                <w:sz w:val="20"/>
                <w:szCs w:val="20"/>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76,212</w:t>
            </w:r>
          </w:p>
        </w:tc>
        <w:tc>
          <w:tcPr>
            <w:tcW w:w="280" w:type="dxa"/>
            <w:vAlign w:val="bottom"/>
          </w:tcPr>
          <w:p>
            <w:pPr>
              <w:spacing w:after="0"/>
              <w:rPr>
                <w:sz w:val="20"/>
                <w:szCs w:val="20"/>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63,321</w:t>
            </w:r>
          </w:p>
        </w:tc>
      </w:tr>
      <w:tr>
        <w:trPr>
          <w:trHeight w:val="229"/>
        </w:trPr>
        <w:tc>
          <w:tcPr>
            <w:tcW w:w="34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294,948</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247,226</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574,818</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706,939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the unpaid principal balances (“UPB”) of the servicing portfolio.</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9"/>
              </w:rPr>
              <w:t>As of June 30,</w:t>
            </w:r>
          </w:p>
        </w:tc>
        <w:tc>
          <w:tcPr>
            <w:tcW w:w="100" w:type="dxa"/>
            <w:vAlign w:val="bottom"/>
          </w:tcPr>
          <w:p>
            <w:pPr>
              <w:spacing w:after="0"/>
              <w:rPr>
                <w:sz w:val="18"/>
                <w:szCs w:val="18"/>
                <w:color w:val="auto"/>
              </w:rPr>
            </w:pPr>
          </w:p>
        </w:tc>
        <w:tc>
          <w:tcPr>
            <w:tcW w:w="16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As of December 31,</w:t>
            </w:r>
          </w:p>
        </w:tc>
      </w:tr>
      <w:tr>
        <w:trPr>
          <w:trHeight w:val="241"/>
        </w:trPr>
        <w:tc>
          <w:tcPr>
            <w:tcW w:w="42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2023</w:t>
            </w:r>
          </w:p>
        </w:tc>
        <w:tc>
          <w:tcPr>
            <w:tcW w:w="60" w:type="dxa"/>
            <w:vAlign w:val="bottom"/>
            <w:tcBorders>
              <w:bottom w:val="single" w:sz="8" w:color="CCEEFF"/>
            </w:tcBorders>
          </w:tcPr>
          <w:p>
            <w:pPr>
              <w:spacing w:after="0"/>
              <w:rPr>
                <w:sz w:val="20"/>
                <w:szCs w:val="20"/>
                <w:color w:val="auto"/>
              </w:rPr>
            </w:pPr>
          </w:p>
        </w:tc>
      </w:tr>
      <w:tr>
        <w:trPr>
          <w:trHeight w:val="216"/>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Servicing UPB</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396,558,128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414,147,436</w:t>
            </w:r>
          </w:p>
        </w:tc>
        <w:tc>
          <w:tcPr>
            <w:tcW w:w="6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key assumptions were used in determining MSR value: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8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Prepayment</w:t>
            </w:r>
          </w:p>
        </w:tc>
        <w:tc>
          <w:tcPr>
            <w:tcW w:w="14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Average</w:t>
            </w:r>
          </w:p>
        </w:tc>
        <w:tc>
          <w:tcPr>
            <w:tcW w:w="12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Discount</w:t>
            </w:r>
          </w:p>
        </w:tc>
        <w:tc>
          <w:tcPr>
            <w:tcW w:w="3380" w:type="dxa"/>
            <w:vAlign w:val="bottom"/>
          </w:tcPr>
          <w:p>
            <w:pPr>
              <w:spacing w:after="0"/>
              <w:rPr>
                <w:sz w:val="18"/>
                <w:szCs w:val="18"/>
                <w:color w:val="auto"/>
              </w:rPr>
            </w:pPr>
          </w:p>
        </w:tc>
      </w:tr>
      <w:tr>
        <w:trPr>
          <w:trHeight w:val="241"/>
        </w:trPr>
        <w:tc>
          <w:tcPr>
            <w:tcW w:w="3780" w:type="dxa"/>
            <w:vAlign w:val="bottom"/>
          </w:tcPr>
          <w:p>
            <w:pPr>
              <w:spacing w:after="0"/>
              <w:rPr>
                <w:sz w:val="20"/>
                <w:szCs w:val="20"/>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Speeds</w:t>
            </w:r>
          </w:p>
        </w:tc>
        <w:tc>
          <w:tcPr>
            <w:tcW w:w="14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Life (Years)</w:t>
            </w:r>
          </w:p>
        </w:tc>
        <w:tc>
          <w:tcPr>
            <w:tcW w:w="12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Rate</w:t>
            </w:r>
          </w:p>
        </w:tc>
        <w:tc>
          <w:tcPr>
            <w:tcW w:w="3380" w:type="dxa"/>
            <w:vAlign w:val="bottom"/>
          </w:tcPr>
          <w:p>
            <w:pPr>
              <w:spacing w:after="0"/>
              <w:rPr>
                <w:sz w:val="20"/>
                <w:szCs w:val="20"/>
                <w:color w:val="auto"/>
              </w:rPr>
            </w:pPr>
          </w:p>
        </w:tc>
      </w:tr>
      <w:tr>
        <w:trPr>
          <w:trHeight w:val="216"/>
        </w:trPr>
        <w:tc>
          <w:tcPr>
            <w:tcW w:w="3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30, 2024</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24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w w:val="88"/>
              </w:rPr>
              <w:t>8.12</w:t>
            </w:r>
          </w:p>
        </w:tc>
        <w:tc>
          <w:tcPr>
            <w:tcW w:w="2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w:t>
            </w:r>
          </w:p>
        </w:tc>
        <w:tc>
          <w:tcPr>
            <w:tcW w:w="3380" w:type="dxa"/>
            <w:vAlign w:val="bottom"/>
          </w:tcPr>
          <w:p>
            <w:pPr>
              <w:spacing w:after="0"/>
              <w:rPr>
                <w:sz w:val="18"/>
                <w:szCs w:val="18"/>
                <w:color w:val="auto"/>
              </w:rPr>
            </w:pPr>
          </w:p>
        </w:tc>
      </w:tr>
      <w:tr>
        <w:trPr>
          <w:trHeight w:val="234"/>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2023</w:t>
            </w:r>
          </w:p>
        </w:tc>
        <w:tc>
          <w:tcPr>
            <w:tcW w:w="1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9.70</w:t>
            </w:r>
          </w:p>
        </w:tc>
        <w:tc>
          <w:tcPr>
            <w:tcW w:w="14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7.79</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11.85</w:t>
            </w:r>
          </w:p>
        </w:tc>
        <w:tc>
          <w:tcPr>
            <w:tcW w:w="3380" w:type="dxa"/>
            <w:vAlign w:val="bottom"/>
          </w:tcPr>
          <w:p>
            <w:pPr>
              <w:spacing w:after="0"/>
              <w:rPr>
                <w:sz w:val="20"/>
                <w:szCs w:val="20"/>
                <w:color w:val="auto"/>
              </w:rPr>
            </w:pPr>
          </w:p>
        </w:tc>
      </w:tr>
      <w:tr>
        <w:trPr>
          <w:trHeight w:val="421"/>
        </w:trPr>
        <w:tc>
          <w:tcPr>
            <w:tcW w:w="37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55</w:t>
            </w: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1" w:right="339" w:bottom="1440" w:gutter="0" w:footer="0" w:header="0"/>
        </w:sectPr>
      </w:pPr>
    </w:p>
    <w:bookmarkStart w:id="58" w:name="page59"/>
    <w:bookmarkEnd w:id="58"/>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June 30, 2024 (Unaudited)</w:t>
      </w:r>
    </w:p>
    <w:p>
      <w:pPr>
        <w:spacing w:after="0" w:line="176" w:lineRule="exact"/>
        <w:rPr>
          <w:sz w:val="20"/>
          <w:szCs w:val="20"/>
          <w:color w:val="auto"/>
        </w:rPr>
      </w:pPr>
    </w:p>
    <w:p>
      <w:pPr>
        <w:ind w:left="300" w:hanging="292"/>
        <w:spacing w:after="0"/>
        <w:tabs>
          <w:tab w:leader="none" w:pos="3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Income Taxes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overall effective tax rate for the three month periods ended June 30, 2024 and 2023 was 22.6% and 22.0%, respectively, which resulted in a provision for income taxes of $2,118,044 and $1,796,627, respectively, and for the six month periods ended June 30, 2024 and 2023 was 22.4% and 22.0%, respectively, which resulted in a provision for income taxes of $4,262,833 and $2,141,343, respectively. The Company’s effective tax rate is higher than the U.S. federal statutory rate of 21% due to, among other factors, state income taxes as offset by certain state income tax benefits, along with certain permanent tax adjustments such as meals and entertainment and stock-based compensation. The increase in the effective tax rate when compared to the prior year was primarily due to the Company’s state income tax provision.</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Interim income taxes are based on an estimated annualized effective tax rate applied to the respective quarterly periods, adjusted for discrete tax items in the period in which they occur. Although the Company believes its tax estimates are reasonable, the Company can make no assurance that the final tax outcome of these matters will not be different from that which it has reflected in its historical income tax provisions and accruals.</w:t>
      </w:r>
    </w:p>
    <w:p>
      <w:pPr>
        <w:spacing w:after="0" w:line="176" w:lineRule="exact"/>
        <w:rPr>
          <w:sz w:val="20"/>
          <w:szCs w:val="20"/>
          <w:color w:val="auto"/>
        </w:rPr>
      </w:pPr>
    </w:p>
    <w:p>
      <w:pPr>
        <w:ind w:left="300" w:hanging="292"/>
        <w:spacing w:after="0"/>
        <w:tabs>
          <w:tab w:leader="none" w:pos="3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Revenues from Contracts with Customers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Company reports revenues from contracts with customers pursuant to ASC No.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about Performance Obligations and Contract Balances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cemetery and mortuary segment sells a variety of goods and services to customers in both at-need and pre-need situations. Due to the timing of the fulfillment of the obligation, revenue is deferred until that obligation is fulfilled.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three types of future obligations are as follows:</w:t>
      </w:r>
    </w:p>
    <w:p>
      <w:pPr>
        <w:spacing w:after="0" w:line="22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Pre-need Merchandise and Service Revenue</w:t>
      </w:r>
      <w:r>
        <w:rPr>
          <w:rFonts w:ascii="Times New Roman" w:cs="Times New Roman" w:eastAsia="Times New Roman" w:hAnsi="Times New Roman"/>
          <w:sz w:val="18"/>
          <w:szCs w:val="18"/>
          <w:color w:val="auto"/>
        </w:rPr>
        <w:t>: All pre-need merchandise and service revenue is deferred, and the funds are placed in trust until the need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arises, the merchandise is received, or the service is performed. The trust is then relieved, and the revenue and commissions are recognized.</w:t>
      </w:r>
    </w:p>
    <w:p>
      <w:pPr>
        <w:spacing w:after="0" w:line="15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At-need Specialty Merchandise Revenue</w:t>
      </w:r>
      <w:r>
        <w:rPr>
          <w:rFonts w:ascii="Times New Roman" w:cs="Times New Roman" w:eastAsia="Times New Roman" w:hAnsi="Times New Roman"/>
          <w:sz w:val="18"/>
          <w:szCs w:val="18"/>
          <w:color w:val="auto"/>
        </w:rPr>
        <w:t>: At-need specialty merchandise revenue consists of customizable merchandise ordered from a manufacturer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markers and bases. When specialty merchandise is ordered, it can take time to manufacture and deliver the product. Revenue is deferred until the at-need merchandise is received.</w:t>
      </w:r>
    </w:p>
    <w:p>
      <w:pPr>
        <w:spacing w:after="0" w:line="173"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Deferred Pre-need Land Revenue</w:t>
      </w:r>
      <w:r>
        <w:rPr>
          <w:rFonts w:ascii="Times New Roman" w:cs="Times New Roman" w:eastAsia="Times New Roman" w:hAnsi="Times New Roman"/>
          <w:sz w:val="18"/>
          <w:szCs w:val="18"/>
          <w:color w:val="auto"/>
        </w:rPr>
        <w:t>: Deferred pre-need revenue and corresponding commissions are deferred until 10% of the funds are received from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customer through regular monthly payments. Deferred pre-need land revenue is not placed in trust.</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Complete payment of the contract does not constitute fulfillment of the performance obligation. Goods or services are deferred until such a time the service is performed or merchandise is received. Pre-need contracts are required to be paid in full prior to a customer using a good or service from a pre-need contract. Goods and services from pre-need contracts can be transferred when paid in full from one owner to another. In such cases, the Company will act as an agent in transferring the requested goods and services. The transfer of goods and services does not fulfill an obligation and revenue remains deferred.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9" w:name="page60"/>
    <w:bookmarkEnd w:id="59"/>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June 30, 2024 (Unaudited)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 Revenues from Contracts with Customers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opening and closing balances of the Company’s receivables, contract assets and contract liabilities are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3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Contract Balances</w:t>
            </w:r>
          </w:p>
        </w:tc>
        <w:tc>
          <w:tcPr>
            <w:tcW w:w="1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37"/>
        </w:trPr>
        <w:tc>
          <w:tcPr>
            <w:tcW w:w="4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Receivables (1)</w:t>
            </w:r>
          </w:p>
        </w:tc>
        <w:tc>
          <w:tcPr>
            <w:tcW w:w="120" w:type="dxa"/>
            <w:vAlign w:val="bottom"/>
          </w:tcPr>
          <w:p>
            <w:pPr>
              <w:spacing w:after="0"/>
              <w:rPr>
                <w:sz w:val="20"/>
                <w:szCs w:val="20"/>
                <w:color w:val="auto"/>
              </w:rPr>
            </w:pPr>
          </w:p>
        </w:tc>
        <w:tc>
          <w:tcPr>
            <w:tcW w:w="1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Contract Asset</w:t>
            </w:r>
          </w:p>
        </w:tc>
        <w:tc>
          <w:tcPr>
            <w:tcW w:w="140" w:type="dxa"/>
            <w:vAlign w:val="bottom"/>
          </w:tcPr>
          <w:p>
            <w:pPr>
              <w:spacing w:after="0"/>
              <w:rPr>
                <w:sz w:val="20"/>
                <w:szCs w:val="20"/>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Contract Liability</w:t>
            </w:r>
          </w:p>
        </w:tc>
        <w:tc>
          <w:tcPr>
            <w:tcW w:w="80" w:type="dxa"/>
            <w:vAlign w:val="bottom"/>
          </w:tcPr>
          <w:p>
            <w:pPr>
              <w:spacing w:after="0"/>
              <w:rPr>
                <w:sz w:val="20"/>
                <w:szCs w:val="20"/>
                <w:color w:val="auto"/>
              </w:rPr>
            </w:pPr>
          </w:p>
        </w:tc>
      </w:tr>
      <w:tr>
        <w:trPr>
          <w:trHeight w:val="216"/>
        </w:trPr>
        <w:tc>
          <w:tcPr>
            <w:tcW w:w="4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Opening (January 1, 2024)</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6,321,573</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18,237,246</w:t>
            </w:r>
          </w:p>
        </w:tc>
        <w:tc>
          <w:tcPr>
            <w:tcW w:w="80" w:type="dxa"/>
            <w:vAlign w:val="bottom"/>
            <w:tcBorders>
              <w:top w:val="single" w:sz="8" w:color="CCEEFF"/>
            </w:tcBorders>
            <w:shd w:val="clear" w:color="auto" w:fill="CCEEFF"/>
          </w:tcPr>
          <w:p>
            <w:pPr>
              <w:spacing w:after="0"/>
              <w:rPr>
                <w:sz w:val="18"/>
                <w:szCs w:val="18"/>
                <w:color w:val="auto"/>
              </w:rPr>
            </w:pPr>
          </w:p>
        </w:tc>
      </w:tr>
      <w:tr>
        <w:trPr>
          <w:trHeight w:val="237"/>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Closing (June 30, 2024)</w:t>
            </w:r>
          </w:p>
        </w:tc>
        <w:tc>
          <w:tcPr>
            <w:tcW w:w="120" w:type="dxa"/>
            <w:vAlign w:val="bottom"/>
          </w:tcPr>
          <w:p>
            <w:pPr>
              <w:spacing w:after="0"/>
              <w:rPr>
                <w:sz w:val="20"/>
                <w:szCs w:val="20"/>
                <w:color w:val="auto"/>
              </w:rPr>
            </w:pP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6,784,501</w:t>
            </w:r>
          </w:p>
        </w:tc>
        <w:tc>
          <w:tcPr>
            <w:tcW w:w="120" w:type="dxa"/>
            <w:vAlign w:val="bottom"/>
          </w:tcPr>
          <w:p>
            <w:pPr>
              <w:spacing w:after="0"/>
              <w:rPr>
                <w:sz w:val="20"/>
                <w:szCs w:val="20"/>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18,917,596</w:t>
            </w:r>
          </w:p>
        </w:tc>
      </w:tr>
      <w:tr>
        <w:trPr>
          <w:trHeight w:val="229"/>
        </w:trPr>
        <w:tc>
          <w:tcPr>
            <w:tcW w:w="4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Increase/(decrease)</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462,928</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680,350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60"/>
        </w:trPr>
        <w:tc>
          <w:tcPr>
            <w:tcW w:w="43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Contract Balances</w:t>
            </w:r>
          </w:p>
        </w:tc>
        <w:tc>
          <w:tcPr>
            <w:tcW w:w="1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37"/>
        </w:trPr>
        <w:tc>
          <w:tcPr>
            <w:tcW w:w="4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Receivables (1)</w:t>
            </w:r>
          </w:p>
        </w:tc>
        <w:tc>
          <w:tcPr>
            <w:tcW w:w="120" w:type="dxa"/>
            <w:vAlign w:val="bottom"/>
          </w:tcPr>
          <w:p>
            <w:pPr>
              <w:spacing w:after="0"/>
              <w:rPr>
                <w:sz w:val="20"/>
                <w:szCs w:val="20"/>
                <w:color w:val="auto"/>
              </w:rPr>
            </w:pPr>
          </w:p>
        </w:tc>
        <w:tc>
          <w:tcPr>
            <w:tcW w:w="1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Contract Asset</w:t>
            </w:r>
          </w:p>
        </w:tc>
        <w:tc>
          <w:tcPr>
            <w:tcW w:w="140" w:type="dxa"/>
            <w:vAlign w:val="bottom"/>
          </w:tcPr>
          <w:p>
            <w:pPr>
              <w:spacing w:after="0"/>
              <w:rPr>
                <w:sz w:val="20"/>
                <w:szCs w:val="20"/>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Contract Liability</w:t>
            </w:r>
          </w:p>
        </w:tc>
        <w:tc>
          <w:tcPr>
            <w:tcW w:w="80" w:type="dxa"/>
            <w:vAlign w:val="bottom"/>
          </w:tcPr>
          <w:p>
            <w:pPr>
              <w:spacing w:after="0"/>
              <w:rPr>
                <w:sz w:val="20"/>
                <w:szCs w:val="20"/>
                <w:color w:val="auto"/>
              </w:rPr>
            </w:pPr>
          </w:p>
        </w:tc>
      </w:tr>
      <w:tr>
        <w:trPr>
          <w:trHeight w:val="216"/>
        </w:trPr>
        <w:tc>
          <w:tcPr>
            <w:tcW w:w="4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Opening (January 1, 2023)</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5,392,779</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16,226,836</w:t>
            </w:r>
          </w:p>
        </w:tc>
        <w:tc>
          <w:tcPr>
            <w:tcW w:w="80" w:type="dxa"/>
            <w:vAlign w:val="bottom"/>
            <w:tcBorders>
              <w:top w:val="single" w:sz="8" w:color="CCEEFF"/>
            </w:tcBorders>
            <w:shd w:val="clear" w:color="auto" w:fill="CCEEFF"/>
          </w:tcPr>
          <w:p>
            <w:pPr>
              <w:spacing w:after="0"/>
              <w:rPr>
                <w:sz w:val="18"/>
                <w:szCs w:val="18"/>
                <w:color w:val="auto"/>
              </w:rPr>
            </w:pPr>
          </w:p>
        </w:tc>
      </w:tr>
      <w:tr>
        <w:trPr>
          <w:trHeight w:val="237"/>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Closing (December 31, 2023)</w:t>
            </w:r>
          </w:p>
        </w:tc>
        <w:tc>
          <w:tcPr>
            <w:tcW w:w="120" w:type="dxa"/>
            <w:vAlign w:val="bottom"/>
          </w:tcPr>
          <w:p>
            <w:pPr>
              <w:spacing w:after="0"/>
              <w:rPr>
                <w:sz w:val="20"/>
                <w:szCs w:val="20"/>
                <w:color w:val="auto"/>
              </w:rPr>
            </w:pP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6,321,573</w:t>
            </w:r>
          </w:p>
        </w:tc>
        <w:tc>
          <w:tcPr>
            <w:tcW w:w="120" w:type="dxa"/>
            <w:vAlign w:val="bottom"/>
          </w:tcPr>
          <w:p>
            <w:pPr>
              <w:spacing w:after="0"/>
              <w:rPr>
                <w:sz w:val="20"/>
                <w:szCs w:val="20"/>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18,237,246</w:t>
            </w:r>
          </w:p>
        </w:tc>
      </w:tr>
      <w:tr>
        <w:trPr>
          <w:trHeight w:val="229"/>
        </w:trPr>
        <w:tc>
          <w:tcPr>
            <w:tcW w:w="4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Increase/(decrease)</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928,794</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2,010,410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(1) Included in Receivables, net on the condensed consolidated balance sheets</w:t>
      </w:r>
    </w:p>
    <w:p>
      <w:pPr>
        <w:spacing w:after="0" w:line="33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amount of revenue recognized and included in the opening contract liability balance for the three month periods ended June 30, 2024 and 2023 was $1,429,381 and $1,116,566, respectively, and for the six month periods ended June 30, 2024 and 2023 was $2,935,495 and $2,236,898, respectively.</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difference between the opening and closing balances of the Company’s contract assets and contract liabilities primarily results from the timing difference between the Company’s performance and the customer’s payment.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Disaggregation of Revenue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disaggregates revenue for the Company’s cemetery and mortuary contracts: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20" w:type="dxa"/>
            <w:vAlign w:val="bottom"/>
            <w:gridSpan w:val="6"/>
          </w:tcPr>
          <w:p>
            <w:pPr>
              <w:ind w:left="200"/>
              <w:spacing w:after="0"/>
              <w:rPr>
                <w:sz w:val="20"/>
                <w:szCs w:val="20"/>
                <w:color w:val="auto"/>
              </w:rPr>
            </w:pPr>
            <w:r>
              <w:rPr>
                <w:rFonts w:ascii="Times New Roman" w:cs="Times New Roman" w:eastAsia="Times New Roman" w:hAnsi="Times New Roman"/>
                <w:sz w:val="18"/>
                <w:szCs w:val="18"/>
                <w:color w:val="auto"/>
              </w:rPr>
              <w:t>Three Months Ended</w:t>
            </w:r>
          </w:p>
        </w:tc>
        <w:tc>
          <w:tcPr>
            <w:tcW w:w="120" w:type="dxa"/>
            <w:vAlign w:val="bottom"/>
          </w:tcPr>
          <w:p>
            <w:pPr>
              <w:spacing w:after="0"/>
              <w:rPr>
                <w:sz w:val="18"/>
                <w:szCs w:val="18"/>
                <w:color w:val="auto"/>
              </w:rPr>
            </w:pPr>
          </w:p>
        </w:tc>
        <w:tc>
          <w:tcPr>
            <w:tcW w:w="2260" w:type="dxa"/>
            <w:vAlign w:val="bottom"/>
            <w:gridSpan w:val="5"/>
          </w:tcPr>
          <w:p>
            <w:pPr>
              <w:jc w:val="right"/>
              <w:ind w:right="580"/>
              <w:spacing w:after="0"/>
              <w:rPr>
                <w:sz w:val="20"/>
                <w:szCs w:val="20"/>
                <w:color w:val="auto"/>
              </w:rPr>
            </w:pPr>
            <w:r>
              <w:rPr>
                <w:rFonts w:ascii="Times New Roman" w:cs="Times New Roman" w:eastAsia="Times New Roman" w:hAnsi="Times New Roman"/>
                <w:sz w:val="18"/>
                <w:szCs w:val="18"/>
                <w:color w:val="auto"/>
              </w:rPr>
              <w:t>Six Months Ended</w:t>
            </w:r>
          </w:p>
        </w:tc>
        <w:tc>
          <w:tcPr>
            <w:tcW w:w="2260" w:type="dxa"/>
            <w:vAlign w:val="bottom"/>
          </w:tcPr>
          <w:p>
            <w:pPr>
              <w:spacing w:after="0"/>
              <w:rPr>
                <w:sz w:val="18"/>
                <w:szCs w:val="18"/>
                <w:color w:val="auto"/>
              </w:rPr>
            </w:pPr>
          </w:p>
        </w:tc>
      </w:tr>
      <w:tr>
        <w:trPr>
          <w:trHeight w:val="241"/>
        </w:trPr>
        <w:tc>
          <w:tcPr>
            <w:tcW w:w="18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June 30,</w:t>
            </w:r>
          </w:p>
        </w:tc>
        <w:tc>
          <w:tcPr>
            <w:tcW w:w="80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June 30,</w:t>
            </w:r>
          </w:p>
        </w:tc>
        <w:tc>
          <w:tcPr>
            <w:tcW w:w="8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260" w:type="dxa"/>
            <w:vAlign w:val="bottom"/>
          </w:tcPr>
          <w:p>
            <w:pPr>
              <w:spacing w:after="0"/>
              <w:rPr>
                <w:sz w:val="20"/>
                <w:szCs w:val="20"/>
                <w:color w:val="auto"/>
              </w:rPr>
            </w:pPr>
          </w:p>
        </w:tc>
      </w:tr>
      <w:tr>
        <w:trPr>
          <w:trHeight w:val="236"/>
        </w:trPr>
        <w:tc>
          <w:tcPr>
            <w:tcW w:w="1860" w:type="dxa"/>
            <w:vAlign w:val="bottom"/>
            <w:tcBorders>
              <w:bottom w:val="single" w:sz="8" w:color="CCEEFF"/>
            </w:tcBorders>
          </w:tcPr>
          <w:p>
            <w:pPr>
              <w:spacing w:after="0"/>
              <w:rPr>
                <w:sz w:val="20"/>
                <w:szCs w:val="20"/>
                <w:color w:val="auto"/>
              </w:rPr>
            </w:pPr>
          </w:p>
        </w:tc>
        <w:tc>
          <w:tcPr>
            <w:tcW w:w="460" w:type="dxa"/>
            <w:vAlign w:val="bottom"/>
            <w:tcBorders>
              <w:bottom w:val="single" w:sz="8" w:color="CCEEFF"/>
            </w:tcBorders>
          </w:tcPr>
          <w:p>
            <w:pPr>
              <w:spacing w:after="0"/>
              <w:rPr>
                <w:sz w:val="20"/>
                <w:szCs w:val="20"/>
                <w:color w:val="auto"/>
              </w:rPr>
            </w:pPr>
          </w:p>
        </w:tc>
        <w:tc>
          <w:tcPr>
            <w:tcW w:w="980" w:type="dxa"/>
            <w:vAlign w:val="bottom"/>
            <w:tcBorders>
              <w:bottom w:val="single" w:sz="8" w:color="CCEEFF"/>
            </w:tcBorders>
          </w:tcPr>
          <w:p>
            <w:pPr>
              <w:spacing w:after="0"/>
              <w:rPr>
                <w:sz w:val="20"/>
                <w:szCs w:val="20"/>
                <w:color w:val="auto"/>
              </w:rPr>
            </w:pPr>
          </w:p>
        </w:tc>
        <w:tc>
          <w:tcPr>
            <w:tcW w:w="5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2024</w:t>
            </w:r>
          </w:p>
        </w:tc>
        <w:tc>
          <w:tcPr>
            <w:tcW w:w="18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2023</w:t>
            </w:r>
          </w:p>
        </w:tc>
        <w:tc>
          <w:tcPr>
            <w:tcW w:w="3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2024</w:t>
            </w:r>
          </w:p>
        </w:tc>
        <w:tc>
          <w:tcPr>
            <w:tcW w:w="3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2023</w:t>
            </w:r>
          </w:p>
        </w:tc>
        <w:tc>
          <w:tcPr>
            <w:tcW w:w="80" w:type="dxa"/>
            <w:vAlign w:val="bottom"/>
            <w:tcBorders>
              <w:bottom w:val="single" w:sz="8" w:color="CCEEFF"/>
            </w:tcBorders>
          </w:tcPr>
          <w:p>
            <w:pPr>
              <w:spacing w:after="0"/>
              <w:rPr>
                <w:sz w:val="20"/>
                <w:szCs w:val="20"/>
                <w:color w:val="auto"/>
              </w:rPr>
            </w:pPr>
          </w:p>
        </w:tc>
        <w:tc>
          <w:tcPr>
            <w:tcW w:w="2260" w:type="dxa"/>
            <w:vAlign w:val="bottom"/>
          </w:tcPr>
          <w:p>
            <w:pPr>
              <w:spacing w:after="0"/>
              <w:rPr>
                <w:sz w:val="20"/>
                <w:szCs w:val="20"/>
                <w:color w:val="auto"/>
              </w:rPr>
            </w:pPr>
          </w:p>
        </w:tc>
      </w:tr>
      <w:tr>
        <w:trPr>
          <w:trHeight w:val="196"/>
        </w:trPr>
        <w:tc>
          <w:tcPr>
            <w:tcW w:w="330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Major goods/service lines</w:t>
            </w: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60" w:type="dxa"/>
            <w:vAlign w:val="bottom"/>
          </w:tcPr>
          <w:p>
            <w:pPr>
              <w:spacing w:after="0"/>
              <w:rPr>
                <w:sz w:val="17"/>
                <w:szCs w:val="17"/>
                <w:color w:val="auto"/>
              </w:rPr>
            </w:pPr>
          </w:p>
        </w:tc>
      </w:tr>
      <w:tr>
        <w:trPr>
          <w:trHeight w:val="216"/>
        </w:trPr>
        <w:tc>
          <w:tcPr>
            <w:tcW w:w="18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At-need</w:t>
            </w:r>
          </w:p>
        </w:tc>
        <w:tc>
          <w:tcPr>
            <w:tcW w:w="1440" w:type="dxa"/>
            <w:vAlign w:val="bottom"/>
            <w:tcBorders>
              <w:top w:val="single" w:sz="8" w:color="CCEEFF"/>
            </w:tcBorders>
            <w:gridSpan w:val="2"/>
          </w:tcPr>
          <w:p>
            <w:pPr>
              <w:spacing w:after="0"/>
              <w:rPr>
                <w:sz w:val="18"/>
                <w:szCs w:val="18"/>
                <w:color w:val="auto"/>
              </w:rPr>
            </w:pPr>
          </w:p>
        </w:tc>
        <w:tc>
          <w:tcPr>
            <w:tcW w:w="780" w:type="dxa"/>
            <w:vAlign w:val="bottom"/>
            <w:tcBorders>
              <w:top w:val="single" w:sz="8" w:color="CCEEFF"/>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CCEEFF"/>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4,864,380</w:t>
            </w:r>
          </w:p>
        </w:tc>
        <w:tc>
          <w:tcPr>
            <w:tcW w:w="380" w:type="dxa"/>
            <w:vAlign w:val="bottom"/>
            <w:tcBorders>
              <w:top w:val="single" w:sz="8" w:color="CCEEFF"/>
            </w:tcBorders>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CCEEFF"/>
            </w:tcBorders>
            <w:gridSpan w:val="2"/>
          </w:tcPr>
          <w:p>
            <w:pPr>
              <w:ind w:left="80"/>
              <w:spacing w:after="0"/>
              <w:rPr>
                <w:sz w:val="20"/>
                <w:szCs w:val="20"/>
                <w:color w:val="auto"/>
              </w:rPr>
            </w:pPr>
            <w:r>
              <w:rPr>
                <w:rFonts w:ascii="Times New Roman" w:cs="Times New Roman" w:eastAsia="Times New Roman" w:hAnsi="Times New Roman"/>
                <w:sz w:val="18"/>
                <w:szCs w:val="18"/>
                <w:color w:val="auto"/>
              </w:rPr>
              <w:t>4,999,450</w:t>
            </w:r>
          </w:p>
        </w:tc>
        <w:tc>
          <w:tcPr>
            <w:tcW w:w="1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CCEEFF"/>
            </w:tcBorders>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10,274,680</w:t>
            </w:r>
          </w:p>
        </w:tc>
        <w:tc>
          <w:tcPr>
            <w:tcW w:w="1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CCEEFF"/>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8"/>
              </w:rPr>
              <w:t>10,153,486</w:t>
            </w:r>
          </w:p>
        </w:tc>
        <w:tc>
          <w:tcPr>
            <w:tcW w:w="2260" w:type="dxa"/>
            <w:vAlign w:val="bottom"/>
          </w:tcPr>
          <w:p>
            <w:pPr>
              <w:spacing w:after="0"/>
              <w:rPr>
                <w:sz w:val="18"/>
                <w:szCs w:val="18"/>
                <w:color w:val="auto"/>
              </w:rPr>
            </w:pPr>
          </w:p>
        </w:tc>
      </w:tr>
      <w:tr>
        <w:trPr>
          <w:trHeight w:val="250"/>
        </w:trPr>
        <w:tc>
          <w:tcPr>
            <w:tcW w:w="33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Pre-need</w:t>
            </w:r>
          </w:p>
        </w:tc>
        <w:tc>
          <w:tcPr>
            <w:tcW w:w="5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2,904,567</w:t>
            </w:r>
          </w:p>
        </w:tc>
        <w:tc>
          <w:tcPr>
            <w:tcW w:w="1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2,169,264</w:t>
            </w:r>
          </w:p>
        </w:tc>
        <w:tc>
          <w:tcPr>
            <w:tcW w:w="1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4,442,758</w:t>
            </w:r>
          </w:p>
        </w:tc>
        <w:tc>
          <w:tcPr>
            <w:tcW w:w="16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3,486,657</w:t>
            </w:r>
          </w:p>
        </w:tc>
        <w:tc>
          <w:tcPr>
            <w:tcW w:w="2260" w:type="dxa"/>
            <w:vAlign w:val="bottom"/>
          </w:tcPr>
          <w:p>
            <w:pPr>
              <w:spacing w:after="0"/>
              <w:rPr>
                <w:sz w:val="21"/>
                <w:szCs w:val="21"/>
                <w:color w:val="auto"/>
              </w:rPr>
            </w:pPr>
          </w:p>
        </w:tc>
      </w:tr>
      <w:tr>
        <w:trPr>
          <w:trHeight w:val="256"/>
        </w:trPr>
        <w:tc>
          <w:tcPr>
            <w:tcW w:w="1860" w:type="dxa"/>
            <w:vAlign w:val="bottom"/>
            <w:tcBorders>
              <w:top w:val="single" w:sz="8" w:color="CCEEFF"/>
              <w:bottom w:val="single" w:sz="8" w:color="CCEEFF"/>
            </w:tcBorders>
          </w:tcPr>
          <w:p>
            <w:pPr>
              <w:spacing w:after="0"/>
              <w:rPr>
                <w:sz w:val="22"/>
                <w:szCs w:val="22"/>
                <w:color w:val="auto"/>
              </w:rPr>
            </w:pPr>
          </w:p>
        </w:tc>
        <w:tc>
          <w:tcPr>
            <w:tcW w:w="460" w:type="dxa"/>
            <w:vAlign w:val="bottom"/>
            <w:tcBorders>
              <w:top w:val="single" w:sz="8" w:color="CCEEFF"/>
              <w:bottom w:val="single" w:sz="8" w:color="CCEEFF"/>
            </w:tcBorders>
          </w:tcPr>
          <w:p>
            <w:pPr>
              <w:spacing w:after="0"/>
              <w:rPr>
                <w:sz w:val="22"/>
                <w:szCs w:val="22"/>
                <w:color w:val="auto"/>
              </w:rPr>
            </w:pPr>
          </w:p>
        </w:tc>
        <w:tc>
          <w:tcPr>
            <w:tcW w:w="980" w:type="dxa"/>
            <w:vAlign w:val="bottom"/>
            <w:tcBorders>
              <w:top w:val="single" w:sz="8" w:color="CCEEFF"/>
              <w:bottom w:val="single" w:sz="8" w:color="CCEEFF"/>
            </w:tcBorders>
          </w:tcPr>
          <w:p>
            <w:pPr>
              <w:spacing w:after="0"/>
              <w:rPr>
                <w:sz w:val="22"/>
                <w:szCs w:val="22"/>
                <w:color w:val="auto"/>
              </w:rPr>
            </w:pPr>
          </w:p>
        </w:tc>
        <w:tc>
          <w:tcPr>
            <w:tcW w:w="580" w:type="dxa"/>
            <w:vAlign w:val="bottom"/>
            <w:tcBorders>
              <w:top w:val="single" w:sz="8" w:color="CCEEFF"/>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7,768,947</w:t>
            </w:r>
          </w:p>
        </w:tc>
        <w:tc>
          <w:tcPr>
            <w:tcW w:w="180" w:type="dxa"/>
            <w:vAlign w:val="bottom"/>
            <w:tcBorders>
              <w:top w:val="single" w:sz="8" w:color="CCEEFF"/>
              <w:bottom w:val="single" w:sz="8" w:color="CCEEFF"/>
            </w:tcBorders>
          </w:tcPr>
          <w:p>
            <w:pPr>
              <w:spacing w:after="0"/>
              <w:rPr>
                <w:sz w:val="22"/>
                <w:szCs w:val="22"/>
                <w:color w:val="auto"/>
              </w:rPr>
            </w:pPr>
          </w:p>
        </w:tc>
        <w:tc>
          <w:tcPr>
            <w:tcW w:w="180" w:type="dxa"/>
            <w:vAlign w:val="bottom"/>
            <w:tcBorders>
              <w:top w:val="single" w:sz="8" w:color="CCEEFF"/>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w w:val="97"/>
              </w:rPr>
              <w:t>7,168,714</w:t>
            </w:r>
          </w:p>
        </w:tc>
        <w:tc>
          <w:tcPr>
            <w:tcW w:w="340" w:type="dxa"/>
            <w:vAlign w:val="bottom"/>
            <w:tcBorders>
              <w:top w:val="single" w:sz="8" w:color="CCEEFF"/>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14,717,438</w:t>
            </w:r>
          </w:p>
        </w:tc>
        <w:tc>
          <w:tcPr>
            <w:tcW w:w="340" w:type="dxa"/>
            <w:vAlign w:val="bottom"/>
            <w:tcBorders>
              <w:top w:val="single" w:sz="8" w:color="CCEEFF"/>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13,640,143</w:t>
            </w:r>
          </w:p>
        </w:tc>
        <w:tc>
          <w:tcPr>
            <w:tcW w:w="80" w:type="dxa"/>
            <w:vAlign w:val="bottom"/>
            <w:tcBorders>
              <w:top w:val="single" w:sz="8" w:color="CCEEFF"/>
              <w:bottom w:val="single" w:sz="8" w:color="CCEEFF"/>
            </w:tcBorders>
          </w:tcPr>
          <w:p>
            <w:pPr>
              <w:spacing w:after="0"/>
              <w:rPr>
                <w:sz w:val="22"/>
                <w:szCs w:val="22"/>
                <w:color w:val="auto"/>
              </w:rPr>
            </w:pPr>
          </w:p>
        </w:tc>
        <w:tc>
          <w:tcPr>
            <w:tcW w:w="2260" w:type="dxa"/>
            <w:vAlign w:val="bottom"/>
          </w:tcPr>
          <w:p>
            <w:pPr>
              <w:spacing w:after="0"/>
              <w:rPr>
                <w:sz w:val="22"/>
                <w:szCs w:val="22"/>
                <w:color w:val="auto"/>
              </w:rPr>
            </w:pPr>
          </w:p>
        </w:tc>
      </w:tr>
      <w:tr>
        <w:trPr>
          <w:trHeight w:val="197"/>
        </w:trPr>
        <w:tc>
          <w:tcPr>
            <w:tcW w:w="18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60" w:type="dxa"/>
            <w:vAlign w:val="bottom"/>
          </w:tcPr>
          <w:p>
            <w:pPr>
              <w:spacing w:after="0"/>
              <w:rPr>
                <w:sz w:val="17"/>
                <w:szCs w:val="17"/>
                <w:color w:val="auto"/>
              </w:rPr>
            </w:pPr>
          </w:p>
        </w:tc>
      </w:tr>
      <w:tr>
        <w:trPr>
          <w:trHeight w:val="175"/>
        </w:trPr>
        <w:tc>
          <w:tcPr>
            <w:tcW w:w="330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Timing of Revenue Recognition</w:t>
            </w: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60" w:type="dxa"/>
            <w:vAlign w:val="bottom"/>
          </w:tcPr>
          <w:p>
            <w:pPr>
              <w:spacing w:after="0"/>
              <w:rPr>
                <w:sz w:val="15"/>
                <w:szCs w:val="15"/>
                <w:color w:val="auto"/>
              </w:rPr>
            </w:pPr>
          </w:p>
        </w:tc>
      </w:tr>
      <w:tr>
        <w:trPr>
          <w:trHeight w:val="20"/>
        </w:trPr>
        <w:tc>
          <w:tcPr>
            <w:tcW w:w="1860" w:type="dxa"/>
            <w:vAlign w:val="bottom"/>
            <w:tcBorders>
              <w:top w:val="single" w:sz="8" w:color="auto"/>
            </w:tcBorders>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216"/>
        </w:trPr>
        <w:tc>
          <w:tcPr>
            <w:tcW w:w="33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Goods transferred at a point in time</w:t>
            </w:r>
          </w:p>
        </w:tc>
        <w:tc>
          <w:tcPr>
            <w:tcW w:w="7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5,032,430</w:t>
            </w:r>
          </w:p>
        </w:tc>
        <w:tc>
          <w:tcPr>
            <w:tcW w:w="38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4,528,969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9,222,652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8,558,635</w:t>
            </w:r>
          </w:p>
        </w:tc>
        <w:tc>
          <w:tcPr>
            <w:tcW w:w="2260" w:type="dxa"/>
            <w:vAlign w:val="bottom"/>
          </w:tcPr>
          <w:p>
            <w:pPr>
              <w:spacing w:after="0"/>
              <w:rPr>
                <w:sz w:val="18"/>
                <w:szCs w:val="18"/>
                <w:color w:val="auto"/>
              </w:rPr>
            </w:pPr>
          </w:p>
        </w:tc>
      </w:tr>
      <w:tr>
        <w:trPr>
          <w:trHeight w:val="236"/>
        </w:trPr>
        <w:tc>
          <w:tcPr>
            <w:tcW w:w="3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Services transferred at a point in time</w:t>
            </w: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2,736,517</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2,639,745</w:t>
            </w:r>
          </w:p>
        </w:tc>
        <w:tc>
          <w:tcPr>
            <w:tcW w:w="120" w:type="dxa"/>
            <w:vAlign w:val="bottom"/>
          </w:tcPr>
          <w:p>
            <w:pPr>
              <w:spacing w:after="0"/>
              <w:rPr>
                <w:sz w:val="20"/>
                <w:szCs w:val="20"/>
                <w:color w:val="auto"/>
              </w:rPr>
            </w:pP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5,494,786</w:t>
            </w:r>
          </w:p>
        </w:tc>
        <w:tc>
          <w:tcPr>
            <w:tcW w:w="160" w:type="dxa"/>
            <w:vAlign w:val="bottom"/>
          </w:tcPr>
          <w:p>
            <w:pPr>
              <w:spacing w:after="0"/>
              <w:rPr>
                <w:sz w:val="20"/>
                <w:szCs w:val="20"/>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5,081,508</w:t>
            </w:r>
          </w:p>
        </w:tc>
        <w:tc>
          <w:tcPr>
            <w:tcW w:w="2260" w:type="dxa"/>
            <w:vAlign w:val="bottom"/>
          </w:tcPr>
          <w:p>
            <w:pPr>
              <w:spacing w:after="0"/>
              <w:rPr>
                <w:sz w:val="20"/>
                <w:szCs w:val="20"/>
                <w:color w:val="auto"/>
              </w:rPr>
            </w:pPr>
          </w:p>
        </w:tc>
      </w:tr>
      <w:tr>
        <w:trPr>
          <w:trHeight w:val="230"/>
        </w:trPr>
        <w:tc>
          <w:tcPr>
            <w:tcW w:w="186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CCEEFF"/>
              <w:bottom w:val="single" w:sz="8" w:color="CCEEFF"/>
            </w:tcBorders>
            <w:shd w:val="clear" w:color="auto" w:fill="CCEEFF"/>
          </w:tcPr>
          <w:p>
            <w:pPr>
              <w:spacing w:after="0"/>
              <w:rPr>
                <w:sz w:val="19"/>
                <w:szCs w:val="19"/>
                <w:color w:val="auto"/>
              </w:rPr>
            </w:pPr>
          </w:p>
        </w:tc>
        <w:tc>
          <w:tcPr>
            <w:tcW w:w="980" w:type="dxa"/>
            <w:vAlign w:val="bottom"/>
            <w:tcBorders>
              <w:top w:val="single" w:sz="8" w:color="CCEEFF"/>
              <w:bottom w:val="single" w:sz="8" w:color="CCEEFF"/>
            </w:tcBorders>
            <w:shd w:val="clear" w:color="auto" w:fill="CCEEFF"/>
          </w:tcPr>
          <w:p>
            <w:pPr>
              <w:spacing w:after="0"/>
              <w:rPr>
                <w:sz w:val="19"/>
                <w:szCs w:val="19"/>
                <w:color w:val="auto"/>
              </w:rPr>
            </w:pPr>
          </w:p>
        </w:tc>
        <w:tc>
          <w:tcPr>
            <w:tcW w:w="5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7,768,947</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7"/>
              </w:rPr>
              <w:t>7,168,714</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14,717,438</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13,640,143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260" w:type="dxa"/>
            <w:vAlign w:val="bottom"/>
          </w:tcPr>
          <w:p>
            <w:pPr>
              <w:spacing w:after="0"/>
              <w:rPr>
                <w:sz w:val="19"/>
                <w:szCs w:val="19"/>
                <w:color w:val="auto"/>
              </w:rPr>
            </w:pPr>
          </w:p>
        </w:tc>
      </w:tr>
      <w:tr>
        <w:trPr>
          <w:trHeight w:val="20"/>
        </w:trPr>
        <w:tc>
          <w:tcPr>
            <w:tcW w:w="18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420"/>
        </w:trPr>
        <w:tc>
          <w:tcPr>
            <w:tcW w:w="18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57</w:t>
            </w: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1" w:right="339" w:bottom="1440" w:gutter="0" w:footer="0" w:header="0"/>
        </w:sectPr>
      </w:pPr>
    </w:p>
    <w:bookmarkStart w:id="60" w:name="page61"/>
    <w:bookmarkEnd w:id="60"/>
    <w:p>
      <w:pPr>
        <w:jc w:val="center"/>
        <w:ind w:left="340" w:right="2680"/>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June 30, 2024 (Unaudited)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 Revenues from Contracts with Customers (Continued)</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reconciles revenues from cemetery and mortuary contracts to Note 7 – Business Segment Information for the Cemetery/Mortuary Segment for the periods presented:</w:t>
      </w:r>
    </w:p>
    <w:p>
      <w:pPr>
        <w:sectPr>
          <w:pgSz w:w="11900" w:h="16838" w:orient="portrait"/>
          <w:cols w:equalWidth="0" w:num="1">
            <w:col w:w="11220"/>
          </w:cols>
          <w:pgMar w:left="320" w:top="661" w:right="359" w:bottom="33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mortuary and cemetery sales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Gains on investments and other assets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investment income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revenues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from external customers</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40" w:type="dxa"/>
            <w:vAlign w:val="bottom"/>
            <w:gridSpan w:val="6"/>
          </w:tcPr>
          <w:p>
            <w:pPr>
              <w:ind w:left="320"/>
              <w:spacing w:after="0"/>
              <w:rPr>
                <w:sz w:val="20"/>
                <w:szCs w:val="20"/>
                <w:color w:val="auto"/>
              </w:rPr>
            </w:pPr>
            <w:r>
              <w:rPr>
                <w:rFonts w:ascii="Times New Roman" w:cs="Times New Roman" w:eastAsia="Times New Roman" w:hAnsi="Times New Roman"/>
                <w:sz w:val="18"/>
                <w:szCs w:val="18"/>
                <w:color w:val="auto"/>
              </w:rPr>
              <w:t>Three Months Ended</w:t>
            </w:r>
          </w:p>
        </w:tc>
        <w:tc>
          <w:tcPr>
            <w:tcW w:w="2600" w:type="dxa"/>
            <w:vAlign w:val="bottom"/>
            <w:gridSpan w:val="5"/>
          </w:tcPr>
          <w:p>
            <w:pPr>
              <w:jc w:val="center"/>
              <w:ind w:right="80"/>
              <w:spacing w:after="0"/>
              <w:rPr>
                <w:sz w:val="20"/>
                <w:szCs w:val="20"/>
                <w:color w:val="auto"/>
              </w:rPr>
            </w:pPr>
            <w:r>
              <w:rPr>
                <w:rFonts w:ascii="Times New Roman" w:cs="Times New Roman" w:eastAsia="Times New Roman" w:hAnsi="Times New Roman"/>
                <w:sz w:val="18"/>
                <w:szCs w:val="18"/>
                <w:color w:val="auto"/>
                <w:w w:val="98"/>
              </w:rPr>
              <w:t>Six Months Ended</w:t>
            </w:r>
          </w:p>
        </w:tc>
      </w:tr>
      <w:tr>
        <w:trPr>
          <w:trHeight w:val="241"/>
        </w:trPr>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4"/>
          </w:tcPr>
          <w:p>
            <w:pPr>
              <w:jc w:val="right"/>
              <w:ind w:right="50"/>
              <w:spacing w:after="0"/>
              <w:rPr>
                <w:sz w:val="20"/>
                <w:szCs w:val="20"/>
                <w:color w:val="auto"/>
              </w:rPr>
            </w:pPr>
            <w:r>
              <w:rPr>
                <w:rFonts w:ascii="Times New Roman" w:cs="Times New Roman" w:eastAsia="Times New Roman" w:hAnsi="Times New Roman"/>
                <w:sz w:val="18"/>
                <w:szCs w:val="18"/>
                <w:color w:val="auto"/>
              </w:rPr>
              <w:t>June 30,</w:t>
            </w:r>
          </w:p>
        </w:tc>
        <w:tc>
          <w:tcPr>
            <w:tcW w:w="880" w:type="dxa"/>
            <w:vAlign w:val="bottom"/>
            <w:tcBorders>
              <w:bottom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1680" w:type="dxa"/>
            <w:vAlign w:val="bottom"/>
            <w:tcBorders>
              <w:bottom w:val="single" w:sz="8" w:color="auto"/>
            </w:tcBorders>
            <w:gridSpan w:val="3"/>
          </w:tcPr>
          <w:p>
            <w:pPr>
              <w:jc w:val="center"/>
              <w:ind w:left="790"/>
              <w:spacing w:after="0"/>
              <w:rPr>
                <w:sz w:val="20"/>
                <w:szCs w:val="20"/>
                <w:color w:val="auto"/>
              </w:rPr>
            </w:pPr>
            <w:r>
              <w:rPr>
                <w:rFonts w:ascii="Times New Roman" w:cs="Times New Roman" w:eastAsia="Times New Roman" w:hAnsi="Times New Roman"/>
                <w:sz w:val="18"/>
                <w:szCs w:val="18"/>
                <w:color w:val="auto"/>
                <w:w w:val="99"/>
              </w:rPr>
              <w:t>June 30,</w:t>
            </w:r>
          </w:p>
        </w:tc>
        <w:tc>
          <w:tcPr>
            <w:tcW w:w="9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37"/>
        </w:trPr>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2024</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2023</w:t>
            </w:r>
          </w:p>
        </w:tc>
        <w:tc>
          <w:tcPr>
            <w:tcW w:w="420" w:type="dxa"/>
            <w:vAlign w:val="bottom"/>
          </w:tcPr>
          <w:p>
            <w:pPr>
              <w:spacing w:after="0"/>
              <w:rPr>
                <w:sz w:val="20"/>
                <w:szCs w:val="20"/>
                <w:color w:val="auto"/>
              </w:rPr>
            </w:pPr>
          </w:p>
        </w:tc>
        <w:tc>
          <w:tcPr>
            <w:tcW w:w="10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2024</w:t>
            </w:r>
          </w:p>
        </w:tc>
        <w:tc>
          <w:tcPr>
            <w:tcW w:w="4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2023</w:t>
            </w:r>
          </w:p>
        </w:tc>
        <w:tc>
          <w:tcPr>
            <w:tcW w:w="20" w:type="dxa"/>
            <w:vAlign w:val="bottom"/>
          </w:tcPr>
          <w:p>
            <w:pPr>
              <w:spacing w:after="0"/>
              <w:rPr>
                <w:sz w:val="20"/>
                <w:szCs w:val="20"/>
                <w:color w:val="auto"/>
              </w:rPr>
            </w:pPr>
          </w:p>
        </w:tc>
      </w:tr>
      <w:tr>
        <w:trPr>
          <w:trHeight w:val="198"/>
        </w:trPr>
        <w:tc>
          <w:tcPr>
            <w:tcW w:w="20" w:type="dxa"/>
            <w:vAlign w:val="bottom"/>
          </w:tcPr>
          <w:p>
            <w:pPr>
              <w:spacing w:after="0"/>
              <w:rPr>
                <w:sz w:val="17"/>
                <w:szCs w:val="17"/>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w w:val="97"/>
              </w:rPr>
              <w:t>7,768,947</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jc w:val="right"/>
              <w:ind w:right="50"/>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w w:val="97"/>
              </w:rPr>
              <w:t>7,168,714</w:t>
            </w:r>
          </w:p>
        </w:tc>
        <w:tc>
          <w:tcPr>
            <w:tcW w:w="420" w:type="dxa"/>
            <w:vAlign w:val="bottom"/>
          </w:tcPr>
          <w:p>
            <w:pPr>
              <w:spacing w:after="0"/>
              <w:rPr>
                <w:sz w:val="17"/>
                <w:szCs w:val="17"/>
                <w:color w:val="auto"/>
              </w:rPr>
            </w:pPr>
          </w:p>
        </w:tc>
        <w:tc>
          <w:tcPr>
            <w:tcW w:w="108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  14,717,438</w:t>
            </w:r>
          </w:p>
        </w:tc>
        <w:tc>
          <w:tcPr>
            <w:tcW w:w="400" w:type="dxa"/>
            <w:vAlign w:val="bottom"/>
          </w:tcPr>
          <w:p>
            <w:pPr>
              <w:spacing w:after="0"/>
              <w:rPr>
                <w:sz w:val="17"/>
                <w:szCs w:val="17"/>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13,640,143</w:t>
            </w:r>
          </w:p>
        </w:tc>
        <w:tc>
          <w:tcPr>
            <w:tcW w:w="2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(202,810)</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197,579</w:t>
            </w:r>
          </w:p>
        </w:tc>
        <w:tc>
          <w:tcPr>
            <w:tcW w:w="14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379,352</w:t>
            </w:r>
          </w:p>
        </w:tc>
        <w:tc>
          <w:tcPr>
            <w:tcW w:w="2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251,510</w:t>
            </w:r>
          </w:p>
        </w:tc>
      </w:tr>
      <w:tr>
        <w:trPr>
          <w:trHeight w:val="230"/>
        </w:trPr>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574,957</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1,343,274</w:t>
            </w:r>
          </w:p>
        </w:tc>
        <w:tc>
          <w:tcPr>
            <w:tcW w:w="14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1,659,149</w:t>
            </w:r>
          </w:p>
        </w:tc>
        <w:tc>
          <w:tcPr>
            <w:tcW w:w="20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1,944,765</w:t>
            </w:r>
          </w:p>
        </w:tc>
      </w:tr>
      <w:tr>
        <w:trPr>
          <w:trHeight w:val="241"/>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136,774</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102,941</w:t>
            </w:r>
          </w:p>
        </w:tc>
        <w:tc>
          <w:tcPr>
            <w:tcW w:w="14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309,507</w:t>
            </w:r>
          </w:p>
        </w:tc>
        <w:tc>
          <w:tcPr>
            <w:tcW w:w="20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174,486</w:t>
            </w:r>
          </w:p>
        </w:tc>
      </w:tr>
      <w:tr>
        <w:trPr>
          <w:trHeight w:val="230"/>
        </w:trPr>
        <w:tc>
          <w:tcPr>
            <w:tcW w:w="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w w:val="97"/>
              </w:rPr>
              <w:t>8,277,868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w w:val="97"/>
              </w:rPr>
              <w:t>8,812,508</w:t>
            </w:r>
          </w:p>
        </w:tc>
        <w:tc>
          <w:tcPr>
            <w:tcW w:w="42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17,065,446</w:t>
            </w:r>
          </w:p>
        </w:tc>
        <w:tc>
          <w:tcPr>
            <w:tcW w:w="4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16,010,904</w:t>
            </w:r>
          </w:p>
        </w:tc>
      </w:tr>
      <w:tr>
        <w:trPr>
          <w:trHeight w:val="20"/>
        </w:trPr>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-2762885</wp:posOffset>
            </wp:positionH>
            <wp:positionV relativeFrom="paragraph">
              <wp:posOffset>-753745</wp:posOffset>
            </wp:positionV>
            <wp:extent cx="6412230" cy="1454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412230" cy="145415"/>
                    </a:xfrm>
                    <a:prstGeom prst="rect">
                      <a:avLst/>
                    </a:prstGeom>
                    <a:noFill/>
                  </pic:spPr>
                </pic:pic>
              </a:graphicData>
            </a:graphic>
          </wp:anchor>
        </w:drawing>
        <w:drawing>
          <wp:anchor simplePos="0" relativeHeight="251657728" behindDoc="1" locked="0" layoutInCell="0" allowOverlap="1">
            <wp:simplePos x="0" y="0"/>
            <wp:positionH relativeFrom="column">
              <wp:posOffset>-2762885</wp:posOffset>
            </wp:positionH>
            <wp:positionV relativeFrom="paragraph">
              <wp:posOffset>-471170</wp:posOffset>
            </wp:positionV>
            <wp:extent cx="6412230" cy="13716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-2762885</wp:posOffset>
            </wp:positionH>
            <wp:positionV relativeFrom="paragraph">
              <wp:posOffset>-179070</wp:posOffset>
            </wp:positionV>
            <wp:extent cx="6412230" cy="16319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412230" cy="163195"/>
                    </a:xfrm>
                    <a:prstGeom prst="rect">
                      <a:avLst/>
                    </a:prstGeom>
                    <a:noFill/>
                  </pic:spPr>
                </pic:pic>
              </a:graphicData>
            </a:graphic>
          </wp:anchor>
        </w:drawing>
      </w:r>
    </w:p>
    <w:p>
      <w:pPr>
        <w:spacing w:after="0" w:line="185" w:lineRule="exact"/>
        <w:rPr>
          <w:sz w:val="20"/>
          <w:szCs w:val="20"/>
          <w:color w:val="auto"/>
        </w:rPr>
      </w:pPr>
    </w:p>
    <w:p>
      <w:pPr>
        <w:sectPr>
          <w:pgSz w:w="11900" w:h="16838" w:orient="portrait"/>
          <w:cols w:equalWidth="0" w:num="2">
            <w:col w:w="3640" w:space="720"/>
            <w:col w:w="6860"/>
          </w:cols>
          <w:pgMar w:left="320" w:top="661" w:right="359" w:bottom="331"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3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14) Receivables</w:t>
            </w: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3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53"/>
        </w:trPr>
        <w:tc>
          <w:tcPr>
            <w:tcW w:w="3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Receivables consist of the following:</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4"/>
        </w:trPr>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w w:val="99"/>
              </w:rPr>
              <w:t>As of December 31,</w:t>
            </w:r>
          </w:p>
        </w:tc>
      </w:tr>
      <w:tr>
        <w:trPr>
          <w:trHeight w:val="241"/>
        </w:trPr>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9"/>
              </w:rPr>
              <w:t>As of June 30, 2024</w:t>
            </w:r>
          </w:p>
        </w:tc>
        <w:tc>
          <w:tcPr>
            <w:tcW w:w="100" w:type="dxa"/>
            <w:vAlign w:val="bottom"/>
          </w:tcPr>
          <w:p>
            <w:pPr>
              <w:spacing w:after="0"/>
              <w:rPr>
                <w:sz w:val="20"/>
                <w:szCs w:val="20"/>
                <w:color w:val="auto"/>
              </w:rPr>
            </w:pPr>
          </w:p>
        </w:tc>
        <w:tc>
          <w:tcPr>
            <w:tcW w:w="156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2023</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16"/>
        </w:trPr>
        <w:tc>
          <w:tcPr>
            <w:tcW w:w="346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Contracts with customers</w:t>
            </w:r>
          </w:p>
        </w:tc>
        <w:tc>
          <w:tcPr>
            <w:tcW w:w="8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6,784,501</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6,321,573</w:t>
            </w: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3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Receivables from sales agents</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3,533,612</w:t>
            </w:r>
          </w:p>
        </w:tc>
        <w:tc>
          <w:tcPr>
            <w:tcW w:w="100" w:type="dxa"/>
            <w:vAlign w:val="bottom"/>
          </w:tcPr>
          <w:p>
            <w:pPr>
              <w:spacing w:after="0"/>
              <w:rPr>
                <w:sz w:val="18"/>
                <w:szCs w:val="18"/>
                <w:color w:val="auto"/>
              </w:rPr>
            </w:pPr>
          </w:p>
        </w:tc>
        <w:tc>
          <w:tcPr>
            <w:tcW w:w="1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3,252,840</w:t>
            </w:r>
          </w:p>
        </w:tc>
        <w:tc>
          <w:tcPr>
            <w:tcW w:w="40" w:type="dxa"/>
            <w:vAlign w:val="bottom"/>
          </w:tcPr>
          <w:p>
            <w:pPr>
              <w:spacing w:after="0"/>
              <w:rPr>
                <w:sz w:val="18"/>
                <w:szCs w:val="18"/>
                <w:color w:val="auto"/>
              </w:rPr>
            </w:pPr>
          </w:p>
        </w:tc>
      </w:tr>
      <w:tr>
        <w:trPr>
          <w:trHeight w:val="250"/>
        </w:trPr>
        <w:tc>
          <w:tcPr>
            <w:tcW w:w="34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5,415,118</w:t>
            </w:r>
          </w:p>
        </w:tc>
        <w:tc>
          <w:tcPr>
            <w:tcW w:w="10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7,658,789</w:t>
            </w:r>
          </w:p>
        </w:tc>
        <w:tc>
          <w:tcPr>
            <w:tcW w:w="40" w:type="dxa"/>
            <w:vAlign w:val="bottom"/>
            <w:shd w:val="clear" w:color="auto" w:fill="CCEEFF"/>
          </w:tcPr>
          <w:p>
            <w:pPr>
              <w:spacing w:after="0"/>
              <w:rPr>
                <w:sz w:val="21"/>
                <w:szCs w:val="21"/>
                <w:color w:val="auto"/>
              </w:rPr>
            </w:pPr>
          </w:p>
        </w:tc>
      </w:tr>
      <w:tr>
        <w:trPr>
          <w:trHeight w:val="203"/>
        </w:trPr>
        <w:tc>
          <w:tcPr>
            <w:tcW w:w="3460" w:type="dxa"/>
            <w:vAlign w:val="bottom"/>
            <w:tcBorders>
              <w:top w:val="single" w:sz="8" w:color="CCEEFF"/>
            </w:tcBorders>
            <w:gridSpan w:val="3"/>
          </w:tcPr>
          <w:p>
            <w:pPr>
              <w:spacing w:after="0" w:line="203" w:lineRule="exact"/>
              <w:rPr>
                <w:sz w:val="20"/>
                <w:szCs w:val="20"/>
                <w:color w:val="auto"/>
              </w:rPr>
            </w:pPr>
            <w:r>
              <w:rPr>
                <w:rFonts w:ascii="Times New Roman" w:cs="Times New Roman" w:eastAsia="Times New Roman" w:hAnsi="Times New Roman"/>
                <w:sz w:val="18"/>
                <w:szCs w:val="18"/>
                <w:color w:val="auto"/>
              </w:rPr>
              <w:t>Total receivables</w:t>
            </w:r>
          </w:p>
        </w:tc>
        <w:tc>
          <w:tcPr>
            <w:tcW w:w="8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15,733,231</w:t>
            </w: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17,233,202</w:t>
            </w:r>
          </w:p>
        </w:tc>
        <w:tc>
          <w:tcPr>
            <w:tcW w:w="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r>
      <w:tr>
        <w:trPr>
          <w:trHeight w:val="250"/>
        </w:trPr>
        <w:tc>
          <w:tcPr>
            <w:tcW w:w="34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(1,770,911)</w:t>
            </w:r>
          </w:p>
        </w:tc>
        <w:tc>
          <w:tcPr>
            <w:tcW w:w="100" w:type="dxa"/>
            <w:vAlign w:val="bottom"/>
            <w:shd w:val="clear" w:color="auto" w:fill="CCEEFF"/>
          </w:tcPr>
          <w:p>
            <w:pPr>
              <w:spacing w:after="0"/>
              <w:rPr>
                <w:sz w:val="21"/>
                <w:szCs w:val="21"/>
                <w:color w:val="auto"/>
              </w:rPr>
            </w:pPr>
          </w:p>
        </w:tc>
        <w:tc>
          <w:tcPr>
            <w:tcW w:w="1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(1,897,887)</w:t>
            </w:r>
          </w:p>
        </w:tc>
      </w:tr>
      <w:tr>
        <w:trPr>
          <w:trHeight w:val="217"/>
        </w:trPr>
        <w:tc>
          <w:tcPr>
            <w:tcW w:w="3460" w:type="dxa"/>
            <w:vAlign w:val="bottom"/>
            <w:tcBorders>
              <w:top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Net receivables</w:t>
            </w:r>
          </w:p>
        </w:tc>
        <w:tc>
          <w:tcPr>
            <w:tcW w:w="80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13,962,320</w:t>
            </w: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15,335,315</w:t>
            </w:r>
          </w:p>
        </w:tc>
        <w:tc>
          <w:tcPr>
            <w:tcW w:w="20" w:type="dxa"/>
            <w:vAlign w:val="bottom"/>
            <w:tcBorders>
              <w:top w:val="single" w:sz="8" w:color="CCEEFF"/>
              <w:bottom w:val="single" w:sz="8" w:color="auto"/>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r>
      <w:tr>
        <w:trPr>
          <w:trHeight w:val="20"/>
        </w:trPr>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 records an allowance for credit losses for its receivables in accordance with GAAP. See Note 2 regarding the adoption of ASU 2016-13.</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roll forward of the allowance for credit losses as of the dates indicated:</w:t>
      </w:r>
    </w:p>
    <w:p>
      <w:pPr>
        <w:spacing w:after="0" w:line="239" w:lineRule="exact"/>
        <w:rPr>
          <w:sz w:val="20"/>
          <w:szCs w:val="20"/>
          <w:color w:val="auto"/>
        </w:rPr>
      </w:pPr>
    </w:p>
    <w:p>
      <w:pPr>
        <w:ind w:left="7380"/>
        <w:spacing w:after="0"/>
        <w:rPr>
          <w:sz w:val="20"/>
          <w:szCs w:val="20"/>
          <w:color w:val="auto"/>
        </w:rPr>
      </w:pPr>
      <w:r>
        <w:rPr>
          <w:rFonts w:ascii="Times New Roman" w:cs="Times New Roman" w:eastAsia="Times New Roman" w:hAnsi="Times New Roman"/>
          <w:sz w:val="18"/>
          <w:szCs w:val="18"/>
          <w:u w:val="single" w:color="auto"/>
          <w:color w:val="auto"/>
        </w:rPr>
        <w:t>Three Months Ended</w:t>
      </w:r>
    </w:p>
    <w:p>
      <w:pPr>
        <w:sectPr>
          <w:pgSz w:w="11900" w:h="16838" w:orient="portrait"/>
          <w:cols w:equalWidth="0" w:num="1">
            <w:col w:w="11220"/>
          </w:cols>
          <w:pgMar w:left="320" w:top="661" w:right="359" w:bottom="331" w:gutter="0" w:footer="0" w:header="0"/>
          <w:type w:val="continuous"/>
        </w:sectPr>
      </w:pP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Beginning balance - March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5700395" cy="1460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700395" cy="146050"/>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Change in provision for credit losses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5700395" cy="16319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700395" cy="163195"/>
                    </a:xfrm>
                    <a:prstGeom prst="rect">
                      <a:avLst/>
                    </a:prstGeom>
                    <a:noFill/>
                  </pic:spPr>
                </pic:pic>
              </a:graphicData>
            </a:graphic>
          </wp:anchor>
        </w:drawing>
      </w:r>
    </w:p>
    <w:p>
      <w:pPr>
        <w:spacing w:after="0" w:line="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Charge-offs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Ending balance - June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5700395" cy="15430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700395"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ind w:left="801" w:hanging="801"/>
        <w:spacing w:after="0"/>
        <w:tabs>
          <w:tab w:leader="none" w:pos="801"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1,755,553</w:t>
      </w:r>
    </w:p>
    <w:p>
      <w:pPr>
        <w:spacing w:after="0" w:line="27" w:lineRule="exact"/>
        <w:rPr>
          <w:rFonts w:ascii="Times New Roman" w:cs="Times New Roman" w:eastAsia="Times New Roman" w:hAnsi="Times New Roman"/>
          <w:sz w:val="18"/>
          <w:szCs w:val="18"/>
          <w:color w:val="auto"/>
        </w:rPr>
      </w:pPr>
    </w:p>
    <w:p>
      <w:pPr>
        <w:ind w:left="1021"/>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31,494</w:t>
      </w:r>
    </w:p>
    <w:p>
      <w:pPr>
        <w:spacing w:after="0" w:line="9" w:lineRule="exact"/>
        <w:rPr>
          <w:sz w:val="20"/>
          <w:szCs w:val="20"/>
          <w:color w:val="auto"/>
        </w:rPr>
      </w:pPr>
    </w:p>
    <w:p>
      <w:pPr>
        <w:jc w:val="right"/>
        <w:ind w:right="2260"/>
        <w:spacing w:after="0"/>
        <w:rPr>
          <w:sz w:val="20"/>
          <w:szCs w:val="20"/>
          <w:color w:val="auto"/>
        </w:rPr>
      </w:pPr>
      <w:r>
        <w:rPr>
          <w:rFonts w:ascii="Times New Roman" w:cs="Times New Roman" w:eastAsia="Times New Roman" w:hAnsi="Times New Roman"/>
          <w:sz w:val="18"/>
          <w:szCs w:val="18"/>
          <w:color w:val="auto"/>
        </w:rPr>
        <w:t>(16,136)</w:t>
      </w:r>
    </w:p>
    <w:p>
      <w:pPr>
        <w:spacing w:after="0" w:line="45" w:lineRule="exact"/>
        <w:rPr>
          <w:sz w:val="20"/>
          <w:szCs w:val="20"/>
          <w:color w:val="auto"/>
        </w:rPr>
      </w:pPr>
    </w:p>
    <w:p>
      <w:pPr>
        <w:ind w:left="821" w:hanging="821"/>
        <w:spacing w:after="0"/>
        <w:tabs>
          <w:tab w:leader="none" w:pos="821"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1,770,911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96837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96837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659" w:space="720"/>
            <w:col w:w="3841"/>
          </w:cols>
          <w:pgMar w:left="320" w:top="661" w:right="359" w:bottom="331" w:gutter="0" w:footer="0" w:header="0"/>
          <w:type w:val="continuous"/>
        </w:sectPr>
      </w:pP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Beginning balance - March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5700395" cy="13716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Change in provision for credit losses (1)</w:t>
      </w:r>
    </w:p>
    <w:p>
      <w:pPr>
        <w:spacing w:after="0" w:line="2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Charge-offs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Ending balance - June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5700395" cy="1714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70039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197485</wp:posOffset>
            </wp:positionV>
            <wp:extent cx="178308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ind w:left="801" w:hanging="801"/>
        <w:spacing w:after="0"/>
        <w:tabs>
          <w:tab w:leader="none" w:pos="801"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1,867,124</w:t>
      </w:r>
    </w:p>
    <w:p>
      <w:pPr>
        <w:spacing w:after="0" w:line="27" w:lineRule="exact"/>
        <w:rPr>
          <w:rFonts w:ascii="Times New Roman" w:cs="Times New Roman" w:eastAsia="Times New Roman" w:hAnsi="Times New Roman"/>
          <w:sz w:val="18"/>
          <w:szCs w:val="18"/>
          <w:color w:val="auto"/>
        </w:rPr>
      </w:pPr>
    </w:p>
    <w:p>
      <w:pPr>
        <w:ind w:left="881"/>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(332,644)</w:t>
      </w:r>
    </w:p>
    <w:p>
      <w:pPr>
        <w:spacing w:after="0" w:line="20" w:lineRule="exact"/>
        <w:rPr>
          <w:rFonts w:ascii="Times New Roman" w:cs="Times New Roman" w:eastAsia="Times New Roman" w:hAnsi="Times New Roman"/>
          <w:sz w:val="18"/>
          <w:szCs w:val="18"/>
          <w:color w:val="auto"/>
        </w:rPr>
      </w:pPr>
    </w:p>
    <w:p>
      <w:pPr>
        <w:ind w:left="981"/>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(41,546)</w:t>
      </w:r>
    </w:p>
    <w:p>
      <w:pPr>
        <w:spacing w:after="0" w:line="56" w:lineRule="exact"/>
        <w:rPr>
          <w:sz w:val="20"/>
          <w:szCs w:val="20"/>
          <w:color w:val="auto"/>
        </w:rPr>
      </w:pPr>
    </w:p>
    <w:p>
      <w:pPr>
        <w:ind w:left="801" w:hanging="801"/>
        <w:spacing w:after="0"/>
        <w:tabs>
          <w:tab w:leader="none" w:pos="801"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1,492,934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34290</wp:posOffset>
            </wp:positionV>
            <wp:extent cx="96837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96837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659" w:space="720"/>
            <w:col w:w="3841"/>
          </w:cols>
          <w:pgMar w:left="320" w:top="661" w:right="359" w:bottom="331" w:gutter="0" w:footer="0" w:header="0"/>
          <w:type w:val="continuous"/>
        </w:sectPr>
      </w:pPr>
    </w:p>
    <w:p>
      <w:pPr>
        <w:spacing w:after="0" w:line="10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(1) Included in other expenses on the condensed consolidated statements of earnings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roll forward of the allowance for credit losses as of the dates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5700395" cy="15430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700395" cy="15430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Beginning balance - January 1, 2024</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Change in provision for credit losses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700395" cy="16256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700395" cy="16256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Charge-offs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Ending balance - June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5700395" cy="15430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700395"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01"/>
        <w:spacing w:after="0"/>
        <w:rPr>
          <w:sz w:val="20"/>
          <w:szCs w:val="20"/>
          <w:color w:val="auto"/>
        </w:rPr>
      </w:pPr>
      <w:r>
        <w:rPr>
          <w:rFonts w:ascii="Times New Roman" w:cs="Times New Roman" w:eastAsia="Times New Roman" w:hAnsi="Times New Roman"/>
          <w:sz w:val="18"/>
          <w:szCs w:val="18"/>
          <w:color w:val="auto"/>
        </w:rPr>
        <w:t>Six Months Ended</w:t>
      </w:r>
    </w:p>
    <w:p>
      <w:pPr>
        <w:spacing w:after="0" w:line="36" w:lineRule="exact"/>
        <w:rPr>
          <w:sz w:val="20"/>
          <w:szCs w:val="20"/>
          <w:color w:val="auto"/>
        </w:rPr>
      </w:pPr>
    </w:p>
    <w:p>
      <w:pPr>
        <w:ind w:left="801" w:hanging="801"/>
        <w:spacing w:after="0"/>
        <w:tabs>
          <w:tab w:leader="none" w:pos="801"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1,897,887</w:t>
      </w:r>
    </w:p>
    <w:p>
      <w:pPr>
        <w:spacing w:after="0" w:line="27" w:lineRule="exact"/>
        <w:rPr>
          <w:rFonts w:ascii="Times New Roman" w:cs="Times New Roman" w:eastAsia="Times New Roman" w:hAnsi="Times New Roman"/>
          <w:sz w:val="18"/>
          <w:szCs w:val="18"/>
          <w:color w:val="auto"/>
        </w:rPr>
      </w:pPr>
    </w:p>
    <w:p>
      <w:pPr>
        <w:ind w:left="981"/>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(87,003)</w:t>
      </w:r>
    </w:p>
    <w:p>
      <w:pPr>
        <w:spacing w:after="0" w:line="20" w:lineRule="exact"/>
        <w:rPr>
          <w:rFonts w:ascii="Times New Roman" w:cs="Times New Roman" w:eastAsia="Times New Roman" w:hAnsi="Times New Roman"/>
          <w:sz w:val="18"/>
          <w:szCs w:val="18"/>
          <w:color w:val="auto"/>
        </w:rPr>
      </w:pPr>
    </w:p>
    <w:p>
      <w:pPr>
        <w:ind w:left="981"/>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(39,973)</w:t>
      </w:r>
    </w:p>
    <w:p>
      <w:pPr>
        <w:spacing w:after="0" w:line="56" w:lineRule="exact"/>
        <w:rPr>
          <w:sz w:val="20"/>
          <w:szCs w:val="20"/>
          <w:color w:val="auto"/>
        </w:rPr>
      </w:pPr>
    </w:p>
    <w:p>
      <w:pPr>
        <w:ind w:left="821" w:hanging="821"/>
        <w:spacing w:after="0"/>
        <w:tabs>
          <w:tab w:leader="none" w:pos="821"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1,770,911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96837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96837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340" w:space="39"/>
            <w:col w:w="3841"/>
          </w:cols>
          <w:pgMar w:left="320" w:top="661" w:right="359" w:bottom="331" w:gutter="0" w:footer="0" w:header="0"/>
          <w:type w:val="continuous"/>
        </w:sectPr>
      </w:pP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Beginning balance - January 1, 2023</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Change in provision for credit losses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5700395" cy="13716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spacing w:after="0" w:line="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Charge-offs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Ending balance - June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5700395" cy="1714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70039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197485</wp:posOffset>
            </wp:positionV>
            <wp:extent cx="178308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ind w:left="801" w:hanging="801"/>
        <w:spacing w:after="0"/>
        <w:tabs>
          <w:tab w:leader="none" w:pos="801"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2,229,791</w:t>
      </w:r>
    </w:p>
    <w:p>
      <w:pPr>
        <w:spacing w:after="0" w:line="27" w:lineRule="exact"/>
        <w:rPr>
          <w:rFonts w:ascii="Times New Roman" w:cs="Times New Roman" w:eastAsia="Times New Roman" w:hAnsi="Times New Roman"/>
          <w:sz w:val="18"/>
          <w:szCs w:val="18"/>
          <w:color w:val="auto"/>
        </w:rPr>
      </w:pPr>
    </w:p>
    <w:p>
      <w:pPr>
        <w:ind w:left="881"/>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(651,308)</w:t>
      </w:r>
    </w:p>
    <w:p>
      <w:pPr>
        <w:spacing w:after="0" w:line="20" w:lineRule="exact"/>
        <w:rPr>
          <w:rFonts w:ascii="Times New Roman" w:cs="Times New Roman" w:eastAsia="Times New Roman" w:hAnsi="Times New Roman"/>
          <w:sz w:val="18"/>
          <w:szCs w:val="18"/>
          <w:color w:val="auto"/>
        </w:rPr>
      </w:pPr>
    </w:p>
    <w:p>
      <w:pPr>
        <w:ind w:left="981"/>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(85,549)</w:t>
      </w:r>
    </w:p>
    <w:p>
      <w:pPr>
        <w:spacing w:after="0" w:line="56" w:lineRule="exact"/>
        <w:rPr>
          <w:sz w:val="20"/>
          <w:szCs w:val="20"/>
          <w:color w:val="auto"/>
        </w:rPr>
      </w:pPr>
    </w:p>
    <w:p>
      <w:pPr>
        <w:ind w:left="801" w:hanging="801"/>
        <w:spacing w:after="0"/>
        <w:tabs>
          <w:tab w:leader="none" w:pos="801"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1,492,934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34290</wp:posOffset>
            </wp:positionV>
            <wp:extent cx="96837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96837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659" w:space="720"/>
            <w:col w:w="3841"/>
          </w:cols>
          <w:pgMar w:left="320" w:top="661" w:right="359" w:bottom="331" w:gutter="0" w:footer="0" w:header="0"/>
          <w:type w:val="continuous"/>
        </w:sectPr>
      </w:pPr>
    </w:p>
    <w:p>
      <w:pPr>
        <w:spacing w:after="0" w:line="106" w:lineRule="exact"/>
        <w:rPr>
          <w:sz w:val="20"/>
          <w:szCs w:val="20"/>
          <w:color w:val="auto"/>
        </w:rPr>
      </w:pPr>
    </w:p>
    <w:p>
      <w:pPr>
        <w:ind w:left="5540" w:right="4680" w:hanging="5121"/>
        <w:spacing w:after="0" w:line="657" w:lineRule="auto"/>
        <w:tabs>
          <w:tab w:leader="none" w:pos="716"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other expenses on the condensed consolidated statements of earnings 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-227330</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61" w:right="359" w:bottom="331" w:gutter="0" w:footer="0" w:header="0"/>
          <w:type w:val="continuous"/>
        </w:sectPr>
      </w:pPr>
    </w:p>
    <w:bookmarkStart w:id="61" w:name="page62"/>
    <w:bookmarkEnd w:id="61"/>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June 30, 2024 (Unaudited)</w:t>
      </w:r>
    </w:p>
    <w:p>
      <w:pPr>
        <w:spacing w:after="0" w:line="176" w:lineRule="exact"/>
        <w:rPr>
          <w:sz w:val="20"/>
          <w:szCs w:val="20"/>
          <w:color w:val="auto"/>
        </w:rPr>
      </w:pPr>
    </w:p>
    <w:p>
      <w:pPr>
        <w:ind w:left="300" w:hanging="292"/>
        <w:spacing w:after="0"/>
        <w:tabs>
          <w:tab w:leader="none" w:pos="3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Cemetery Perpetual Care Trust Investments and Obligation and Restricted Assets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Cemetery Perpetual Care Trust Investments and Obligation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State law requires the Company to pay into endowment care trusts a portion of the proceeds from the sale of certain cemetery property interment rights for cemeteries that have established an endowment care trust. These endowment care trusts are defined as Variable Interest Entities pursuant to GAAP. The Company is the primary beneficiary of these trusts, as it absorbs both the losses and any expenses associated with the trusts. The Company has consolidated cemetery endowment care trust investments with a corresponding amount recorded as Cemetery Perpetual Care Obligation in the accompanying consolidated balance sheets</w:t>
      </w:r>
      <w:r>
        <w:rPr>
          <w:rFonts w:ascii="Times New Roman" w:cs="Times New Roman" w:eastAsia="Times New Roman" w:hAnsi="Times New Roman"/>
          <w:sz w:val="18"/>
          <w:szCs w:val="18"/>
          <w:i w:val="1"/>
          <w:iCs w:val="1"/>
          <w:color w:val="auto"/>
        </w:rPr>
        <w: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the cemetery perpetual care investments and obligation as of June 30, 2024, are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6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Gross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right="370"/>
              <w:spacing w:after="0"/>
              <w:rPr>
                <w:sz w:val="20"/>
                <w:szCs w:val="20"/>
                <w:color w:val="auto"/>
              </w:rPr>
            </w:pPr>
            <w:r>
              <w:rPr>
                <w:rFonts w:ascii="Times New Roman" w:cs="Times New Roman" w:eastAsia="Times New Roman" w:hAnsi="Times New Roman"/>
                <w:sz w:val="18"/>
                <w:szCs w:val="18"/>
                <w:color w:val="auto"/>
                <w:w w:val="99"/>
              </w:rPr>
              <w:t>Gross</w:t>
            </w: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Amortized</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8"/>
              </w:rPr>
              <w:t>Unrealized</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right="370"/>
              <w:spacing w:after="0"/>
              <w:rPr>
                <w:sz w:val="20"/>
                <w:szCs w:val="20"/>
                <w:color w:val="auto"/>
              </w:rPr>
            </w:pPr>
            <w:r>
              <w:rPr>
                <w:rFonts w:ascii="Times New Roman" w:cs="Times New Roman" w:eastAsia="Times New Roman" w:hAnsi="Times New Roman"/>
                <w:sz w:val="18"/>
                <w:szCs w:val="18"/>
                <w:color w:val="auto"/>
                <w:w w:val="98"/>
              </w:rPr>
              <w:t>Unrealized</w:t>
            </w:r>
          </w:p>
        </w:tc>
        <w:tc>
          <w:tcPr>
            <w:tcW w:w="142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Allowance for</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8"/>
              </w:rPr>
              <w:t>Estimated Fair</w:t>
            </w:r>
          </w:p>
        </w:tc>
        <w:tc>
          <w:tcPr>
            <w:tcW w:w="0" w:type="dxa"/>
            <w:vAlign w:val="bottom"/>
          </w:tcPr>
          <w:p>
            <w:pPr>
              <w:spacing w:after="0"/>
              <w:rPr>
                <w:sz w:val="1"/>
                <w:szCs w:val="1"/>
                <w:color w:val="auto"/>
              </w:rPr>
            </w:pPr>
          </w:p>
        </w:tc>
      </w:tr>
      <w:tr>
        <w:trPr>
          <w:trHeight w:val="241"/>
        </w:trPr>
        <w:tc>
          <w:tcPr>
            <w:tcW w:w="106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Cost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Gains</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center"/>
              <w:ind w:right="370"/>
              <w:spacing w:after="0"/>
              <w:rPr>
                <w:sz w:val="20"/>
                <w:szCs w:val="20"/>
                <w:color w:val="auto"/>
              </w:rPr>
            </w:pPr>
            <w:r>
              <w:rPr>
                <w:rFonts w:ascii="Times New Roman" w:cs="Times New Roman" w:eastAsia="Times New Roman" w:hAnsi="Times New Roman"/>
                <w:sz w:val="18"/>
                <w:szCs w:val="18"/>
                <w:color w:val="auto"/>
              </w:rPr>
              <w:t>Losses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Credit Losses</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2"/>
              </w:rPr>
              <w:t>Value</w:t>
            </w:r>
          </w:p>
        </w:tc>
        <w:tc>
          <w:tcPr>
            <w:tcW w:w="0" w:type="dxa"/>
            <w:vAlign w:val="bottom"/>
          </w:tcPr>
          <w:p>
            <w:pPr>
              <w:spacing w:after="0"/>
              <w:rPr>
                <w:sz w:val="1"/>
                <w:szCs w:val="1"/>
                <w:color w:val="auto"/>
              </w:rPr>
            </w:pPr>
          </w:p>
        </w:tc>
      </w:tr>
      <w:tr>
        <w:trPr>
          <w:trHeight w:val="175"/>
        </w:trPr>
        <w:tc>
          <w:tcPr>
            <w:tcW w:w="4040" w:type="dxa"/>
            <w:vAlign w:val="bottom"/>
            <w:tcBorders>
              <w:top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June 30, 2024:</w:t>
            </w:r>
          </w:p>
        </w:tc>
        <w:tc>
          <w:tcPr>
            <w:tcW w:w="1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060" w:type="dxa"/>
            <w:vAlign w:val="bottom"/>
            <w:tcBorders>
              <w:top w:val="single" w:sz="8" w:color="auto"/>
            </w:tcBorders>
            <w:shd w:val="clear" w:color="auto" w:fill="CCEEFF"/>
          </w:tcPr>
          <w:p>
            <w:pPr>
              <w:spacing w:after="0" w:line="20" w:lineRule="exact"/>
              <w:rPr>
                <w:sz w:val="1"/>
                <w:szCs w:val="1"/>
                <w:color w:val="auto"/>
              </w:rPr>
            </w:pPr>
          </w:p>
        </w:tc>
        <w:tc>
          <w:tcPr>
            <w:tcW w:w="29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40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Fixed maturity securities, available for sale, at</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estimated fair value:</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040" w:type="dxa"/>
            <w:vAlign w:val="bottom"/>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U.S. Treasury securities and obligations of U.S.</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Government agencies</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443,508</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1,481</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(1,975)</w:t>
            </w:r>
          </w:p>
        </w:tc>
        <w:tc>
          <w:tcPr>
            <w:tcW w:w="1040" w:type="dxa"/>
            <w:vAlign w:val="bottom"/>
            <w:shd w:val="clear" w:color="auto" w:fill="CCEEFF"/>
          </w:tcPr>
          <w:p>
            <w:pPr>
              <w:jc w:val="right"/>
              <w:ind w:right="873"/>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443,014</w:t>
            </w:r>
          </w:p>
        </w:tc>
        <w:tc>
          <w:tcPr>
            <w:tcW w:w="0" w:type="dxa"/>
            <w:vAlign w:val="bottom"/>
          </w:tcPr>
          <w:p>
            <w:pPr>
              <w:spacing w:after="0"/>
              <w:rPr>
                <w:sz w:val="1"/>
                <w:szCs w:val="1"/>
                <w:color w:val="auto"/>
              </w:rPr>
            </w:pPr>
          </w:p>
        </w:tc>
      </w:tr>
      <w:tr>
        <w:trPr>
          <w:trHeight w:val="236"/>
        </w:trPr>
        <w:tc>
          <w:tcPr>
            <w:tcW w:w="40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167,073</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(6,908)</w:t>
            </w:r>
          </w:p>
        </w:tc>
        <w:tc>
          <w:tcPr>
            <w:tcW w:w="1040" w:type="dxa"/>
            <w:vAlign w:val="bottom"/>
          </w:tcPr>
          <w:p>
            <w:pPr>
              <w:spacing w:after="0"/>
              <w:rPr>
                <w:sz w:val="20"/>
                <w:szCs w:val="20"/>
                <w:color w:val="auto"/>
              </w:rPr>
            </w:pPr>
          </w:p>
        </w:tc>
        <w:tc>
          <w:tcPr>
            <w:tcW w:w="3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160,185</w:t>
            </w:r>
          </w:p>
        </w:tc>
        <w:tc>
          <w:tcPr>
            <w:tcW w:w="0" w:type="dxa"/>
            <w:vAlign w:val="bottom"/>
          </w:tcPr>
          <w:p>
            <w:pPr>
              <w:spacing w:after="0"/>
              <w:rPr>
                <w:sz w:val="1"/>
                <w:szCs w:val="1"/>
                <w:color w:val="auto"/>
              </w:rPr>
            </w:pPr>
          </w:p>
        </w:tc>
      </w:tr>
      <w:tr>
        <w:trPr>
          <w:trHeight w:val="230"/>
        </w:trPr>
        <w:tc>
          <w:tcPr>
            <w:tcW w:w="4040" w:type="dxa"/>
            <w:vAlign w:val="bottom"/>
            <w:tcBorders>
              <w:top w:val="single" w:sz="8" w:color="CCEEFF"/>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fixed maturity securities available for sale</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610,581</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(8,883</w:t>
            </w:r>
          </w:p>
        </w:tc>
        <w:tc>
          <w:tcPr>
            <w:tcW w:w="340" w:type="dxa"/>
            <w:vAlign w:val="bottom"/>
            <w:tcBorders>
              <w:top w:val="single" w:sz="8" w:color="CCEEFF"/>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99"/>
              </w:rPr>
              <w:t>)</w:t>
            </w:r>
          </w:p>
        </w:tc>
        <w:tc>
          <w:tcPr>
            <w:tcW w:w="1040" w:type="dxa"/>
            <w:vAlign w:val="bottom"/>
            <w:tcBorders>
              <w:top w:val="single" w:sz="8" w:color="auto"/>
              <w:bottom w:val="single" w:sz="8" w:color="auto"/>
            </w:tcBorders>
            <w:shd w:val="clear" w:color="auto" w:fill="CCEEFF"/>
          </w:tcPr>
          <w:p>
            <w:pPr>
              <w:jc w:val="right"/>
              <w:ind w:right="873"/>
              <w:spacing w:after="0"/>
              <w:rPr>
                <w:sz w:val="20"/>
                <w:szCs w:val="20"/>
                <w:color w:val="auto"/>
              </w:rPr>
            </w:pPr>
            <w:r>
              <w:rPr>
                <w:rFonts w:ascii="Times New Roman" w:cs="Times New Roman" w:eastAsia="Times New Roman" w:hAnsi="Times New Roman"/>
                <w:sz w:val="17"/>
                <w:szCs w:val="17"/>
                <w:color w:val="auto"/>
                <w:w w:val="70"/>
              </w:rPr>
              <w:t>$</w:t>
            </w: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603,199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securities at estimated fair value:</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Industrial, miscellaneous and all other</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3,739,763</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1,059,494</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(204,627)</w:t>
            </w:r>
          </w:p>
        </w:tc>
        <w:tc>
          <w:tcPr>
            <w:tcW w:w="10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4,594,630</w:t>
            </w:r>
          </w:p>
        </w:tc>
        <w:tc>
          <w:tcPr>
            <w:tcW w:w="0" w:type="dxa"/>
            <w:vAlign w:val="bottom"/>
          </w:tcPr>
          <w:p>
            <w:pPr>
              <w:spacing w:after="0"/>
              <w:rPr>
                <w:sz w:val="1"/>
                <w:szCs w:val="1"/>
                <w:color w:val="auto"/>
              </w:rPr>
            </w:pPr>
          </w:p>
        </w:tc>
      </w:tr>
      <w:tr>
        <w:trPr>
          <w:trHeight w:val="257"/>
        </w:trPr>
        <w:tc>
          <w:tcPr>
            <w:tcW w:w="4040" w:type="dxa"/>
            <w:vAlign w:val="bottom"/>
            <w:tcBorders>
              <w:top w:val="single" w:sz="8" w:color="CCEEFF"/>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Total equity securities at estimated fair value</w:t>
            </w:r>
          </w:p>
        </w:tc>
        <w:tc>
          <w:tcPr>
            <w:tcW w:w="140" w:type="dxa"/>
            <w:vAlign w:val="bottom"/>
            <w:tcBorders>
              <w:top w:val="single" w:sz="8" w:color="CCEEFF"/>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3,739,763</w:t>
            </w:r>
          </w:p>
        </w:tc>
        <w:tc>
          <w:tcPr>
            <w:tcW w:w="140" w:type="dxa"/>
            <w:vAlign w:val="bottom"/>
            <w:tcBorders>
              <w:top w:val="single" w:sz="8" w:color="CCEEFF"/>
              <w:bottom w:val="single" w:sz="8" w:color="CCEEFF"/>
            </w:tcBorders>
          </w:tcPr>
          <w:p>
            <w:pPr>
              <w:spacing w:after="0"/>
              <w:rPr>
                <w:sz w:val="22"/>
                <w:szCs w:val="22"/>
                <w:color w:val="auto"/>
              </w:rPr>
            </w:pPr>
          </w:p>
        </w:tc>
        <w:tc>
          <w:tcPr>
            <w:tcW w:w="200" w:type="dxa"/>
            <w:vAlign w:val="bottom"/>
            <w:tcBorders>
              <w:top w:val="single" w:sz="8" w:color="CCEEFF"/>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1,059,494</w:t>
            </w:r>
          </w:p>
        </w:tc>
        <w:tc>
          <w:tcPr>
            <w:tcW w:w="180" w:type="dxa"/>
            <w:vAlign w:val="bottom"/>
            <w:tcBorders>
              <w:top w:val="single" w:sz="8" w:color="CCEEFF"/>
              <w:bottom w:val="single" w:sz="8" w:color="CCEEFF"/>
            </w:tcBorders>
          </w:tcPr>
          <w:p>
            <w:pPr>
              <w:spacing w:after="0"/>
              <w:rPr>
                <w:sz w:val="22"/>
                <w:szCs w:val="22"/>
                <w:color w:val="auto"/>
              </w:rPr>
            </w:pPr>
          </w:p>
        </w:tc>
        <w:tc>
          <w:tcPr>
            <w:tcW w:w="160" w:type="dxa"/>
            <w:vAlign w:val="bottom"/>
            <w:tcBorders>
              <w:top w:val="single" w:sz="8" w:color="CCEEFF"/>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(204,627</w:t>
            </w:r>
          </w:p>
        </w:tc>
        <w:tc>
          <w:tcPr>
            <w:tcW w:w="340" w:type="dxa"/>
            <w:vAlign w:val="bottom"/>
            <w:tcBorders>
              <w:top w:val="single" w:sz="8" w:color="CCEEFF"/>
              <w:bottom w:val="single" w:sz="8" w:color="CCEEFF"/>
            </w:tcBorders>
          </w:tcPr>
          <w:p>
            <w:pPr>
              <w:jc w:val="right"/>
              <w:ind w:right="170"/>
              <w:spacing w:after="0"/>
              <w:rPr>
                <w:sz w:val="20"/>
                <w:szCs w:val="20"/>
                <w:color w:val="auto"/>
              </w:rPr>
            </w:pPr>
            <w:r>
              <w:rPr>
                <w:rFonts w:ascii="Times New Roman" w:cs="Times New Roman" w:eastAsia="Times New Roman" w:hAnsi="Times New Roman"/>
                <w:sz w:val="18"/>
                <w:szCs w:val="18"/>
                <w:color w:val="auto"/>
                <w:w w:val="99"/>
              </w:rPr>
              <w:t>)</w:t>
            </w:r>
          </w:p>
        </w:tc>
        <w:tc>
          <w:tcPr>
            <w:tcW w:w="1040" w:type="dxa"/>
            <w:vAlign w:val="bottom"/>
            <w:tcBorders>
              <w:top w:val="single" w:sz="8" w:color="CCEEFF"/>
              <w:bottom w:val="single" w:sz="8" w:color="CCEEFF"/>
            </w:tcBorders>
          </w:tcPr>
          <w:p>
            <w:pPr>
              <w:spacing w:after="0"/>
              <w:rPr>
                <w:sz w:val="22"/>
                <w:szCs w:val="22"/>
                <w:color w:val="auto"/>
              </w:rPr>
            </w:pPr>
          </w:p>
        </w:tc>
        <w:tc>
          <w:tcPr>
            <w:tcW w:w="60" w:type="dxa"/>
            <w:vAlign w:val="bottom"/>
            <w:tcBorders>
              <w:top w:val="single" w:sz="8" w:color="CCEEFF"/>
              <w:bottom w:val="single" w:sz="8" w:color="CCEEFF"/>
            </w:tcBorders>
          </w:tcPr>
          <w:p>
            <w:pPr>
              <w:spacing w:after="0"/>
              <w:rPr>
                <w:sz w:val="22"/>
                <w:szCs w:val="22"/>
                <w:color w:val="auto"/>
              </w:rPr>
            </w:pPr>
          </w:p>
        </w:tc>
        <w:tc>
          <w:tcPr>
            <w:tcW w:w="320" w:type="dxa"/>
            <w:vAlign w:val="bottom"/>
            <w:tcBorders>
              <w:top w:val="single" w:sz="8" w:color="CCEEFF"/>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4,594,630</w:t>
            </w:r>
          </w:p>
        </w:tc>
        <w:tc>
          <w:tcPr>
            <w:tcW w:w="100" w:type="dxa"/>
            <w:vAlign w:val="bottom"/>
            <w:tcBorders>
              <w:top w:val="single" w:sz="8" w:color="CCEEFF"/>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1060" w:type="dxa"/>
            <w:vAlign w:val="bottom"/>
            <w:shd w:val="clear" w:color="auto" w:fill="CCEEFF"/>
          </w:tcPr>
          <w:p>
            <w:pPr>
              <w:spacing w:after="0"/>
              <w:rPr>
                <w:sz w:val="17"/>
                <w:szCs w:val="17"/>
                <w:color w:val="auto"/>
              </w:rPr>
            </w:pPr>
          </w:p>
        </w:tc>
        <w:tc>
          <w:tcPr>
            <w:tcW w:w="2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Mortgage loans held for investment at amortized cost: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Residential construction</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115,000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Commercial</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1,920,000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(4,070)</w:t>
            </w: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040" w:type="dxa"/>
            <w:vAlign w:val="bottom"/>
            <w:tcBorders>
              <w:top w:val="single" w:sz="8" w:color="CCEEFF"/>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Total mortgage loans held for investment</w:t>
            </w:r>
          </w:p>
        </w:tc>
        <w:tc>
          <w:tcPr>
            <w:tcW w:w="140" w:type="dxa"/>
            <w:vAlign w:val="bottom"/>
            <w:tcBorders>
              <w:top w:val="single" w:sz="8" w:color="CCEEFF"/>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2,030,930</w:t>
            </w:r>
          </w:p>
        </w:tc>
        <w:tc>
          <w:tcPr>
            <w:tcW w:w="140" w:type="dxa"/>
            <w:vAlign w:val="bottom"/>
            <w:tcBorders>
              <w:top w:val="single" w:sz="8" w:color="CCEEFF"/>
              <w:bottom w:val="single" w:sz="8" w:color="CCEEFF"/>
            </w:tcBorders>
          </w:tcPr>
          <w:p>
            <w:pPr>
              <w:spacing w:after="0"/>
              <w:rPr>
                <w:sz w:val="22"/>
                <w:szCs w:val="22"/>
                <w:color w:val="auto"/>
              </w:rPr>
            </w:pPr>
          </w:p>
        </w:tc>
        <w:tc>
          <w:tcPr>
            <w:tcW w:w="200" w:type="dxa"/>
            <w:vAlign w:val="bottom"/>
            <w:tcBorders>
              <w:top w:val="single" w:sz="8" w:color="CCEEFF"/>
              <w:bottom w:val="single" w:sz="8" w:color="CCEEFF"/>
            </w:tcBorders>
          </w:tcPr>
          <w:p>
            <w:pPr>
              <w:spacing w:after="0"/>
              <w:rPr>
                <w:sz w:val="22"/>
                <w:szCs w:val="22"/>
                <w:color w:val="auto"/>
              </w:rPr>
            </w:pPr>
          </w:p>
        </w:tc>
        <w:tc>
          <w:tcPr>
            <w:tcW w:w="140" w:type="dxa"/>
            <w:vAlign w:val="bottom"/>
            <w:tcBorders>
              <w:top w:val="single" w:sz="8" w:color="CCEEFF"/>
              <w:bottom w:val="single" w:sz="8" w:color="CCEEFF"/>
            </w:tcBorders>
          </w:tcPr>
          <w:p>
            <w:pPr>
              <w:spacing w:after="0"/>
              <w:rPr>
                <w:sz w:val="22"/>
                <w:szCs w:val="22"/>
                <w:color w:val="auto"/>
              </w:rPr>
            </w:pPr>
          </w:p>
        </w:tc>
        <w:tc>
          <w:tcPr>
            <w:tcW w:w="1000" w:type="dxa"/>
            <w:vAlign w:val="bottom"/>
            <w:tcBorders>
              <w:top w:val="single" w:sz="8" w:color="CCEEFF"/>
              <w:bottom w:val="single" w:sz="8" w:color="CCEEFF"/>
            </w:tcBorders>
          </w:tcPr>
          <w:p>
            <w:pPr>
              <w:spacing w:after="0"/>
              <w:rPr>
                <w:sz w:val="22"/>
                <w:szCs w:val="22"/>
                <w:color w:val="auto"/>
              </w:rPr>
            </w:pPr>
          </w:p>
        </w:tc>
        <w:tc>
          <w:tcPr>
            <w:tcW w:w="180" w:type="dxa"/>
            <w:vAlign w:val="bottom"/>
            <w:tcBorders>
              <w:top w:val="single" w:sz="8" w:color="CCEEFF"/>
              <w:bottom w:val="single" w:sz="8" w:color="CCEEFF"/>
            </w:tcBorders>
          </w:tcPr>
          <w:p>
            <w:pPr>
              <w:spacing w:after="0"/>
              <w:rPr>
                <w:sz w:val="22"/>
                <w:szCs w:val="22"/>
                <w:color w:val="auto"/>
              </w:rPr>
            </w:pPr>
          </w:p>
        </w:tc>
        <w:tc>
          <w:tcPr>
            <w:tcW w:w="160" w:type="dxa"/>
            <w:vAlign w:val="bottom"/>
            <w:tcBorders>
              <w:top w:val="single" w:sz="8" w:color="CCEEFF"/>
              <w:bottom w:val="single" w:sz="8" w:color="CCEEFF"/>
            </w:tcBorders>
          </w:tcPr>
          <w:p>
            <w:pPr>
              <w:spacing w:after="0"/>
              <w:rPr>
                <w:sz w:val="22"/>
                <w:szCs w:val="22"/>
                <w:color w:val="auto"/>
              </w:rPr>
            </w:pPr>
          </w:p>
        </w:tc>
        <w:tc>
          <w:tcPr>
            <w:tcW w:w="140" w:type="dxa"/>
            <w:vAlign w:val="bottom"/>
            <w:tcBorders>
              <w:top w:val="single" w:sz="8" w:color="CCEEFF"/>
              <w:bottom w:val="single" w:sz="8" w:color="CCEEFF"/>
            </w:tcBorders>
          </w:tcPr>
          <w:p>
            <w:pPr>
              <w:spacing w:after="0"/>
              <w:rPr>
                <w:sz w:val="22"/>
                <w:szCs w:val="22"/>
                <w:color w:val="auto"/>
              </w:rPr>
            </w:pPr>
          </w:p>
        </w:tc>
        <w:tc>
          <w:tcPr>
            <w:tcW w:w="980" w:type="dxa"/>
            <w:vAlign w:val="bottom"/>
            <w:tcBorders>
              <w:top w:val="single" w:sz="8" w:color="CCEEFF"/>
              <w:bottom w:val="single" w:sz="8" w:color="CCEEFF"/>
            </w:tcBorders>
          </w:tcPr>
          <w:p>
            <w:pPr>
              <w:spacing w:after="0"/>
              <w:rPr>
                <w:sz w:val="22"/>
                <w:szCs w:val="22"/>
                <w:color w:val="auto"/>
              </w:rPr>
            </w:pPr>
          </w:p>
        </w:tc>
        <w:tc>
          <w:tcPr>
            <w:tcW w:w="340" w:type="dxa"/>
            <w:vAlign w:val="bottom"/>
            <w:tcBorders>
              <w:top w:val="single" w:sz="8" w:color="CCEEFF"/>
              <w:bottom w:val="single" w:sz="8" w:color="CCEEFF"/>
            </w:tcBorders>
          </w:tcPr>
          <w:p>
            <w:pPr>
              <w:spacing w:after="0"/>
              <w:rPr>
                <w:sz w:val="22"/>
                <w:szCs w:val="22"/>
                <w:color w:val="auto"/>
              </w:rPr>
            </w:pPr>
          </w:p>
        </w:tc>
        <w:tc>
          <w:tcPr>
            <w:tcW w:w="1040" w:type="dxa"/>
            <w:vAlign w:val="bottom"/>
            <w:tcBorders>
              <w:top w:val="single" w:sz="8" w:color="CCEEFF"/>
              <w:bottom w:val="single" w:sz="8" w:color="CCEEFF"/>
            </w:tcBorders>
          </w:tcPr>
          <w:p>
            <w:pPr>
              <w:spacing w:after="0"/>
              <w:rPr>
                <w:sz w:val="22"/>
                <w:szCs w:val="22"/>
                <w:color w:val="auto"/>
              </w:rPr>
            </w:pPr>
          </w:p>
        </w:tc>
        <w:tc>
          <w:tcPr>
            <w:tcW w:w="60" w:type="dxa"/>
            <w:vAlign w:val="bottom"/>
            <w:tcBorders>
              <w:top w:val="single" w:sz="8" w:color="CCEEFF"/>
              <w:bottom w:val="single" w:sz="8" w:color="CCEEFF"/>
            </w:tcBorders>
          </w:tcPr>
          <w:p>
            <w:pPr>
              <w:spacing w:after="0"/>
              <w:rPr>
                <w:sz w:val="22"/>
                <w:szCs w:val="22"/>
                <w:color w:val="auto"/>
              </w:rPr>
            </w:pPr>
          </w:p>
        </w:tc>
        <w:tc>
          <w:tcPr>
            <w:tcW w:w="320" w:type="dxa"/>
            <w:vAlign w:val="bottom"/>
            <w:tcBorders>
              <w:top w:val="single" w:sz="8" w:color="CCEEFF"/>
              <w:bottom w:val="single" w:sz="8" w:color="CCEEFF"/>
            </w:tcBorders>
          </w:tcPr>
          <w:p>
            <w:pPr>
              <w:spacing w:after="0"/>
              <w:rPr>
                <w:sz w:val="22"/>
                <w:szCs w:val="22"/>
                <w:color w:val="auto"/>
              </w:rPr>
            </w:pPr>
          </w:p>
        </w:tc>
        <w:tc>
          <w:tcPr>
            <w:tcW w:w="220" w:type="dxa"/>
            <w:vAlign w:val="bottom"/>
            <w:tcBorders>
              <w:top w:val="single" w:sz="8" w:color="CCEEFF"/>
              <w:bottom w:val="single" w:sz="8" w:color="CCEEFF"/>
            </w:tcBorders>
          </w:tcPr>
          <w:p>
            <w:pPr>
              <w:spacing w:after="0"/>
              <w:rPr>
                <w:sz w:val="22"/>
                <w:szCs w:val="22"/>
                <w:color w:val="auto"/>
              </w:rPr>
            </w:pPr>
          </w:p>
        </w:tc>
        <w:tc>
          <w:tcPr>
            <w:tcW w:w="900" w:type="dxa"/>
            <w:vAlign w:val="bottom"/>
            <w:tcBorders>
              <w:top w:val="single" w:sz="8" w:color="CCEEFF"/>
              <w:bottom w:val="single" w:sz="8" w:color="CCEEFF"/>
            </w:tcBorders>
          </w:tcPr>
          <w:p>
            <w:pPr>
              <w:spacing w:after="0"/>
              <w:rPr>
                <w:sz w:val="22"/>
                <w:szCs w:val="22"/>
                <w:color w:val="auto"/>
              </w:rPr>
            </w:pPr>
          </w:p>
        </w:tc>
        <w:tc>
          <w:tcPr>
            <w:tcW w:w="100" w:type="dxa"/>
            <w:vAlign w:val="bottom"/>
            <w:tcBorders>
              <w:top w:val="single" w:sz="8" w:color="CCEEFF"/>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1060" w:type="dxa"/>
            <w:vAlign w:val="bottom"/>
            <w:shd w:val="clear" w:color="auto" w:fill="CCEEFF"/>
          </w:tcPr>
          <w:p>
            <w:pPr>
              <w:spacing w:after="0"/>
              <w:rPr>
                <w:sz w:val="17"/>
                <w:szCs w:val="17"/>
                <w:color w:val="auto"/>
              </w:rPr>
            </w:pPr>
          </w:p>
        </w:tc>
        <w:tc>
          <w:tcPr>
            <w:tcW w:w="2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investment income</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20,248</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60" w:type="dxa"/>
            <w:vAlign w:val="bottom"/>
            <w:tcBorders>
              <w:top w:val="single" w:sz="8" w:color="CCEEFF"/>
            </w:tcBorders>
            <w:shd w:val="clear" w:color="auto" w:fill="CCEEFF"/>
          </w:tcPr>
          <w:p>
            <w:pPr>
              <w:spacing w:after="0"/>
              <w:rPr>
                <w:sz w:val="17"/>
                <w:szCs w:val="17"/>
                <w:color w:val="auto"/>
              </w:rPr>
            </w:pPr>
          </w:p>
        </w:tc>
        <w:tc>
          <w:tcPr>
            <w:tcW w:w="29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1,203,075</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1060" w:type="dxa"/>
            <w:vAlign w:val="bottom"/>
            <w:tcBorders>
              <w:top w:val="single" w:sz="8" w:color="CCEEFF"/>
            </w:tcBorders>
            <w:shd w:val="clear" w:color="auto" w:fill="CCEEFF"/>
          </w:tcPr>
          <w:p>
            <w:pPr>
              <w:spacing w:after="0"/>
              <w:rPr>
                <w:sz w:val="17"/>
                <w:szCs w:val="17"/>
                <w:color w:val="auto"/>
              </w:rPr>
            </w:pPr>
          </w:p>
        </w:tc>
        <w:tc>
          <w:tcPr>
            <w:tcW w:w="29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cemetery perpetual care trust investments</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8,452,082</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1060" w:type="dxa"/>
            <w:vAlign w:val="bottom"/>
            <w:tcBorders>
              <w:top w:val="single" w:sz="8" w:color="CCEEFF"/>
            </w:tcBorders>
            <w:shd w:val="clear" w:color="auto" w:fill="CCEEFF"/>
          </w:tcPr>
          <w:p>
            <w:pPr>
              <w:spacing w:after="0"/>
              <w:rPr>
                <w:sz w:val="17"/>
                <w:szCs w:val="17"/>
                <w:color w:val="auto"/>
              </w:rPr>
            </w:pPr>
          </w:p>
        </w:tc>
        <w:tc>
          <w:tcPr>
            <w:tcW w:w="29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Cemetery perpetual care obligation</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(5,487,676)</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60" w:type="dxa"/>
            <w:vAlign w:val="bottom"/>
            <w:tcBorders>
              <w:top w:val="single" w:sz="8" w:color="CCEEFF"/>
            </w:tcBorders>
            <w:shd w:val="clear" w:color="auto" w:fill="CCEEFF"/>
          </w:tcPr>
          <w:p>
            <w:pPr>
              <w:spacing w:after="0"/>
              <w:rPr>
                <w:sz w:val="17"/>
                <w:szCs w:val="17"/>
                <w:color w:val="auto"/>
              </w:rPr>
            </w:pPr>
          </w:p>
        </w:tc>
        <w:tc>
          <w:tcPr>
            <w:tcW w:w="29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Trust investments in excess of trust obligations</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2,964,406</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106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gridSpan w:val="2"/>
            <w:vMerge w:val="continue"/>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61" w:right="339" w:bottom="1440" w:gutter="0" w:footer="0" w:header="0"/>
        </w:sectPr>
      </w:pPr>
    </w:p>
    <w:bookmarkStart w:id="62" w:name="page63"/>
    <w:bookmarkEnd w:id="62"/>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June 30, 2024 (Unaudited)</w:t>
      </w:r>
    </w:p>
    <w:p>
      <w:pPr>
        <w:spacing w:after="0" w:line="176" w:lineRule="exact"/>
        <w:rPr>
          <w:sz w:val="20"/>
          <w:szCs w:val="20"/>
          <w:color w:val="auto"/>
        </w:rPr>
      </w:pPr>
    </w:p>
    <w:p>
      <w:pPr>
        <w:ind w:left="300" w:hanging="292"/>
        <w:spacing w:after="0"/>
        <w:tabs>
          <w:tab w:leader="none" w:pos="3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Cemetery Perpetual Care Trust Investments and Obligations and Restricted Assets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the cemetery perpetual care investments and obligation as of December 31, 2023, are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Gross Unrealized</w:t>
            </w:r>
          </w:p>
        </w:tc>
        <w:tc>
          <w:tcPr>
            <w:tcW w:w="100" w:type="dxa"/>
            <w:vAlign w:val="bottom"/>
          </w:tcPr>
          <w:p>
            <w:pPr>
              <w:spacing w:after="0"/>
              <w:rPr>
                <w:sz w:val="18"/>
                <w:szCs w:val="18"/>
                <w:color w:val="auto"/>
              </w:rPr>
            </w:pPr>
          </w:p>
        </w:tc>
        <w:tc>
          <w:tcPr>
            <w:tcW w:w="154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w w:val="97"/>
              </w:rPr>
              <w:t>Gross Unrealized</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Estimated Fair</w:t>
            </w:r>
          </w:p>
        </w:tc>
        <w:tc>
          <w:tcPr>
            <w:tcW w:w="0" w:type="dxa"/>
            <w:vAlign w:val="bottom"/>
          </w:tcPr>
          <w:p>
            <w:pPr>
              <w:spacing w:after="0"/>
              <w:rPr>
                <w:sz w:val="1"/>
                <w:szCs w:val="1"/>
                <w:color w:val="auto"/>
              </w:rPr>
            </w:pPr>
          </w:p>
        </w:tc>
      </w:tr>
      <w:tr>
        <w:trPr>
          <w:trHeight w:val="241"/>
        </w:trPr>
        <w:tc>
          <w:tcPr>
            <w:tcW w:w="1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Amortized Cost</w:t>
            </w:r>
          </w:p>
        </w:tc>
        <w:tc>
          <w:tcPr>
            <w:tcW w:w="100" w:type="dxa"/>
            <w:vAlign w:val="bottom"/>
          </w:tcPr>
          <w:p>
            <w:pPr>
              <w:spacing w:after="0"/>
              <w:rPr>
                <w:sz w:val="20"/>
                <w:szCs w:val="20"/>
                <w:color w:val="auto"/>
              </w:rPr>
            </w:pPr>
          </w:p>
        </w:tc>
        <w:tc>
          <w:tcPr>
            <w:tcW w:w="172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Gains</w:t>
            </w:r>
          </w:p>
        </w:tc>
        <w:tc>
          <w:tcPr>
            <w:tcW w:w="100" w:type="dxa"/>
            <w:vAlign w:val="bottom"/>
          </w:tcPr>
          <w:p>
            <w:pPr>
              <w:spacing w:after="0"/>
              <w:rPr>
                <w:sz w:val="20"/>
                <w:szCs w:val="20"/>
                <w:color w:val="auto"/>
              </w:rPr>
            </w:pPr>
          </w:p>
        </w:tc>
        <w:tc>
          <w:tcPr>
            <w:tcW w:w="1540" w:type="dxa"/>
            <w:vAlign w:val="bottom"/>
            <w:gridSpan w:val="2"/>
          </w:tcPr>
          <w:p>
            <w:pPr>
              <w:jc w:val="right"/>
              <w:ind w:right="601"/>
              <w:spacing w:after="0"/>
              <w:rPr>
                <w:sz w:val="20"/>
                <w:szCs w:val="20"/>
                <w:color w:val="auto"/>
              </w:rPr>
            </w:pPr>
            <w:r>
              <w:rPr>
                <w:rFonts w:ascii="Times New Roman" w:cs="Times New Roman" w:eastAsia="Times New Roman" w:hAnsi="Times New Roman"/>
                <w:sz w:val="18"/>
                <w:szCs w:val="18"/>
                <w:color w:val="auto"/>
              </w:rPr>
              <w:t>Losses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7"/>
              </w:rPr>
              <w:t>Value</w:t>
            </w:r>
          </w:p>
        </w:tc>
        <w:tc>
          <w:tcPr>
            <w:tcW w:w="0" w:type="dxa"/>
            <w:vAlign w:val="bottom"/>
          </w:tcPr>
          <w:p>
            <w:pPr>
              <w:spacing w:after="0"/>
              <w:rPr>
                <w:sz w:val="1"/>
                <w:szCs w:val="1"/>
                <w:color w:val="auto"/>
              </w:rPr>
            </w:pPr>
          </w:p>
        </w:tc>
      </w:tr>
      <w:tr>
        <w:trPr>
          <w:trHeight w:val="196"/>
        </w:trPr>
        <w:tc>
          <w:tcPr>
            <w:tcW w:w="1480" w:type="dxa"/>
            <w:vAlign w:val="bottom"/>
            <w:tcBorders>
              <w:top w:val="single" w:sz="8" w:color="CCEEFF"/>
              <w:bottom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w w:val="99"/>
              </w:rPr>
              <w:t>December 31, 2023:</w:t>
            </w:r>
          </w:p>
        </w:tc>
        <w:tc>
          <w:tcPr>
            <w:tcW w:w="262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CCEEFF"/>
            </w:tcBorders>
            <w:shd w:val="clear" w:color="auto" w:fill="CCEEFF"/>
          </w:tcPr>
          <w:p>
            <w:pPr>
              <w:spacing w:after="0"/>
              <w:rPr>
                <w:sz w:val="17"/>
                <w:szCs w:val="17"/>
                <w:color w:val="auto"/>
              </w:rPr>
            </w:pPr>
          </w:p>
        </w:tc>
        <w:tc>
          <w:tcPr>
            <w:tcW w:w="1340" w:type="dxa"/>
            <w:vAlign w:val="bottom"/>
            <w:tcBorders>
              <w:top w:val="single" w:sz="8" w:color="auto"/>
              <w:bottom w:val="single" w:sz="8" w:color="CCEEFF"/>
            </w:tcBorders>
            <w:shd w:val="clear" w:color="auto" w:fill="CCEEFF"/>
          </w:tcPr>
          <w:p>
            <w:pPr>
              <w:spacing w:after="0"/>
              <w:rPr>
                <w:sz w:val="17"/>
                <w:szCs w:val="17"/>
                <w:color w:val="auto"/>
              </w:rPr>
            </w:pP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CCEEFF"/>
            </w:tcBorders>
            <w:shd w:val="clear" w:color="auto" w:fill="CCEEFF"/>
          </w:tcPr>
          <w:p>
            <w:pPr>
              <w:spacing w:after="0"/>
              <w:rPr>
                <w:sz w:val="17"/>
                <w:szCs w:val="17"/>
                <w:color w:val="auto"/>
              </w:rPr>
            </w:pPr>
          </w:p>
        </w:tc>
        <w:tc>
          <w:tcPr>
            <w:tcW w:w="1380" w:type="dxa"/>
            <w:vAlign w:val="bottom"/>
            <w:tcBorders>
              <w:top w:val="single" w:sz="8" w:color="auto"/>
              <w:bottom w:val="single" w:sz="8" w:color="CCEEFF"/>
            </w:tcBorders>
            <w:shd w:val="clear" w:color="auto" w:fill="CCEEFF"/>
          </w:tcPr>
          <w:p>
            <w:pPr>
              <w:spacing w:after="0"/>
              <w:rPr>
                <w:sz w:val="17"/>
                <w:szCs w:val="17"/>
                <w:color w:val="auto"/>
              </w:rPr>
            </w:pP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CCEEFF"/>
            </w:tcBorders>
            <w:shd w:val="clear" w:color="auto" w:fill="CCEEFF"/>
          </w:tcPr>
          <w:p>
            <w:pPr>
              <w:spacing w:after="0"/>
              <w:rPr>
                <w:sz w:val="17"/>
                <w:szCs w:val="17"/>
                <w:color w:val="auto"/>
              </w:rPr>
            </w:pPr>
          </w:p>
        </w:tc>
        <w:tc>
          <w:tcPr>
            <w:tcW w:w="1340" w:type="dxa"/>
            <w:vAlign w:val="bottom"/>
            <w:tcBorders>
              <w:top w:val="single" w:sz="8" w:color="auto"/>
              <w:bottom w:val="single" w:sz="8" w:color="CCEEFF"/>
            </w:tcBorders>
            <w:shd w:val="clear" w:color="auto" w:fill="CCEEFF"/>
          </w:tcPr>
          <w:p>
            <w:pPr>
              <w:spacing w:after="0"/>
              <w:rPr>
                <w:sz w:val="17"/>
                <w:szCs w:val="17"/>
                <w:color w:val="auto"/>
              </w:rPr>
            </w:pP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CCEEFF"/>
            </w:tcBorders>
            <w:shd w:val="clear" w:color="auto" w:fill="CCEEFF"/>
          </w:tcPr>
          <w:p>
            <w:pPr>
              <w:spacing w:after="0"/>
              <w:rPr>
                <w:sz w:val="17"/>
                <w:szCs w:val="17"/>
                <w:color w:val="auto"/>
              </w:rPr>
            </w:pPr>
          </w:p>
        </w:tc>
        <w:tc>
          <w:tcPr>
            <w:tcW w:w="1300" w:type="dxa"/>
            <w:vAlign w:val="bottom"/>
            <w:tcBorders>
              <w:top w:val="single" w:sz="8" w:color="auto"/>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10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Fixed maturity securities, available for sale, at</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estimated fair value:</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100" w:type="dxa"/>
            <w:vAlign w:val="bottom"/>
            <w:gridSpan w:val="3"/>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U.S. Treasury securities and obligations of U.S.</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Government agencies</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477,797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302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(574)</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477,525</w:t>
            </w:r>
          </w:p>
        </w:tc>
        <w:tc>
          <w:tcPr>
            <w:tcW w:w="0" w:type="dxa"/>
            <w:vAlign w:val="bottom"/>
          </w:tcPr>
          <w:p>
            <w:pPr>
              <w:spacing w:after="0"/>
              <w:rPr>
                <w:sz w:val="1"/>
                <w:szCs w:val="1"/>
                <w:color w:val="auto"/>
              </w:rPr>
            </w:pPr>
          </w:p>
        </w:tc>
      </w:tr>
      <w:tr>
        <w:trPr>
          <w:trHeight w:val="216"/>
        </w:trPr>
        <w:tc>
          <w:tcPr>
            <w:tcW w:w="41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115,792</w:t>
            </w:r>
          </w:p>
        </w:tc>
        <w:tc>
          <w:tcPr>
            <w:tcW w:w="100" w:type="dxa"/>
            <w:vAlign w:val="bottom"/>
          </w:tcPr>
          <w:p>
            <w:pPr>
              <w:spacing w:after="0"/>
              <w:rPr>
                <w:sz w:val="18"/>
                <w:szCs w:val="18"/>
                <w:color w:val="auto"/>
              </w:rPr>
            </w:pPr>
          </w:p>
        </w:tc>
        <w:tc>
          <w:tcPr>
            <w:tcW w:w="17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5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(5,114)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110,678</w:t>
            </w:r>
          </w:p>
        </w:tc>
        <w:tc>
          <w:tcPr>
            <w:tcW w:w="0" w:type="dxa"/>
            <w:vAlign w:val="bottom"/>
          </w:tcPr>
          <w:p>
            <w:pPr>
              <w:spacing w:after="0"/>
              <w:rPr>
                <w:sz w:val="1"/>
                <w:szCs w:val="1"/>
                <w:color w:val="auto"/>
              </w:rPr>
            </w:pPr>
          </w:p>
        </w:tc>
      </w:tr>
      <w:tr>
        <w:trPr>
          <w:trHeight w:val="250"/>
        </w:trPr>
        <w:tc>
          <w:tcPr>
            <w:tcW w:w="41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 securities including public utilities</w:t>
            </w: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53,672</w:t>
            </w:r>
          </w:p>
        </w:tc>
        <w:tc>
          <w:tcPr>
            <w:tcW w:w="100" w:type="dxa"/>
            <w:vAlign w:val="bottom"/>
            <w:shd w:val="clear" w:color="auto" w:fill="CCEEFF"/>
          </w:tcPr>
          <w:p>
            <w:pPr>
              <w:spacing w:after="0"/>
              <w:rPr>
                <w:sz w:val="21"/>
                <w:szCs w:val="21"/>
                <w:color w:val="auto"/>
              </w:rPr>
            </w:pPr>
          </w:p>
        </w:tc>
        <w:tc>
          <w:tcPr>
            <w:tcW w:w="17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5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(171)</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53,501</w:t>
            </w:r>
          </w:p>
        </w:tc>
        <w:tc>
          <w:tcPr>
            <w:tcW w:w="0" w:type="dxa"/>
            <w:vAlign w:val="bottom"/>
          </w:tcPr>
          <w:p>
            <w:pPr>
              <w:spacing w:after="0"/>
              <w:rPr>
                <w:sz w:val="1"/>
                <w:szCs w:val="1"/>
                <w:color w:val="auto"/>
              </w:rPr>
            </w:pPr>
          </w:p>
        </w:tc>
      </w:tr>
      <w:tr>
        <w:trPr>
          <w:trHeight w:val="256"/>
        </w:trPr>
        <w:tc>
          <w:tcPr>
            <w:tcW w:w="4100" w:type="dxa"/>
            <w:vAlign w:val="bottom"/>
            <w:tcBorders>
              <w:top w:val="single" w:sz="8" w:color="CCEEFF"/>
              <w:bottom w:val="single" w:sz="8" w:color="CCEEFF"/>
            </w:tcBorders>
            <w:gridSpan w:val="3"/>
          </w:tcPr>
          <w:p>
            <w:pPr>
              <w:ind w:left="360"/>
              <w:spacing w:after="0"/>
              <w:rPr>
                <w:sz w:val="20"/>
                <w:szCs w:val="20"/>
                <w:color w:val="auto"/>
              </w:rPr>
            </w:pPr>
            <w:r>
              <w:rPr>
                <w:rFonts w:ascii="Times New Roman" w:cs="Times New Roman" w:eastAsia="Times New Roman" w:hAnsi="Times New Roman"/>
                <w:sz w:val="18"/>
                <w:szCs w:val="18"/>
                <w:color w:val="auto"/>
              </w:rPr>
              <w:t>Total fixed maturity securities available for sale</w:t>
            </w:r>
          </w:p>
        </w:tc>
        <w:tc>
          <w:tcPr>
            <w:tcW w:w="180" w:type="dxa"/>
            <w:vAlign w:val="bottom"/>
            <w:tcBorders>
              <w:top w:val="single" w:sz="8" w:color="CCEEFF"/>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647,261</w:t>
            </w:r>
          </w:p>
        </w:tc>
        <w:tc>
          <w:tcPr>
            <w:tcW w:w="340" w:type="dxa"/>
            <w:vAlign w:val="bottom"/>
            <w:tcBorders>
              <w:top w:val="single" w:sz="8" w:color="CCEEFF"/>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340" w:type="dxa"/>
            <w:vAlign w:val="bottom"/>
            <w:tcBorders>
              <w:top w:val="single" w:sz="8" w:color="CCEEFF"/>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(5,859</w:t>
            </w:r>
          </w:p>
        </w:tc>
        <w:tc>
          <w:tcPr>
            <w:tcW w:w="200" w:type="dxa"/>
            <w:vAlign w:val="bottom"/>
            <w:tcBorders>
              <w:top w:val="single" w:sz="8" w:color="CCEEFF"/>
              <w:bottom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CEEFF"/>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641,704</w:t>
            </w:r>
          </w:p>
        </w:tc>
        <w:tc>
          <w:tcPr>
            <w:tcW w:w="100" w:type="dxa"/>
            <w:vAlign w:val="bottom"/>
            <w:tcBorders>
              <w:top w:val="single" w:sz="8" w:color="CCEEFF"/>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14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Equity securities at estimated fair value:</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Industrial, miscellaneous and all other</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3,614,392</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859,680</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(146,771)</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4,327,301</w:t>
            </w:r>
          </w:p>
        </w:tc>
        <w:tc>
          <w:tcPr>
            <w:tcW w:w="0" w:type="dxa"/>
            <w:vAlign w:val="bottom"/>
          </w:tcPr>
          <w:p>
            <w:pPr>
              <w:spacing w:after="0"/>
              <w:rPr>
                <w:sz w:val="1"/>
                <w:szCs w:val="1"/>
                <w:color w:val="auto"/>
              </w:rPr>
            </w:pPr>
          </w:p>
        </w:tc>
      </w:tr>
      <w:tr>
        <w:trPr>
          <w:trHeight w:val="230"/>
        </w:trPr>
        <w:tc>
          <w:tcPr>
            <w:tcW w:w="4100" w:type="dxa"/>
            <w:vAlign w:val="bottom"/>
            <w:tcBorders>
              <w:top w:val="single" w:sz="8" w:color="CCEEFF"/>
              <w:bottom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equity securities at estimated fair value</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3,614,392</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859,680</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(146,771</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4,327,301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 loans held for investment at amortized cost: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41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Residential construction</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247,360</w:t>
            </w: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1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(495)</w:t>
            </w:r>
          </w:p>
        </w:tc>
        <w:tc>
          <w:tcPr>
            <w:tcW w:w="10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100" w:type="dxa"/>
            <w:vAlign w:val="bottom"/>
            <w:tcBorders>
              <w:top w:val="single" w:sz="8" w:color="CCEEFF"/>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Total mortgage loans held for investment</w:t>
            </w:r>
          </w:p>
        </w:tc>
        <w:tc>
          <w:tcPr>
            <w:tcW w:w="180" w:type="dxa"/>
            <w:vAlign w:val="bottom"/>
            <w:tcBorders>
              <w:top w:val="single" w:sz="8" w:color="CCEEFF"/>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246,865</w:t>
            </w:r>
          </w:p>
        </w:tc>
        <w:tc>
          <w:tcPr>
            <w:tcW w:w="340" w:type="dxa"/>
            <w:vAlign w:val="bottom"/>
            <w:tcBorders>
              <w:top w:val="single" w:sz="8" w:color="CCEEFF"/>
              <w:bottom w:val="single" w:sz="8" w:color="CCEEFF"/>
            </w:tcBorders>
          </w:tcPr>
          <w:p>
            <w:pPr>
              <w:spacing w:after="0"/>
              <w:rPr>
                <w:sz w:val="22"/>
                <w:szCs w:val="22"/>
                <w:color w:val="auto"/>
              </w:rPr>
            </w:pPr>
          </w:p>
        </w:tc>
        <w:tc>
          <w:tcPr>
            <w:tcW w:w="100" w:type="dxa"/>
            <w:vAlign w:val="bottom"/>
            <w:tcBorders>
              <w:top w:val="single" w:sz="8" w:color="CCEEFF"/>
              <w:bottom w:val="single" w:sz="8" w:color="CCEEFF"/>
            </w:tcBorders>
          </w:tcPr>
          <w:p>
            <w:pPr>
              <w:spacing w:after="0"/>
              <w:rPr>
                <w:sz w:val="22"/>
                <w:szCs w:val="22"/>
                <w:color w:val="auto"/>
              </w:rPr>
            </w:pPr>
          </w:p>
        </w:tc>
        <w:tc>
          <w:tcPr>
            <w:tcW w:w="1380" w:type="dxa"/>
            <w:vAlign w:val="bottom"/>
            <w:tcBorders>
              <w:top w:val="single" w:sz="8" w:color="CCEEFF"/>
              <w:bottom w:val="single" w:sz="8" w:color="CCEEFF"/>
            </w:tcBorders>
          </w:tcPr>
          <w:p>
            <w:pPr>
              <w:spacing w:after="0"/>
              <w:rPr>
                <w:sz w:val="22"/>
                <w:szCs w:val="22"/>
                <w:color w:val="auto"/>
              </w:rPr>
            </w:pPr>
          </w:p>
        </w:tc>
        <w:tc>
          <w:tcPr>
            <w:tcW w:w="340" w:type="dxa"/>
            <w:vAlign w:val="bottom"/>
            <w:tcBorders>
              <w:top w:val="single" w:sz="8" w:color="CCEEFF"/>
              <w:bottom w:val="single" w:sz="8" w:color="CCEEFF"/>
            </w:tcBorders>
          </w:tcPr>
          <w:p>
            <w:pPr>
              <w:spacing w:after="0"/>
              <w:rPr>
                <w:sz w:val="22"/>
                <w:szCs w:val="22"/>
                <w:color w:val="auto"/>
              </w:rPr>
            </w:pPr>
          </w:p>
        </w:tc>
        <w:tc>
          <w:tcPr>
            <w:tcW w:w="100" w:type="dxa"/>
            <w:vAlign w:val="bottom"/>
            <w:tcBorders>
              <w:top w:val="single" w:sz="8" w:color="CCEEFF"/>
              <w:bottom w:val="single" w:sz="8" w:color="CCEEFF"/>
            </w:tcBorders>
          </w:tcPr>
          <w:p>
            <w:pPr>
              <w:spacing w:after="0"/>
              <w:rPr>
                <w:sz w:val="22"/>
                <w:szCs w:val="22"/>
                <w:color w:val="auto"/>
              </w:rPr>
            </w:pPr>
          </w:p>
        </w:tc>
        <w:tc>
          <w:tcPr>
            <w:tcW w:w="1340" w:type="dxa"/>
            <w:vAlign w:val="bottom"/>
            <w:tcBorders>
              <w:top w:val="single" w:sz="8" w:color="CCEEFF"/>
              <w:bottom w:val="single" w:sz="8" w:color="CCEEFF"/>
            </w:tcBorders>
          </w:tcPr>
          <w:p>
            <w:pPr>
              <w:spacing w:after="0"/>
              <w:rPr>
                <w:sz w:val="22"/>
                <w:szCs w:val="22"/>
                <w:color w:val="auto"/>
              </w:rPr>
            </w:pPr>
          </w:p>
        </w:tc>
        <w:tc>
          <w:tcPr>
            <w:tcW w:w="200" w:type="dxa"/>
            <w:vAlign w:val="bottom"/>
            <w:tcBorders>
              <w:top w:val="single" w:sz="8" w:color="CCEEFF"/>
              <w:bottom w:val="single" w:sz="8" w:color="CCEEFF"/>
            </w:tcBorders>
          </w:tcPr>
          <w:p>
            <w:pPr>
              <w:spacing w:after="0"/>
              <w:rPr>
                <w:sz w:val="22"/>
                <w:szCs w:val="22"/>
                <w:color w:val="auto"/>
              </w:rPr>
            </w:pPr>
          </w:p>
        </w:tc>
        <w:tc>
          <w:tcPr>
            <w:tcW w:w="120" w:type="dxa"/>
            <w:vAlign w:val="bottom"/>
            <w:tcBorders>
              <w:top w:val="single" w:sz="8" w:color="CCEEFF"/>
              <w:bottom w:val="single" w:sz="8" w:color="CCEEFF"/>
            </w:tcBorders>
          </w:tcPr>
          <w:p>
            <w:pPr>
              <w:spacing w:after="0"/>
              <w:rPr>
                <w:sz w:val="22"/>
                <w:szCs w:val="22"/>
                <w:color w:val="auto"/>
              </w:rPr>
            </w:pPr>
          </w:p>
        </w:tc>
        <w:tc>
          <w:tcPr>
            <w:tcW w:w="160" w:type="dxa"/>
            <w:vAlign w:val="bottom"/>
            <w:tcBorders>
              <w:top w:val="single" w:sz="8" w:color="CCEEFF"/>
              <w:bottom w:val="single" w:sz="8" w:color="CCEEFF"/>
            </w:tcBorders>
          </w:tcPr>
          <w:p>
            <w:pPr>
              <w:spacing w:after="0"/>
              <w:rPr>
                <w:sz w:val="22"/>
                <w:szCs w:val="22"/>
                <w:color w:val="auto"/>
              </w:rPr>
            </w:pPr>
          </w:p>
        </w:tc>
        <w:tc>
          <w:tcPr>
            <w:tcW w:w="1300" w:type="dxa"/>
            <w:vAlign w:val="bottom"/>
            <w:tcBorders>
              <w:top w:val="single" w:sz="8" w:color="CCEEFF"/>
              <w:bottom w:val="single" w:sz="8" w:color="CCEEFF"/>
            </w:tcBorders>
          </w:tcPr>
          <w:p>
            <w:pPr>
              <w:spacing w:after="0"/>
              <w:rPr>
                <w:sz w:val="22"/>
                <w:szCs w:val="22"/>
                <w:color w:val="auto"/>
              </w:rPr>
            </w:pPr>
          </w:p>
        </w:tc>
        <w:tc>
          <w:tcPr>
            <w:tcW w:w="100" w:type="dxa"/>
            <w:vAlign w:val="bottom"/>
            <w:tcBorders>
              <w:top w:val="single" w:sz="8" w:color="CCEEFF"/>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14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4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2,867,047</w:t>
            </w: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4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22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4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cemetery perpetual care trust investments</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8,082,917</w:t>
            </w: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4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22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4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Cemetery perpetual care obligation</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(5,326,196)</w:t>
            </w: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14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22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Trust investments in excess of trust obligations</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2,756,721</w:t>
            </w:r>
          </w:p>
        </w:tc>
        <w:tc>
          <w:tcPr>
            <w:tcW w:w="1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1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Fixed Maturity Securities</w:t>
            </w: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100" w:type="dxa"/>
            <w:vAlign w:val="bottom"/>
            <w:gridSpan w:val="3"/>
            <w:vMerge w:val="continue"/>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4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table below summarizes unrealized losses on fixed maturity securities available for sale that were carried at estimated fair value as of June 30, 2024 and December 31, 2023. The tables set forth unrealized losses by duration with the fair value of the related fixed maturity securities:</w:t>
      </w:r>
    </w:p>
    <w:p>
      <w:pPr>
        <w:sectPr>
          <w:pgSz w:w="11900" w:h="16838" w:orient="portrait"/>
          <w:cols w:equalWidth="0" w:num="1">
            <w:col w:w="11240"/>
          </w:cols>
          <w:pgMar w:left="320" w:top="66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June 30, 2024</w:t>
      </w:r>
    </w:p>
    <w:p>
      <w:pPr>
        <w:spacing w:after="0" w:line="27"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U.S. Treasury securities and obligations of U.S. Government agencies</w:t>
      </w:r>
    </w:p>
    <w:p>
      <w:pPr>
        <w:spacing w:after="0" w:line="1" w:lineRule="exact"/>
        <w:rPr>
          <w:sz w:val="20"/>
          <w:szCs w:val="20"/>
          <w:color w:val="auto"/>
        </w:rPr>
      </w:pPr>
    </w:p>
    <w:p>
      <w:pPr>
        <w:ind w:right="1000"/>
        <w:spacing w:after="0" w:line="292" w:lineRule="auto"/>
        <w:rPr>
          <w:sz w:val="20"/>
          <w:szCs w:val="20"/>
          <w:color w:val="auto"/>
        </w:rPr>
      </w:pPr>
      <w:r>
        <w:rPr>
          <w:rFonts w:ascii="Times New Roman" w:cs="Times New Roman" w:eastAsia="Times New Roman" w:hAnsi="Times New Roman"/>
          <w:sz w:val="18"/>
          <w:szCs w:val="18"/>
          <w:color w:val="auto"/>
        </w:rPr>
        <w:t>Obligations of states and political subdivisions Totals</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16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color w:val="auto"/>
              </w:rPr>
              <w:t>Unrealized</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Unrealized</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116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color w:val="auto"/>
              </w:rPr>
              <w:t>Losses for</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Losses for</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116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color w:val="auto"/>
                <w:w w:val="99"/>
              </w:rPr>
              <w:t>Less than</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More than</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106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6"/>
              </w:rPr>
              <w:t>Twelve</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Twelve</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4"/>
          </w:tcPr>
          <w:p>
            <w:pPr>
              <w:jc w:val="right"/>
              <w:ind w:right="320"/>
              <w:spacing w:after="0"/>
              <w:rPr>
                <w:sz w:val="20"/>
                <w:szCs w:val="20"/>
                <w:color w:val="auto"/>
              </w:rPr>
            </w:pPr>
            <w:r>
              <w:rPr>
                <w:rFonts w:ascii="Times New Roman" w:cs="Times New Roman" w:eastAsia="Times New Roman" w:hAnsi="Times New Roman"/>
                <w:sz w:val="18"/>
                <w:szCs w:val="18"/>
                <w:color w:val="auto"/>
              </w:rPr>
              <w:t>Unrealized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41"/>
        </w:trPr>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rPr>
              <w:t>Months</w:t>
            </w:r>
          </w:p>
        </w:tc>
        <w:tc>
          <w:tcPr>
            <w:tcW w:w="360" w:type="dxa"/>
            <w:vAlign w:val="bottom"/>
          </w:tcPr>
          <w:p>
            <w:pPr>
              <w:spacing w:after="0"/>
              <w:rPr>
                <w:sz w:val="20"/>
                <w:szCs w:val="20"/>
                <w:color w:val="auto"/>
              </w:rPr>
            </w:pPr>
          </w:p>
        </w:tc>
        <w:tc>
          <w:tcPr>
            <w:tcW w:w="8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w w:val="99"/>
              </w:rPr>
              <w:t>Fair Value</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Months</w:t>
            </w:r>
          </w:p>
        </w:tc>
        <w:tc>
          <w:tcPr>
            <w:tcW w:w="320" w:type="dxa"/>
            <w:vAlign w:val="bottom"/>
          </w:tcPr>
          <w:p>
            <w:pPr>
              <w:spacing w:after="0"/>
              <w:rPr>
                <w:sz w:val="20"/>
                <w:szCs w:val="20"/>
                <w:color w:val="auto"/>
              </w:rPr>
            </w:pPr>
          </w:p>
        </w:tc>
        <w:tc>
          <w:tcPr>
            <w:tcW w:w="7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w w:val="96"/>
              </w:rPr>
              <w:t>Fair Value</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Loss</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6"/>
              </w:rPr>
              <w:t>Fair Value</w:t>
            </w:r>
          </w:p>
        </w:tc>
      </w:tr>
      <w:tr>
        <w:trPr>
          <w:trHeight w:val="643"/>
        </w:trPr>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1,975</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144,156</w:t>
            </w:r>
          </w:p>
        </w:tc>
        <w:tc>
          <w:tcPr>
            <w:tcW w:w="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1,975</w:t>
            </w:r>
          </w:p>
        </w:tc>
        <w:tc>
          <w:tcPr>
            <w:tcW w:w="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144,156</w:t>
            </w:r>
          </w:p>
        </w:tc>
      </w:tr>
      <w:tr>
        <w:trPr>
          <w:trHeight w:val="241"/>
        </w:trPr>
        <w:tc>
          <w:tcPr>
            <w:tcW w:w="100" w:type="dxa"/>
            <w:vAlign w:val="bottom"/>
          </w:tcPr>
          <w:p>
            <w:pPr>
              <w:spacing w:after="0"/>
              <w:rPr>
                <w:sz w:val="20"/>
                <w:szCs w:val="20"/>
                <w:color w:val="auto"/>
              </w:rPr>
            </w:pPr>
          </w:p>
        </w:tc>
        <w:tc>
          <w:tcPr>
            <w:tcW w:w="1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6,908</w:t>
            </w:r>
          </w:p>
        </w:tc>
        <w:tc>
          <w:tcPr>
            <w:tcW w:w="140" w:type="dxa"/>
            <w:vAlign w:val="bottom"/>
          </w:tcPr>
          <w:p>
            <w:pPr>
              <w:spacing w:after="0"/>
              <w:rPr>
                <w:sz w:val="20"/>
                <w:szCs w:val="20"/>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120,165</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6,908</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120,165</w:t>
            </w:r>
          </w:p>
        </w:tc>
      </w:tr>
      <w:tr>
        <w:trPr>
          <w:trHeight w:val="230"/>
        </w:trPr>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1,975</w:t>
            </w:r>
          </w:p>
        </w:tc>
        <w:tc>
          <w:tcPr>
            <w:tcW w:w="3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144,156</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6,908</w:t>
            </w: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120,165</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8,883</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264,321</w:t>
            </w: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-3004185</wp:posOffset>
            </wp:positionH>
            <wp:positionV relativeFrom="paragraph">
              <wp:posOffset>-753745</wp:posOffset>
            </wp:positionV>
            <wp:extent cx="7132320" cy="1454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-3004185</wp:posOffset>
            </wp:positionH>
            <wp:positionV relativeFrom="paragraph">
              <wp:posOffset>-333375</wp:posOffset>
            </wp:positionV>
            <wp:extent cx="7132320" cy="15430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4380" w:space="360"/>
            <w:col w:w="6500"/>
          </w:cols>
          <w:pgMar w:left="320" w:top="661" w:right="3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1420" w:type="dxa"/>
            <w:vAlign w:val="bottom"/>
            <w:shd w:val="clear" w:color="auto" w:fill="CCEEFF"/>
          </w:tcPr>
          <w:p>
            <w:pPr>
              <w:spacing w:after="0"/>
              <w:rPr>
                <w:sz w:val="17"/>
                <w:szCs w:val="17"/>
                <w:color w:val="auto"/>
              </w:rPr>
            </w:pPr>
          </w:p>
        </w:tc>
        <w:tc>
          <w:tcPr>
            <w:tcW w:w="3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75"/>
        </w:trPr>
        <w:tc>
          <w:tcPr>
            <w:tcW w:w="47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December 31, 2023</w:t>
            </w: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1420" w:type="dxa"/>
            <w:vAlign w:val="bottom"/>
            <w:tcBorders>
              <w:top w:val="single" w:sz="8" w:color="auto"/>
            </w:tcBorders>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8"/>
        </w:trPr>
        <w:tc>
          <w:tcPr>
            <w:tcW w:w="47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U.S. Treasury securities and obligations of U.S. Government</w:t>
            </w:r>
          </w:p>
        </w:tc>
        <w:tc>
          <w:tcPr>
            <w:tcW w:w="3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agencies</w:t>
            </w: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574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143,448</w:t>
            </w:r>
          </w:p>
        </w:tc>
        <w:tc>
          <w:tcPr>
            <w:tcW w:w="42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574</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143,448</w:t>
            </w:r>
          </w:p>
        </w:tc>
      </w:tr>
      <w:tr>
        <w:trPr>
          <w:trHeight w:val="216"/>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30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5,114</w:t>
            </w: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110,678</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5,114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110,678</w:t>
            </w:r>
          </w:p>
        </w:tc>
      </w:tr>
      <w:tr>
        <w:trPr>
          <w:trHeight w:val="249"/>
        </w:trPr>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securities including public utilities</w:t>
            </w:r>
          </w:p>
        </w:tc>
        <w:tc>
          <w:tcPr>
            <w:tcW w:w="30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171</w:t>
            </w:r>
          </w:p>
        </w:tc>
        <w:tc>
          <w:tcPr>
            <w:tcW w:w="14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53,501</w:t>
            </w:r>
          </w:p>
        </w:tc>
        <w:tc>
          <w:tcPr>
            <w:tcW w:w="1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171</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53,501</w:t>
            </w:r>
          </w:p>
        </w:tc>
      </w:tr>
      <w:tr>
        <w:trPr>
          <w:trHeight w:val="216"/>
        </w:trPr>
        <w:tc>
          <w:tcPr>
            <w:tcW w:w="474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Totals</w:t>
            </w:r>
          </w:p>
        </w:tc>
        <w:tc>
          <w:tcPr>
            <w:tcW w:w="30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36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143,448</w:t>
            </w: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5,285</w:t>
            </w:r>
          </w:p>
        </w:tc>
        <w:tc>
          <w:tcPr>
            <w:tcW w:w="32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164,179</w:t>
            </w: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5,859</w:t>
            </w: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307,627</w:t>
            </w:r>
          </w:p>
        </w:tc>
        <w:tc>
          <w:tcPr>
            <w:tcW w:w="100" w:type="dxa"/>
            <w:vAlign w:val="bottom"/>
            <w:tcBorders>
              <w:top w:val="single" w:sz="8" w:color="CCEEFF"/>
            </w:tcBorders>
          </w:tcPr>
          <w:p>
            <w:pPr>
              <w:spacing w:after="0"/>
              <w:rPr>
                <w:sz w:val="18"/>
                <w:szCs w:val="18"/>
                <w:color w:val="auto"/>
              </w:rPr>
            </w:pPr>
          </w:p>
        </w:tc>
      </w:tr>
      <w:tr>
        <w:trPr>
          <w:trHeight w:val="20"/>
        </w:trPr>
        <w:tc>
          <w:tcPr>
            <w:tcW w:w="14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9"/>
        </w:trPr>
        <w:tc>
          <w:tcPr>
            <w:tcW w:w="142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60</w:t>
            </w: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1" w:right="339" w:bottom="1440" w:gutter="0" w:footer="0" w:header="0"/>
          <w:type w:val="continuous"/>
        </w:sectPr>
      </w:pPr>
    </w:p>
    <w:bookmarkStart w:id="63" w:name="page64"/>
    <w:bookmarkEnd w:id="63"/>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June 30, 2024 (Unaudited)</w:t>
      </w:r>
    </w:p>
    <w:p>
      <w:pPr>
        <w:spacing w:after="0" w:line="176" w:lineRule="exact"/>
        <w:rPr>
          <w:sz w:val="20"/>
          <w:szCs w:val="20"/>
          <w:color w:val="auto"/>
        </w:rPr>
      </w:pPr>
    </w:p>
    <w:p>
      <w:pPr>
        <w:ind w:left="300" w:hanging="292"/>
        <w:spacing w:after="0"/>
        <w:tabs>
          <w:tab w:leader="none" w:pos="3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Cemetery Perpetual Care Trust Investments and Obligations and Restricted Assets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Relevant holdings were comprised of three securities with fair values aggregating 96.7% of the aggregate amortized cost as of June 30, 2024. Relevant holdings were comprised of four securities with fair values aggregating 98.1% of aggregate amortized cost as of December 31, 2023. No credit losses have been recognized for the three and six month periods ended June 30, 2024 and 2023, since the increase in unrealized losses is primarily a result of increases in interest rates. See Note 3 for additional information regarding the Company’s evaluation of the allowance for credit losses for fixed maturity securities available for sale.</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table below presents the amortized cost and estimated fair value of fixed maturity securities available for sale as of June 30, 2024, by contractual maturity. Expected maturities may differ from contractual maturities because certain borrowers may have the right to call or prepay obligations with or without call or prepayment penalties.</w:t>
      </w:r>
    </w:p>
    <w:p>
      <w:pPr>
        <w:sectPr>
          <w:pgSz w:w="11900" w:h="16838" w:orient="portrait"/>
          <w:cols w:equalWidth="0" w:num="1">
            <w:col w:w="11240"/>
          </w:cols>
          <w:pgMar w:left="320" w:top="66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Due in 1 year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Due in 2-5 years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Due in 5-10 years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Due in more than 10 years</w:t>
      </w:r>
    </w:p>
    <w:p>
      <w:pPr>
        <w:spacing w:after="0" w:line="1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180" w:type="dxa"/>
            <w:vAlign w:val="bottom"/>
          </w:tcPr>
          <w:p>
            <w:pPr>
              <w:spacing w:after="0"/>
              <w:rPr>
                <w:sz w:val="19"/>
                <w:szCs w:val="19"/>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rPr>
              <w:t>Amortized</w:t>
            </w:r>
          </w:p>
        </w:tc>
        <w:tc>
          <w:tcPr>
            <w:tcW w:w="100" w:type="dxa"/>
            <w:vAlign w:val="bottom"/>
          </w:tcPr>
          <w:p>
            <w:pPr>
              <w:spacing w:after="0"/>
              <w:rPr>
                <w:sz w:val="19"/>
                <w:szCs w:val="19"/>
                <w:color w:val="auto"/>
              </w:rPr>
            </w:pP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8"/>
              </w:rPr>
              <w:t>Estimated Fair</w:t>
            </w:r>
          </w:p>
        </w:tc>
      </w:tr>
      <w:tr>
        <w:trPr>
          <w:trHeight w:val="241"/>
        </w:trPr>
        <w:tc>
          <w:tcPr>
            <w:tcW w:w="180" w:type="dxa"/>
            <w:vAlign w:val="bottom"/>
          </w:tcPr>
          <w:p>
            <w:pPr>
              <w:spacing w:after="0"/>
              <w:rPr>
                <w:sz w:val="20"/>
                <w:szCs w:val="20"/>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rPr>
              <w:t>Cost</w:t>
            </w:r>
          </w:p>
        </w:tc>
        <w:tc>
          <w:tcPr>
            <w:tcW w:w="100" w:type="dxa"/>
            <w:vAlign w:val="bottom"/>
          </w:tcPr>
          <w:p>
            <w:pPr>
              <w:spacing w:after="0"/>
              <w:rPr>
                <w:sz w:val="20"/>
                <w:szCs w:val="20"/>
                <w:color w:val="auto"/>
              </w:rPr>
            </w:pP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2"/>
              </w:rPr>
              <w:t>Value</w:t>
            </w:r>
          </w:p>
        </w:tc>
      </w:tr>
      <w:tr>
        <w:trPr>
          <w:trHeight w:val="198"/>
        </w:trPr>
        <w:tc>
          <w:tcPr>
            <w:tcW w:w="18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297,377</w:t>
            </w:r>
          </w:p>
        </w:tc>
        <w:tc>
          <w:tcPr>
            <w:tcW w:w="18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298,857</w:t>
            </w:r>
          </w:p>
        </w:tc>
        <w:tc>
          <w:tcPr>
            <w:tcW w:w="20" w:type="dxa"/>
            <w:vAlign w:val="bottom"/>
          </w:tcPr>
          <w:p>
            <w:pPr>
              <w:spacing w:after="0"/>
              <w:rPr>
                <w:sz w:val="17"/>
                <w:szCs w:val="17"/>
                <w:color w:val="auto"/>
              </w:rPr>
            </w:pPr>
          </w:p>
        </w:tc>
      </w:tr>
      <w:tr>
        <w:trPr>
          <w:trHeight w:val="216"/>
        </w:trPr>
        <w:tc>
          <w:tcPr>
            <w:tcW w:w="18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260,123</w:t>
            </w:r>
          </w:p>
        </w:tc>
        <w:tc>
          <w:tcPr>
            <w:tcW w:w="10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252,508</w:t>
            </w:r>
          </w:p>
        </w:tc>
      </w:tr>
      <w:tr>
        <w:trPr>
          <w:trHeight w:val="229"/>
        </w:trPr>
        <w:tc>
          <w:tcPr>
            <w:tcW w:w="18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41"/>
        </w:trPr>
        <w:tc>
          <w:tcPr>
            <w:tcW w:w="18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53,081</w:t>
            </w:r>
          </w:p>
        </w:tc>
        <w:tc>
          <w:tcPr>
            <w:tcW w:w="100" w:type="dxa"/>
            <w:vAlign w:val="bottom"/>
          </w:tcPr>
          <w:p>
            <w:pPr>
              <w:spacing w:after="0"/>
              <w:rPr>
                <w:sz w:val="20"/>
                <w:szCs w:val="20"/>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51,834</w:t>
            </w:r>
          </w:p>
        </w:tc>
      </w:tr>
      <w:tr>
        <w:trPr>
          <w:trHeight w:val="229"/>
        </w:trPr>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610,581</w:t>
            </w:r>
          </w:p>
        </w:tc>
        <w:tc>
          <w:tcPr>
            <w:tcW w:w="1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603,199</w:t>
            </w:r>
          </w:p>
        </w:tc>
      </w:tr>
      <w:tr>
        <w:trPr>
          <w:trHeight w:val="20"/>
        </w:trPr>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3"/>
        </w:trPr>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rPr>
              <w:t>61</w:t>
            </w: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-2483485</wp:posOffset>
            </wp:positionH>
            <wp:positionV relativeFrom="paragraph">
              <wp:posOffset>-1028065</wp:posOffset>
            </wp:positionV>
            <wp:extent cx="4277360" cy="1454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4277360" cy="145415"/>
                    </a:xfrm>
                    <a:prstGeom prst="rect">
                      <a:avLst/>
                    </a:prstGeom>
                    <a:noFill/>
                  </pic:spPr>
                </pic:pic>
              </a:graphicData>
            </a:graphic>
          </wp:anchor>
        </w:drawing>
        <w:drawing>
          <wp:anchor simplePos="0" relativeHeight="251657728" behindDoc="1" locked="0" layoutInCell="0" allowOverlap="1">
            <wp:simplePos x="0" y="0"/>
            <wp:positionH relativeFrom="column">
              <wp:posOffset>-2483485</wp:posOffset>
            </wp:positionH>
            <wp:positionV relativeFrom="paragraph">
              <wp:posOffset>-745490</wp:posOffset>
            </wp:positionV>
            <wp:extent cx="4277360" cy="13716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4277360" cy="137160"/>
                    </a:xfrm>
                    <a:prstGeom prst="rect">
                      <a:avLst/>
                    </a:prstGeom>
                    <a:noFill/>
                  </pic:spPr>
                </pic:pic>
              </a:graphicData>
            </a:graphic>
          </wp:anchor>
        </w:drawing>
        <w:drawing>
          <wp:anchor simplePos="0" relativeHeight="251657728" behindDoc="1" locked="0" layoutInCell="0" allowOverlap="1">
            <wp:simplePos x="0" y="0"/>
            <wp:positionH relativeFrom="column">
              <wp:posOffset>-2483485</wp:posOffset>
            </wp:positionH>
            <wp:positionV relativeFrom="paragraph">
              <wp:posOffset>-454025</wp:posOffset>
            </wp:positionV>
            <wp:extent cx="4277360" cy="16319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4277360" cy="163195"/>
                    </a:xfrm>
                    <a:prstGeom prst="rect">
                      <a:avLst/>
                    </a:prstGeom>
                    <a:noFill/>
                  </pic:spPr>
                </pic:pic>
              </a:graphicData>
            </a:graphic>
          </wp:anchor>
        </w:drawing>
        <w:drawing>
          <wp:anchor simplePos="0" relativeHeight="251657728" behindDoc="1" locked="0" layoutInCell="0" allowOverlap="1">
            <wp:simplePos x="0" y="0"/>
            <wp:positionH relativeFrom="column">
              <wp:posOffset>-2483485</wp:posOffset>
            </wp:positionH>
            <wp:positionV relativeFrom="paragraph">
              <wp:posOffset>0</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3200" w:space="720"/>
            <w:col w:w="7320"/>
          </w:cols>
          <w:pgMar w:left="320" w:top="661" w:right="339" w:bottom="1440" w:gutter="0" w:footer="0" w:header="0"/>
          <w:type w:val="continuous"/>
        </w:sectPr>
      </w:pPr>
    </w:p>
    <w:bookmarkStart w:id="64" w:name="page65"/>
    <w:bookmarkEnd w:id="64"/>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June 30, 2024 (Unaudited)</w:t>
      </w:r>
    </w:p>
    <w:p>
      <w:pPr>
        <w:spacing w:after="0" w:line="176" w:lineRule="exact"/>
        <w:rPr>
          <w:sz w:val="20"/>
          <w:szCs w:val="20"/>
          <w:color w:val="auto"/>
        </w:rPr>
      </w:pPr>
    </w:p>
    <w:p>
      <w:pPr>
        <w:ind w:left="300" w:hanging="292"/>
        <w:spacing w:after="0"/>
        <w:tabs>
          <w:tab w:leader="none" w:pos="3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Cemetery Perpetual Care Trust Investments and Obligations and Restricted Assets</w:t>
      </w:r>
      <w:r>
        <w:rPr>
          <w:rFonts w:ascii="Times New Roman" w:cs="Times New Roman" w:eastAsia="Times New Roman" w:hAnsi="Times New Roman"/>
          <w:sz w:val="18"/>
          <w:szCs w:val="18"/>
          <w:color w:val="auto"/>
        </w:rPr>
        <w:t xml:space="preserve"> (Continued)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Assets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also established certain restricted assets to provide for future merchandise and service obligations incurred in connection with its pre-need sales for its cemetery and mortuary segment.</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Restricted cash also represents escrows held for borrowers and investors under servicing and appraisal agreements relating to mortgage loans, funds held by warehouse banks in accordance with loan purchase agreements and funds held in escrow for certain real estate construction development projects. Additionally, the Company elected to maintain its medical benefit fund without change from the prior year and has included this amount as a component of restricted cash. These restricted cash items are for the Company’s life insurance and mortgage segments.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Restricted assets as of June 30, 2024, are summarized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6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Gross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right="370"/>
              <w:spacing w:after="0"/>
              <w:rPr>
                <w:sz w:val="20"/>
                <w:szCs w:val="20"/>
                <w:color w:val="auto"/>
              </w:rPr>
            </w:pPr>
            <w:r>
              <w:rPr>
                <w:rFonts w:ascii="Times New Roman" w:cs="Times New Roman" w:eastAsia="Times New Roman" w:hAnsi="Times New Roman"/>
                <w:sz w:val="18"/>
                <w:szCs w:val="18"/>
                <w:color w:val="auto"/>
                <w:w w:val="99"/>
              </w:rPr>
              <w:t>Gross</w:t>
            </w: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6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Amortized</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8"/>
              </w:rPr>
              <w:t>Unrealized</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right="370"/>
              <w:spacing w:after="0"/>
              <w:rPr>
                <w:sz w:val="20"/>
                <w:szCs w:val="20"/>
                <w:color w:val="auto"/>
              </w:rPr>
            </w:pPr>
            <w:r>
              <w:rPr>
                <w:rFonts w:ascii="Times New Roman" w:cs="Times New Roman" w:eastAsia="Times New Roman" w:hAnsi="Times New Roman"/>
                <w:sz w:val="18"/>
                <w:szCs w:val="18"/>
                <w:color w:val="auto"/>
                <w:w w:val="98"/>
              </w:rPr>
              <w:t>Unrealized</w:t>
            </w:r>
          </w:p>
        </w:tc>
        <w:tc>
          <w:tcPr>
            <w:tcW w:w="142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Allowance for</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8"/>
              </w:rPr>
              <w:t>Estimated Fair</w:t>
            </w:r>
          </w:p>
        </w:tc>
      </w:tr>
      <w:tr>
        <w:trPr>
          <w:trHeight w:val="241"/>
        </w:trPr>
        <w:tc>
          <w:tcPr>
            <w:tcW w:w="106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color w:val="auto"/>
              </w:rPr>
              <w:t>Cost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Gains</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center"/>
              <w:ind w:right="370"/>
              <w:spacing w:after="0"/>
              <w:rPr>
                <w:sz w:val="20"/>
                <w:szCs w:val="20"/>
                <w:color w:val="auto"/>
              </w:rPr>
            </w:pPr>
            <w:r>
              <w:rPr>
                <w:rFonts w:ascii="Times New Roman" w:cs="Times New Roman" w:eastAsia="Times New Roman" w:hAnsi="Times New Roman"/>
                <w:sz w:val="18"/>
                <w:szCs w:val="18"/>
                <w:color w:val="auto"/>
              </w:rPr>
              <w:t>Losses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Credit Losses</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2"/>
              </w:rPr>
              <w:t>Value</w:t>
            </w:r>
          </w:p>
        </w:tc>
      </w:tr>
      <w:tr>
        <w:trPr>
          <w:trHeight w:val="176"/>
        </w:trPr>
        <w:tc>
          <w:tcPr>
            <w:tcW w:w="4180" w:type="dxa"/>
            <w:vAlign w:val="bottom"/>
            <w:tcBorders>
              <w:top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June 30, 2024:</w:t>
            </w:r>
          </w:p>
        </w:tc>
        <w:tc>
          <w:tcPr>
            <w:tcW w:w="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0"/>
        </w:trPr>
        <w:tc>
          <w:tcPr>
            <w:tcW w:w="1060" w:type="dxa"/>
            <w:vAlign w:val="bottom"/>
            <w:tcBorders>
              <w:top w:val="single" w:sz="8" w:color="auto"/>
            </w:tcBorders>
            <w:shd w:val="clear" w:color="auto" w:fill="CCEEFF"/>
          </w:tcPr>
          <w:p>
            <w:pPr>
              <w:spacing w:after="0" w:line="20" w:lineRule="exact"/>
              <w:rPr>
                <w:sz w:val="1"/>
                <w:szCs w:val="1"/>
                <w:color w:val="auto"/>
              </w:rPr>
            </w:pPr>
          </w:p>
        </w:tc>
        <w:tc>
          <w:tcPr>
            <w:tcW w:w="3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98"/>
        </w:trPr>
        <w:tc>
          <w:tcPr>
            <w:tcW w:w="41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Fixed maturity securities, available for sale, at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estimated fair value:</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4180" w:type="dxa"/>
            <w:vAlign w:val="bottom"/>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U.S. Treasury securities and obligations of U.S.</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4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Government agencies</w:t>
            </w:r>
          </w:p>
        </w:tc>
        <w:tc>
          <w:tcPr>
            <w:tcW w:w="140" w:type="dxa"/>
            <w:vAlign w:val="bottom"/>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796,855</w:t>
            </w:r>
          </w:p>
        </w:tc>
        <w:tc>
          <w:tcPr>
            <w:tcW w:w="18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3,235</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(3,440)</w:t>
            </w:r>
          </w:p>
        </w:tc>
        <w:tc>
          <w:tcPr>
            <w:tcW w:w="1040" w:type="dxa"/>
            <w:vAlign w:val="bottom"/>
            <w:shd w:val="clear" w:color="auto" w:fill="CCEEFF"/>
          </w:tcPr>
          <w:p>
            <w:pPr>
              <w:jc w:val="right"/>
              <w:ind w:right="873"/>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796,650</w:t>
            </w:r>
          </w:p>
        </w:tc>
      </w:tr>
      <w:tr>
        <w:trPr>
          <w:trHeight w:val="216"/>
        </w:trPr>
        <w:tc>
          <w:tcPr>
            <w:tcW w:w="4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551,620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(6,935)</w:t>
            </w:r>
          </w:p>
        </w:tc>
        <w:tc>
          <w:tcPr>
            <w:tcW w:w="1040" w:type="dxa"/>
            <w:vAlign w:val="bottom"/>
          </w:tcPr>
          <w:p>
            <w:pPr>
              <w:spacing w:after="0"/>
              <w:rPr>
                <w:sz w:val="18"/>
                <w:szCs w:val="18"/>
                <w:color w:val="auto"/>
              </w:rPr>
            </w:pPr>
          </w:p>
        </w:tc>
        <w:tc>
          <w:tcPr>
            <w:tcW w:w="3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544,691</w:t>
            </w:r>
          </w:p>
        </w:tc>
      </w:tr>
      <w:tr>
        <w:trPr>
          <w:trHeight w:val="250"/>
        </w:trPr>
        <w:tc>
          <w:tcPr>
            <w:tcW w:w="4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 securities including public utilities</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221,710</w:t>
            </w: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23</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(2,808)</w:t>
            </w:r>
          </w:p>
        </w:tc>
        <w:tc>
          <w:tcPr>
            <w:tcW w:w="1040" w:type="dxa"/>
            <w:vAlign w:val="bottom"/>
            <w:shd w:val="clear" w:color="auto" w:fill="CCEEFF"/>
          </w:tcPr>
          <w:p>
            <w:pPr>
              <w:spacing w:after="0"/>
              <w:rPr>
                <w:sz w:val="21"/>
                <w:szCs w:val="21"/>
                <w:color w:val="auto"/>
              </w:rPr>
            </w:pPr>
          </w:p>
        </w:tc>
        <w:tc>
          <w:tcPr>
            <w:tcW w:w="3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218,925</w:t>
            </w:r>
          </w:p>
        </w:tc>
      </w:tr>
      <w:tr>
        <w:trPr>
          <w:trHeight w:val="257"/>
        </w:trPr>
        <w:tc>
          <w:tcPr>
            <w:tcW w:w="4180" w:type="dxa"/>
            <w:vAlign w:val="bottom"/>
            <w:tcBorders>
              <w:top w:val="single" w:sz="8" w:color="CCEEFF"/>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Total fixed maturity securities available for sale</w:t>
            </w:r>
          </w:p>
        </w:tc>
        <w:tc>
          <w:tcPr>
            <w:tcW w:w="20" w:type="dxa"/>
            <w:vAlign w:val="bottom"/>
            <w:tcBorders>
              <w:top w:val="single" w:sz="8" w:color="CCEEFF"/>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1,570,185</w:t>
            </w:r>
          </w:p>
        </w:tc>
        <w:tc>
          <w:tcPr>
            <w:tcW w:w="20" w:type="dxa"/>
            <w:vAlign w:val="bottom"/>
            <w:tcBorders>
              <w:top w:val="single" w:sz="8" w:color="CCEEFF"/>
              <w:bottom w:val="single" w:sz="8" w:color="CCEEFF"/>
            </w:tcBorders>
          </w:tcPr>
          <w:p>
            <w:pPr>
              <w:spacing w:after="0"/>
              <w:rPr>
                <w:sz w:val="22"/>
                <w:szCs w:val="22"/>
                <w:color w:val="auto"/>
              </w:rPr>
            </w:pPr>
          </w:p>
        </w:tc>
        <w:tc>
          <w:tcPr>
            <w:tcW w:w="180" w:type="dxa"/>
            <w:vAlign w:val="bottom"/>
            <w:tcBorders>
              <w:top w:val="single" w:sz="8" w:color="CCEEFF"/>
              <w:bottom w:val="single" w:sz="8" w:color="CCEEFF"/>
            </w:tcBorders>
          </w:tcPr>
          <w:p>
            <w:pPr>
              <w:spacing w:after="0"/>
              <w:rPr>
                <w:sz w:val="22"/>
                <w:szCs w:val="22"/>
                <w:color w:val="auto"/>
              </w:rPr>
            </w:pPr>
          </w:p>
        </w:tc>
        <w:tc>
          <w:tcPr>
            <w:tcW w:w="140" w:type="dxa"/>
            <w:vAlign w:val="bottom"/>
            <w:tcBorders>
              <w:top w:val="single" w:sz="8" w:color="CCEEFF"/>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3,264</w:t>
            </w:r>
          </w:p>
        </w:tc>
        <w:tc>
          <w:tcPr>
            <w:tcW w:w="180" w:type="dxa"/>
            <w:vAlign w:val="bottom"/>
            <w:tcBorders>
              <w:top w:val="single" w:sz="8" w:color="CCEEFF"/>
              <w:bottom w:val="single" w:sz="8" w:color="CCEEFF"/>
            </w:tcBorders>
          </w:tcPr>
          <w:p>
            <w:pPr>
              <w:spacing w:after="0"/>
              <w:rPr>
                <w:sz w:val="22"/>
                <w:szCs w:val="22"/>
                <w:color w:val="auto"/>
              </w:rPr>
            </w:pPr>
          </w:p>
        </w:tc>
        <w:tc>
          <w:tcPr>
            <w:tcW w:w="160" w:type="dxa"/>
            <w:vAlign w:val="bottom"/>
            <w:tcBorders>
              <w:top w:val="single" w:sz="8" w:color="CCEEFF"/>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(13,183</w:t>
            </w:r>
          </w:p>
        </w:tc>
        <w:tc>
          <w:tcPr>
            <w:tcW w:w="340" w:type="dxa"/>
            <w:vAlign w:val="bottom"/>
            <w:tcBorders>
              <w:top w:val="single" w:sz="8" w:color="CCEEFF"/>
              <w:bottom w:val="single" w:sz="8" w:color="CCEEFF"/>
            </w:tcBorders>
          </w:tcPr>
          <w:p>
            <w:pPr>
              <w:jc w:val="right"/>
              <w:ind w:right="170"/>
              <w:spacing w:after="0"/>
              <w:rPr>
                <w:sz w:val="20"/>
                <w:szCs w:val="20"/>
                <w:color w:val="auto"/>
              </w:rPr>
            </w:pPr>
            <w:r>
              <w:rPr>
                <w:rFonts w:ascii="Times New Roman" w:cs="Times New Roman" w:eastAsia="Times New Roman" w:hAnsi="Times New Roman"/>
                <w:sz w:val="18"/>
                <w:szCs w:val="18"/>
                <w:color w:val="auto"/>
                <w:w w:val="99"/>
              </w:rPr>
              <w:t>)</w:t>
            </w:r>
          </w:p>
        </w:tc>
        <w:tc>
          <w:tcPr>
            <w:tcW w:w="1040" w:type="dxa"/>
            <w:vAlign w:val="bottom"/>
            <w:tcBorders>
              <w:top w:val="single" w:sz="8" w:color="auto"/>
              <w:bottom w:val="single" w:sz="8" w:color="auto"/>
            </w:tcBorders>
          </w:tcPr>
          <w:p>
            <w:pPr>
              <w:jc w:val="right"/>
              <w:ind w:right="873"/>
              <w:spacing w:after="0"/>
              <w:rPr>
                <w:sz w:val="20"/>
                <w:szCs w:val="20"/>
                <w:color w:val="auto"/>
              </w:rPr>
            </w:pPr>
            <w:r>
              <w:rPr>
                <w:rFonts w:ascii="Times New Roman" w:cs="Times New Roman" w:eastAsia="Times New Roman" w:hAnsi="Times New Roman"/>
                <w:sz w:val="17"/>
                <w:szCs w:val="17"/>
                <w:color w:val="auto"/>
                <w:w w:val="70"/>
              </w:rPr>
              <w:t>$</w:t>
            </w: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top w:val="single" w:sz="8" w:color="CCEEFF"/>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1,560,266</w:t>
            </w:r>
          </w:p>
        </w:tc>
        <w:tc>
          <w:tcPr>
            <w:tcW w:w="100" w:type="dxa"/>
            <w:vAlign w:val="bottom"/>
            <w:tcBorders>
              <w:top w:val="single" w:sz="8" w:color="CCEEFF"/>
              <w:bottom w:val="single" w:sz="8" w:color="CCEEFF"/>
            </w:tcBorders>
          </w:tcPr>
          <w:p>
            <w:pPr>
              <w:spacing w:after="0"/>
              <w:rPr>
                <w:sz w:val="22"/>
                <w:szCs w:val="22"/>
                <w:color w:val="auto"/>
              </w:rPr>
            </w:pPr>
          </w:p>
        </w:tc>
      </w:tr>
      <w:tr>
        <w:trPr>
          <w:trHeight w:val="196"/>
        </w:trPr>
        <w:tc>
          <w:tcPr>
            <w:tcW w:w="1060" w:type="dxa"/>
            <w:vAlign w:val="bottom"/>
            <w:shd w:val="clear" w:color="auto" w:fill="CCEEFF"/>
          </w:tcPr>
          <w:p>
            <w:pPr>
              <w:spacing w:after="0"/>
              <w:rPr>
                <w:sz w:val="17"/>
                <w:szCs w:val="17"/>
                <w:color w:val="auto"/>
              </w:rPr>
            </w:pPr>
          </w:p>
        </w:tc>
        <w:tc>
          <w:tcPr>
            <w:tcW w:w="3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 securities at estimated fair value: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7"/>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Industrial, miscellaneous and all other</w:t>
            </w:r>
          </w:p>
        </w:tc>
        <w:tc>
          <w:tcPr>
            <w:tcW w:w="140" w:type="dxa"/>
            <w:vAlign w:val="bottom"/>
            <w:gridSpan w:val="2"/>
          </w:tcPr>
          <w:p>
            <w:pPr>
              <w:jc w:val="right"/>
              <w:ind w:right="4"/>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7,435,400</w:t>
            </w:r>
          </w:p>
        </w:tc>
        <w:tc>
          <w:tcPr>
            <w:tcW w:w="180" w:type="dxa"/>
            <w:vAlign w:val="bottom"/>
          </w:tcPr>
          <w:p>
            <w:pPr>
              <w:spacing w:after="0"/>
              <w:rPr>
                <w:sz w:val="20"/>
                <w:szCs w:val="20"/>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1,487,896</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(376,325)</w:t>
            </w:r>
          </w:p>
        </w:tc>
        <w:tc>
          <w:tcPr>
            <w:tcW w:w="10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8,546,971</w:t>
            </w:r>
          </w:p>
        </w:tc>
      </w:tr>
      <w:tr>
        <w:trPr>
          <w:trHeight w:val="229"/>
        </w:trPr>
        <w:tc>
          <w:tcPr>
            <w:tcW w:w="4180" w:type="dxa"/>
            <w:vAlign w:val="bottom"/>
            <w:tcBorders>
              <w:top w:val="single" w:sz="8" w:color="CCEEFF"/>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equity securities at estimated fair value</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7,435,400</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1,487,896</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(376,325</w:t>
            </w:r>
          </w:p>
        </w:tc>
        <w:tc>
          <w:tcPr>
            <w:tcW w:w="340" w:type="dxa"/>
            <w:vAlign w:val="bottom"/>
            <w:tcBorders>
              <w:top w:val="single" w:sz="8" w:color="CCEEFF"/>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99"/>
              </w:rPr>
              <w:t>)</w:t>
            </w:r>
          </w:p>
        </w:tc>
        <w:tc>
          <w:tcPr>
            <w:tcW w:w="10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8,546,971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06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106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 loans held for investment at amortized cost: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Residential construction</w:t>
            </w:r>
          </w:p>
        </w:tc>
        <w:tc>
          <w:tcPr>
            <w:tcW w:w="140" w:type="dxa"/>
            <w:vAlign w:val="bottom"/>
            <w:gridSpan w:val="2"/>
          </w:tcPr>
          <w:p>
            <w:pPr>
              <w:jc w:val="right"/>
              <w:ind w:right="4"/>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639,061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9"/>
        </w:trPr>
        <w:tc>
          <w:tcPr>
            <w:tcW w:w="4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(1,278)</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57"/>
        </w:trPr>
        <w:tc>
          <w:tcPr>
            <w:tcW w:w="4180" w:type="dxa"/>
            <w:vAlign w:val="bottom"/>
            <w:tcBorders>
              <w:top w:val="single" w:sz="8" w:color="CCEEFF"/>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Total mortgage loans held for investment</w:t>
            </w:r>
          </w:p>
        </w:tc>
        <w:tc>
          <w:tcPr>
            <w:tcW w:w="20" w:type="dxa"/>
            <w:vAlign w:val="bottom"/>
            <w:tcBorders>
              <w:top w:val="single" w:sz="8" w:color="CCEEFF"/>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637,783</w:t>
            </w:r>
          </w:p>
        </w:tc>
        <w:tc>
          <w:tcPr>
            <w:tcW w:w="20" w:type="dxa"/>
            <w:vAlign w:val="bottom"/>
            <w:tcBorders>
              <w:top w:val="single" w:sz="8" w:color="CCEEFF"/>
              <w:bottom w:val="single" w:sz="8" w:color="CCEEFF"/>
            </w:tcBorders>
          </w:tcPr>
          <w:p>
            <w:pPr>
              <w:spacing w:after="0"/>
              <w:rPr>
                <w:sz w:val="22"/>
                <w:szCs w:val="22"/>
                <w:color w:val="auto"/>
              </w:rPr>
            </w:pPr>
          </w:p>
        </w:tc>
        <w:tc>
          <w:tcPr>
            <w:tcW w:w="180" w:type="dxa"/>
            <w:vAlign w:val="bottom"/>
            <w:tcBorders>
              <w:top w:val="single" w:sz="8" w:color="CCEEFF"/>
              <w:bottom w:val="single" w:sz="8" w:color="CCEEFF"/>
            </w:tcBorders>
          </w:tcPr>
          <w:p>
            <w:pPr>
              <w:spacing w:after="0"/>
              <w:rPr>
                <w:sz w:val="22"/>
                <w:szCs w:val="22"/>
                <w:color w:val="auto"/>
              </w:rPr>
            </w:pPr>
          </w:p>
        </w:tc>
        <w:tc>
          <w:tcPr>
            <w:tcW w:w="140" w:type="dxa"/>
            <w:vAlign w:val="bottom"/>
            <w:tcBorders>
              <w:top w:val="single" w:sz="8" w:color="CCEEFF"/>
              <w:bottom w:val="single" w:sz="8" w:color="CCEEFF"/>
            </w:tcBorders>
          </w:tcPr>
          <w:p>
            <w:pPr>
              <w:spacing w:after="0"/>
              <w:rPr>
                <w:sz w:val="22"/>
                <w:szCs w:val="22"/>
                <w:color w:val="auto"/>
              </w:rPr>
            </w:pPr>
          </w:p>
        </w:tc>
        <w:tc>
          <w:tcPr>
            <w:tcW w:w="140" w:type="dxa"/>
            <w:vAlign w:val="bottom"/>
            <w:tcBorders>
              <w:top w:val="single" w:sz="8" w:color="CCEEFF"/>
              <w:bottom w:val="single" w:sz="8" w:color="CCEEFF"/>
            </w:tcBorders>
          </w:tcPr>
          <w:p>
            <w:pPr>
              <w:spacing w:after="0"/>
              <w:rPr>
                <w:sz w:val="22"/>
                <w:szCs w:val="22"/>
                <w:color w:val="auto"/>
              </w:rPr>
            </w:pPr>
          </w:p>
        </w:tc>
        <w:tc>
          <w:tcPr>
            <w:tcW w:w="1000" w:type="dxa"/>
            <w:vAlign w:val="bottom"/>
            <w:tcBorders>
              <w:top w:val="single" w:sz="8" w:color="CCEEFF"/>
              <w:bottom w:val="single" w:sz="8" w:color="CCEEFF"/>
            </w:tcBorders>
          </w:tcPr>
          <w:p>
            <w:pPr>
              <w:spacing w:after="0"/>
              <w:rPr>
                <w:sz w:val="22"/>
                <w:szCs w:val="22"/>
                <w:color w:val="auto"/>
              </w:rPr>
            </w:pPr>
          </w:p>
        </w:tc>
        <w:tc>
          <w:tcPr>
            <w:tcW w:w="180" w:type="dxa"/>
            <w:vAlign w:val="bottom"/>
            <w:tcBorders>
              <w:top w:val="single" w:sz="8" w:color="CCEEFF"/>
              <w:bottom w:val="single" w:sz="8" w:color="CCEEFF"/>
            </w:tcBorders>
          </w:tcPr>
          <w:p>
            <w:pPr>
              <w:spacing w:after="0"/>
              <w:rPr>
                <w:sz w:val="22"/>
                <w:szCs w:val="22"/>
                <w:color w:val="auto"/>
              </w:rPr>
            </w:pPr>
          </w:p>
        </w:tc>
        <w:tc>
          <w:tcPr>
            <w:tcW w:w="160" w:type="dxa"/>
            <w:vAlign w:val="bottom"/>
            <w:tcBorders>
              <w:top w:val="single" w:sz="8" w:color="CCEEFF"/>
              <w:bottom w:val="single" w:sz="8" w:color="CCEEFF"/>
            </w:tcBorders>
          </w:tcPr>
          <w:p>
            <w:pPr>
              <w:spacing w:after="0"/>
              <w:rPr>
                <w:sz w:val="22"/>
                <w:szCs w:val="22"/>
                <w:color w:val="auto"/>
              </w:rPr>
            </w:pPr>
          </w:p>
        </w:tc>
        <w:tc>
          <w:tcPr>
            <w:tcW w:w="140" w:type="dxa"/>
            <w:vAlign w:val="bottom"/>
            <w:tcBorders>
              <w:top w:val="single" w:sz="8" w:color="CCEEFF"/>
              <w:bottom w:val="single" w:sz="8" w:color="CCEEFF"/>
            </w:tcBorders>
          </w:tcPr>
          <w:p>
            <w:pPr>
              <w:spacing w:after="0"/>
              <w:rPr>
                <w:sz w:val="22"/>
                <w:szCs w:val="22"/>
                <w:color w:val="auto"/>
              </w:rPr>
            </w:pPr>
          </w:p>
        </w:tc>
        <w:tc>
          <w:tcPr>
            <w:tcW w:w="980" w:type="dxa"/>
            <w:vAlign w:val="bottom"/>
            <w:tcBorders>
              <w:top w:val="single" w:sz="8" w:color="CCEEFF"/>
              <w:bottom w:val="single" w:sz="8" w:color="CCEEFF"/>
            </w:tcBorders>
          </w:tcPr>
          <w:p>
            <w:pPr>
              <w:spacing w:after="0"/>
              <w:rPr>
                <w:sz w:val="22"/>
                <w:szCs w:val="22"/>
                <w:color w:val="auto"/>
              </w:rPr>
            </w:pPr>
          </w:p>
        </w:tc>
        <w:tc>
          <w:tcPr>
            <w:tcW w:w="340" w:type="dxa"/>
            <w:vAlign w:val="bottom"/>
            <w:tcBorders>
              <w:top w:val="single" w:sz="8" w:color="CCEEFF"/>
              <w:bottom w:val="single" w:sz="8" w:color="CCEEFF"/>
            </w:tcBorders>
          </w:tcPr>
          <w:p>
            <w:pPr>
              <w:spacing w:after="0"/>
              <w:rPr>
                <w:sz w:val="22"/>
                <w:szCs w:val="22"/>
                <w:color w:val="auto"/>
              </w:rPr>
            </w:pPr>
          </w:p>
        </w:tc>
        <w:tc>
          <w:tcPr>
            <w:tcW w:w="1040" w:type="dxa"/>
            <w:vAlign w:val="bottom"/>
            <w:tcBorders>
              <w:top w:val="single" w:sz="8" w:color="CCEEFF"/>
              <w:bottom w:val="single" w:sz="8" w:color="CCEEFF"/>
            </w:tcBorders>
          </w:tcPr>
          <w:p>
            <w:pPr>
              <w:spacing w:after="0"/>
              <w:rPr>
                <w:sz w:val="22"/>
                <w:szCs w:val="22"/>
                <w:color w:val="auto"/>
              </w:rPr>
            </w:pPr>
          </w:p>
        </w:tc>
        <w:tc>
          <w:tcPr>
            <w:tcW w:w="60" w:type="dxa"/>
            <w:vAlign w:val="bottom"/>
            <w:tcBorders>
              <w:top w:val="single" w:sz="8" w:color="CCEEFF"/>
              <w:bottom w:val="single" w:sz="8" w:color="CCEEFF"/>
            </w:tcBorders>
          </w:tcPr>
          <w:p>
            <w:pPr>
              <w:spacing w:after="0"/>
              <w:rPr>
                <w:sz w:val="22"/>
                <w:szCs w:val="22"/>
                <w:color w:val="auto"/>
              </w:rPr>
            </w:pPr>
          </w:p>
        </w:tc>
        <w:tc>
          <w:tcPr>
            <w:tcW w:w="320" w:type="dxa"/>
            <w:vAlign w:val="bottom"/>
            <w:tcBorders>
              <w:top w:val="single" w:sz="8" w:color="CCEEFF"/>
              <w:bottom w:val="single" w:sz="8" w:color="CCEEFF"/>
            </w:tcBorders>
          </w:tcPr>
          <w:p>
            <w:pPr>
              <w:spacing w:after="0"/>
              <w:rPr>
                <w:sz w:val="22"/>
                <w:szCs w:val="22"/>
                <w:color w:val="auto"/>
              </w:rPr>
            </w:pPr>
          </w:p>
        </w:tc>
        <w:tc>
          <w:tcPr>
            <w:tcW w:w="220" w:type="dxa"/>
            <w:vAlign w:val="bottom"/>
            <w:tcBorders>
              <w:top w:val="single" w:sz="8" w:color="CCEEFF"/>
              <w:bottom w:val="single" w:sz="8" w:color="CCEEFF"/>
            </w:tcBorders>
          </w:tcPr>
          <w:p>
            <w:pPr>
              <w:spacing w:after="0"/>
              <w:rPr>
                <w:sz w:val="22"/>
                <w:szCs w:val="22"/>
                <w:color w:val="auto"/>
              </w:rPr>
            </w:pPr>
          </w:p>
        </w:tc>
        <w:tc>
          <w:tcPr>
            <w:tcW w:w="900" w:type="dxa"/>
            <w:vAlign w:val="bottom"/>
            <w:tcBorders>
              <w:top w:val="single" w:sz="8" w:color="CCEEFF"/>
              <w:bottom w:val="single" w:sz="8" w:color="CCEEFF"/>
            </w:tcBorders>
          </w:tcPr>
          <w:p>
            <w:pPr>
              <w:spacing w:after="0"/>
              <w:rPr>
                <w:sz w:val="22"/>
                <w:szCs w:val="22"/>
                <w:color w:val="auto"/>
              </w:rPr>
            </w:pPr>
          </w:p>
        </w:tc>
        <w:tc>
          <w:tcPr>
            <w:tcW w:w="100" w:type="dxa"/>
            <w:vAlign w:val="bottom"/>
            <w:tcBorders>
              <w:top w:val="single" w:sz="8" w:color="CCEEFF"/>
              <w:bottom w:val="single" w:sz="8" w:color="CCEEFF"/>
            </w:tcBorders>
          </w:tcPr>
          <w:p>
            <w:pPr>
              <w:spacing w:after="0"/>
              <w:rPr>
                <w:sz w:val="22"/>
                <w:szCs w:val="22"/>
                <w:color w:val="auto"/>
              </w:rPr>
            </w:pPr>
          </w:p>
        </w:tc>
      </w:tr>
      <w:tr>
        <w:trPr>
          <w:trHeight w:val="196"/>
        </w:trPr>
        <w:tc>
          <w:tcPr>
            <w:tcW w:w="1060" w:type="dxa"/>
            <w:vAlign w:val="bottom"/>
            <w:shd w:val="clear" w:color="auto" w:fill="CCEEFF"/>
          </w:tcPr>
          <w:p>
            <w:pPr>
              <w:spacing w:after="0"/>
              <w:rPr>
                <w:sz w:val="17"/>
                <w:szCs w:val="17"/>
                <w:color w:val="auto"/>
              </w:rPr>
            </w:pPr>
          </w:p>
        </w:tc>
        <w:tc>
          <w:tcPr>
            <w:tcW w:w="3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83"/>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investment income</w:t>
            </w:r>
          </w:p>
        </w:tc>
        <w:tc>
          <w:tcPr>
            <w:tcW w:w="140" w:type="dxa"/>
            <w:vAlign w:val="bottom"/>
            <w:gridSpan w:val="2"/>
          </w:tcPr>
          <w:p>
            <w:pPr>
              <w:jc w:val="right"/>
              <w:ind w:right="4"/>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5,908</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1060" w:type="dxa"/>
            <w:vAlign w:val="bottom"/>
            <w:tcBorders>
              <w:top w:val="single" w:sz="8" w:color="CCEEFF"/>
            </w:tcBorders>
            <w:shd w:val="clear" w:color="auto" w:fill="CCEEFF"/>
          </w:tcPr>
          <w:p>
            <w:pPr>
              <w:spacing w:after="0"/>
              <w:rPr>
                <w:sz w:val="17"/>
                <w:szCs w:val="17"/>
                <w:color w:val="auto"/>
              </w:rPr>
            </w:pPr>
          </w:p>
        </w:tc>
        <w:tc>
          <w:tcPr>
            <w:tcW w:w="3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83"/>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 (1)</w:t>
            </w:r>
          </w:p>
        </w:tc>
        <w:tc>
          <w:tcPr>
            <w:tcW w:w="140" w:type="dxa"/>
            <w:vAlign w:val="bottom"/>
            <w:gridSpan w:val="2"/>
          </w:tcPr>
          <w:p>
            <w:pPr>
              <w:jc w:val="right"/>
              <w:ind w:right="4"/>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11,849,488</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7"/>
        </w:trPr>
        <w:tc>
          <w:tcPr>
            <w:tcW w:w="1060" w:type="dxa"/>
            <w:vAlign w:val="bottom"/>
            <w:tcBorders>
              <w:top w:val="single" w:sz="8" w:color="CCEEFF"/>
            </w:tcBorders>
            <w:shd w:val="clear" w:color="auto" w:fill="CCEEFF"/>
          </w:tcPr>
          <w:p>
            <w:pPr>
              <w:spacing w:after="0"/>
              <w:rPr>
                <w:sz w:val="17"/>
                <w:szCs w:val="17"/>
                <w:color w:val="auto"/>
              </w:rPr>
            </w:pPr>
          </w:p>
        </w:tc>
        <w:tc>
          <w:tcPr>
            <w:tcW w:w="3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43"/>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restricted assets</w:t>
            </w:r>
          </w:p>
        </w:tc>
        <w:tc>
          <w:tcPr>
            <w:tcW w:w="140" w:type="dxa"/>
            <w:vAlign w:val="bottom"/>
            <w:tcBorders>
              <w:bottom w:val="single" w:sz="8" w:color="auto"/>
            </w:tcBorders>
            <w:gridSpan w:val="2"/>
          </w:tcPr>
          <w:p>
            <w:pPr>
              <w:jc w:val="right"/>
              <w:ind w:right="4"/>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22,600,416</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0"/>
        </w:trPr>
        <w:tc>
          <w:tcPr>
            <w:tcW w:w="106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ind w:left="5540" w:right="3580" w:hanging="5121"/>
        <w:spacing w:after="0" w:line="657" w:lineRule="auto"/>
        <w:tabs>
          <w:tab w:leader="none" w:pos="716"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Including cash and cash equivalents of $8,178,110 for the life insurance and mortgage segments. 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-227330</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5" w:name="page66"/>
    <w:bookmarkEnd w:id="65"/>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June 30, 2024 (Unaudited)</w:t>
      </w:r>
    </w:p>
    <w:p>
      <w:pPr>
        <w:spacing w:after="0" w:line="176" w:lineRule="exact"/>
        <w:rPr>
          <w:sz w:val="20"/>
          <w:szCs w:val="20"/>
          <w:color w:val="auto"/>
        </w:rPr>
      </w:pPr>
    </w:p>
    <w:p>
      <w:pPr>
        <w:ind w:right="4100" w:firstLine="8"/>
        <w:spacing w:after="0" w:line="500" w:lineRule="auto"/>
        <w:tabs>
          <w:tab w:leader="none" w:pos="285"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Cemetery Perpetual Care Trust Investments and Obligations and Restricted Assets</w:t>
      </w:r>
      <w:r>
        <w:rPr>
          <w:rFonts w:ascii="Times New Roman" w:cs="Times New Roman" w:eastAsia="Times New Roman" w:hAnsi="Times New Roman"/>
          <w:sz w:val="18"/>
          <w:szCs w:val="18"/>
          <w:color w:val="auto"/>
        </w:rPr>
        <w:t xml:space="preserve"> (Continued) Restricted assets as of December 31, 2023, are summarized as follows: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8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center"/>
              <w:ind w:right="341"/>
              <w:spacing w:after="0"/>
              <w:rPr>
                <w:sz w:val="20"/>
                <w:szCs w:val="20"/>
                <w:color w:val="auto"/>
              </w:rPr>
            </w:pPr>
            <w:r>
              <w:rPr>
                <w:rFonts w:ascii="Times New Roman" w:cs="Times New Roman" w:eastAsia="Times New Roman" w:hAnsi="Times New Roman"/>
                <w:sz w:val="18"/>
                <w:szCs w:val="18"/>
                <w:color w:val="auto"/>
                <w:w w:val="99"/>
              </w:rPr>
              <w:t>Gross</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48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Gross Unrealized</w:t>
            </w:r>
          </w:p>
        </w:tc>
        <w:tc>
          <w:tcPr>
            <w:tcW w:w="160" w:type="dxa"/>
            <w:vAlign w:val="bottom"/>
          </w:tcPr>
          <w:p>
            <w:pPr>
              <w:spacing w:after="0"/>
              <w:rPr>
                <w:sz w:val="18"/>
                <w:szCs w:val="18"/>
                <w:color w:val="auto"/>
              </w:rPr>
            </w:pPr>
          </w:p>
        </w:tc>
        <w:tc>
          <w:tcPr>
            <w:tcW w:w="1320" w:type="dxa"/>
            <w:vAlign w:val="bottom"/>
            <w:gridSpan w:val="2"/>
          </w:tcPr>
          <w:p>
            <w:pPr>
              <w:jc w:val="center"/>
              <w:ind w:right="321"/>
              <w:spacing w:after="0"/>
              <w:rPr>
                <w:sz w:val="20"/>
                <w:szCs w:val="20"/>
                <w:color w:val="auto"/>
              </w:rPr>
            </w:pPr>
            <w:r>
              <w:rPr>
                <w:rFonts w:ascii="Times New Roman" w:cs="Times New Roman" w:eastAsia="Times New Roman" w:hAnsi="Times New Roman"/>
                <w:sz w:val="18"/>
                <w:szCs w:val="18"/>
                <w:color w:val="auto"/>
              </w:rPr>
              <w:t>Unrealized</w:t>
            </w:r>
          </w:p>
        </w:tc>
        <w:tc>
          <w:tcPr>
            <w:tcW w:w="180" w:type="dxa"/>
            <w:vAlign w:val="bottom"/>
          </w:tcPr>
          <w:p>
            <w:pPr>
              <w:spacing w:after="0"/>
              <w:rPr>
                <w:sz w:val="18"/>
                <w:szCs w:val="18"/>
                <w:color w:val="auto"/>
              </w:rPr>
            </w:pPr>
          </w:p>
        </w:tc>
        <w:tc>
          <w:tcPr>
            <w:tcW w:w="13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8"/>
              </w:rPr>
              <w:t>Estimated Fair</w:t>
            </w:r>
          </w:p>
        </w:tc>
      </w:tr>
      <w:tr>
        <w:trPr>
          <w:trHeight w:val="241"/>
        </w:trPr>
        <w:tc>
          <w:tcPr>
            <w:tcW w:w="148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1520" w:type="dxa"/>
            <w:vAlign w:val="bottom"/>
            <w:gridSpan w:val="4"/>
          </w:tcPr>
          <w:p>
            <w:pPr>
              <w:jc w:val="right"/>
              <w:ind w:right="320"/>
              <w:spacing w:after="0"/>
              <w:rPr>
                <w:sz w:val="20"/>
                <w:szCs w:val="20"/>
                <w:color w:val="auto"/>
              </w:rPr>
            </w:pPr>
            <w:r>
              <w:rPr>
                <w:rFonts w:ascii="Times New Roman" w:cs="Times New Roman" w:eastAsia="Times New Roman" w:hAnsi="Times New Roman"/>
                <w:sz w:val="18"/>
                <w:szCs w:val="18"/>
                <w:color w:val="auto"/>
              </w:rPr>
              <w:t>Amortized Cost</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Gains</w:t>
            </w:r>
          </w:p>
        </w:tc>
        <w:tc>
          <w:tcPr>
            <w:tcW w:w="160" w:type="dxa"/>
            <w:vAlign w:val="bottom"/>
          </w:tcPr>
          <w:p>
            <w:pPr>
              <w:spacing w:after="0"/>
              <w:rPr>
                <w:sz w:val="20"/>
                <w:szCs w:val="20"/>
                <w:color w:val="auto"/>
              </w:rPr>
            </w:pPr>
          </w:p>
        </w:tc>
        <w:tc>
          <w:tcPr>
            <w:tcW w:w="1320" w:type="dxa"/>
            <w:vAlign w:val="bottom"/>
            <w:gridSpan w:val="2"/>
          </w:tcPr>
          <w:p>
            <w:pPr>
              <w:jc w:val="center"/>
              <w:ind w:right="321"/>
              <w:spacing w:after="0"/>
              <w:rPr>
                <w:sz w:val="20"/>
                <w:szCs w:val="20"/>
                <w:color w:val="auto"/>
              </w:rPr>
            </w:pPr>
            <w:r>
              <w:rPr>
                <w:rFonts w:ascii="Times New Roman" w:cs="Times New Roman" w:eastAsia="Times New Roman" w:hAnsi="Times New Roman"/>
                <w:sz w:val="18"/>
                <w:szCs w:val="18"/>
                <w:color w:val="auto"/>
                <w:w w:val="97"/>
              </w:rPr>
              <w:t>Losses</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2"/>
              </w:rPr>
              <w:t>Value</w:t>
            </w:r>
          </w:p>
        </w:tc>
      </w:tr>
      <w:tr>
        <w:trPr>
          <w:trHeight w:val="196"/>
        </w:trPr>
        <w:tc>
          <w:tcPr>
            <w:tcW w:w="1480" w:type="dxa"/>
            <w:vAlign w:val="bottom"/>
            <w:tcBorders>
              <w:top w:val="single" w:sz="8" w:color="CCEEFF"/>
              <w:bottom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w w:val="99"/>
              </w:rPr>
              <w:t>December 31, 2023:</w:t>
            </w:r>
          </w:p>
        </w:tc>
        <w:tc>
          <w:tcPr>
            <w:tcW w:w="336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CCEEFF"/>
            </w:tcBorders>
            <w:shd w:val="clear" w:color="auto" w:fill="CCEEFF"/>
          </w:tcPr>
          <w:p>
            <w:pPr>
              <w:spacing w:after="0"/>
              <w:rPr>
                <w:sz w:val="17"/>
                <w:szCs w:val="17"/>
                <w:color w:val="auto"/>
              </w:rPr>
            </w:pPr>
          </w:p>
        </w:tc>
        <w:tc>
          <w:tcPr>
            <w:tcW w:w="1000" w:type="dxa"/>
            <w:vAlign w:val="bottom"/>
            <w:tcBorders>
              <w:top w:val="single" w:sz="8" w:color="auto"/>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CCEEFF"/>
            </w:tcBorders>
            <w:shd w:val="clear" w:color="auto" w:fill="CCEEFF"/>
          </w:tcPr>
          <w:p>
            <w:pPr>
              <w:spacing w:after="0"/>
              <w:rPr>
                <w:sz w:val="17"/>
                <w:szCs w:val="17"/>
                <w:color w:val="auto"/>
              </w:rPr>
            </w:pPr>
          </w:p>
        </w:tc>
        <w:tc>
          <w:tcPr>
            <w:tcW w:w="1020" w:type="dxa"/>
            <w:vAlign w:val="bottom"/>
            <w:tcBorders>
              <w:top w:val="single" w:sz="8" w:color="auto"/>
              <w:bottom w:val="single" w:sz="8" w:color="CCEEFF"/>
            </w:tcBorders>
            <w:shd w:val="clear" w:color="auto" w:fill="CCEEFF"/>
          </w:tcPr>
          <w:p>
            <w:pPr>
              <w:spacing w:after="0"/>
              <w:rPr>
                <w:sz w:val="17"/>
                <w:szCs w:val="17"/>
                <w:color w:val="auto"/>
              </w:rPr>
            </w:pPr>
          </w:p>
        </w:tc>
        <w:tc>
          <w:tcPr>
            <w:tcW w:w="42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CCEEFF"/>
            </w:tcBorders>
            <w:shd w:val="clear" w:color="auto" w:fill="CCEEFF"/>
          </w:tcPr>
          <w:p>
            <w:pPr>
              <w:spacing w:after="0"/>
              <w:rPr>
                <w:sz w:val="17"/>
                <w:szCs w:val="17"/>
                <w:color w:val="auto"/>
              </w:rPr>
            </w:pPr>
          </w:p>
        </w:tc>
        <w:tc>
          <w:tcPr>
            <w:tcW w:w="1080" w:type="dxa"/>
            <w:vAlign w:val="bottom"/>
            <w:tcBorders>
              <w:top w:val="single" w:sz="8" w:color="auto"/>
              <w:bottom w:val="single" w:sz="8" w:color="CCEEFF"/>
            </w:tcBorders>
            <w:shd w:val="clear" w:color="auto" w:fill="CCEEFF"/>
          </w:tcPr>
          <w:p>
            <w:pPr>
              <w:spacing w:after="0"/>
              <w:rPr>
                <w:sz w:val="17"/>
                <w:szCs w:val="17"/>
                <w:color w:val="auto"/>
              </w:rPr>
            </w:pP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CCEEFF"/>
            </w:tcBorders>
            <w:shd w:val="clear" w:color="auto" w:fill="CCEEFF"/>
          </w:tcPr>
          <w:p>
            <w:pPr>
              <w:spacing w:after="0"/>
              <w:rPr>
                <w:sz w:val="17"/>
                <w:szCs w:val="17"/>
                <w:color w:val="auto"/>
              </w:rPr>
            </w:pPr>
          </w:p>
        </w:tc>
        <w:tc>
          <w:tcPr>
            <w:tcW w:w="980" w:type="dxa"/>
            <w:vAlign w:val="bottom"/>
            <w:tcBorders>
              <w:top w:val="single" w:sz="8" w:color="auto"/>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198"/>
        </w:trPr>
        <w:tc>
          <w:tcPr>
            <w:tcW w:w="48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Fixed maturity securities, available for sale, at estimated fair</w:t>
            </w: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value:</w:t>
            </w: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4840" w:type="dxa"/>
            <w:vAlign w:val="bottom"/>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U.S. Treasury securities and obligations of U.S.</w:t>
            </w: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48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Government agencies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932,737</w:t>
            </w:r>
          </w:p>
        </w:tc>
        <w:tc>
          <w:tcPr>
            <w:tcW w:w="240" w:type="dxa"/>
            <w:vAlign w:val="bottom"/>
            <w:shd w:val="clear" w:color="auto" w:fill="CCEEFF"/>
          </w:tcPr>
          <w:p>
            <w:pPr>
              <w:spacing w:after="0"/>
              <w:rPr>
                <w:sz w:val="20"/>
                <w:szCs w:val="20"/>
                <w:color w:val="auto"/>
              </w:rPr>
            </w:pPr>
          </w:p>
        </w:tc>
        <w:tc>
          <w:tcPr>
            <w:tcW w:w="4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1,433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(1,000)</w:t>
            </w:r>
          </w:p>
        </w:tc>
        <w:tc>
          <w:tcPr>
            <w:tcW w:w="4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933,170</w:t>
            </w:r>
          </w:p>
        </w:tc>
      </w:tr>
      <w:tr>
        <w:trPr>
          <w:trHeight w:val="216"/>
        </w:trPr>
        <w:tc>
          <w:tcPr>
            <w:tcW w:w="48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26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652,770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305</w:t>
            </w:r>
          </w:p>
        </w:tc>
        <w:tc>
          <w:tcPr>
            <w:tcW w:w="160" w:type="dxa"/>
            <w:vAlign w:val="bottom"/>
          </w:tcPr>
          <w:p>
            <w:pPr>
              <w:spacing w:after="0"/>
              <w:rPr>
                <w:sz w:val="18"/>
                <w:szCs w:val="18"/>
                <w:color w:val="auto"/>
              </w:rPr>
            </w:pPr>
          </w:p>
        </w:tc>
        <w:tc>
          <w:tcPr>
            <w:tcW w:w="132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(4,542)</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648,533</w:t>
            </w:r>
          </w:p>
        </w:tc>
      </w:tr>
      <w:tr>
        <w:trPr>
          <w:trHeight w:val="250"/>
        </w:trPr>
        <w:tc>
          <w:tcPr>
            <w:tcW w:w="48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 securities including public utilities</w:t>
            </w:r>
          </w:p>
        </w:tc>
        <w:tc>
          <w:tcPr>
            <w:tcW w:w="26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274,688</w:t>
            </w:r>
          </w:p>
        </w:tc>
        <w:tc>
          <w:tcPr>
            <w:tcW w:w="2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209</w:t>
            </w:r>
          </w:p>
        </w:tc>
        <w:tc>
          <w:tcPr>
            <w:tcW w:w="16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(2,740)</w:t>
            </w:r>
          </w:p>
        </w:tc>
        <w:tc>
          <w:tcPr>
            <w:tcW w:w="1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272,157</w:t>
            </w:r>
          </w:p>
        </w:tc>
      </w:tr>
      <w:tr>
        <w:trPr>
          <w:trHeight w:val="257"/>
        </w:trPr>
        <w:tc>
          <w:tcPr>
            <w:tcW w:w="4840" w:type="dxa"/>
            <w:vAlign w:val="bottom"/>
            <w:tcBorders>
              <w:top w:val="single" w:sz="8" w:color="CCEEFF"/>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Total fixed maturity securities available for sale</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1,860,195</w:t>
            </w:r>
          </w:p>
        </w:tc>
        <w:tc>
          <w:tcPr>
            <w:tcW w:w="20" w:type="dxa"/>
            <w:vAlign w:val="bottom"/>
            <w:tcBorders>
              <w:top w:val="single" w:sz="8" w:color="CCEEFF"/>
              <w:bottom w:val="single" w:sz="8" w:color="CCEEFF"/>
            </w:tcBorders>
          </w:tcPr>
          <w:p>
            <w:pPr>
              <w:spacing w:after="0"/>
              <w:rPr>
                <w:sz w:val="22"/>
                <w:szCs w:val="22"/>
                <w:color w:val="auto"/>
              </w:rPr>
            </w:pPr>
          </w:p>
        </w:tc>
        <w:tc>
          <w:tcPr>
            <w:tcW w:w="240" w:type="dxa"/>
            <w:vAlign w:val="bottom"/>
            <w:tcBorders>
              <w:top w:val="single" w:sz="8" w:color="CCEEFF"/>
              <w:bottom w:val="single" w:sz="8" w:color="CCEEFF"/>
            </w:tcBorders>
          </w:tcPr>
          <w:p>
            <w:pPr>
              <w:spacing w:after="0"/>
              <w:rPr>
                <w:sz w:val="22"/>
                <w:szCs w:val="22"/>
                <w:color w:val="auto"/>
              </w:rPr>
            </w:pPr>
          </w:p>
        </w:tc>
        <w:tc>
          <w:tcPr>
            <w:tcW w:w="200" w:type="dxa"/>
            <w:vAlign w:val="bottom"/>
            <w:tcBorders>
              <w:top w:val="single" w:sz="8" w:color="CCEEFF"/>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1,947</w:t>
            </w:r>
          </w:p>
        </w:tc>
        <w:tc>
          <w:tcPr>
            <w:tcW w:w="420" w:type="dxa"/>
            <w:vAlign w:val="bottom"/>
            <w:tcBorders>
              <w:top w:val="single" w:sz="8" w:color="CCEEFF"/>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(8,282</w:t>
            </w:r>
          </w:p>
        </w:tc>
        <w:tc>
          <w:tcPr>
            <w:tcW w:w="240" w:type="dxa"/>
            <w:vAlign w:val="bottom"/>
            <w:tcBorders>
              <w:top w:val="single" w:sz="8" w:color="CCEEFF"/>
              <w:bottom w:val="single" w:sz="8" w:color="CCEEFF"/>
            </w:tcBorders>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CCEEFF"/>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1,853,860</w:t>
            </w:r>
          </w:p>
        </w:tc>
        <w:tc>
          <w:tcPr>
            <w:tcW w:w="100" w:type="dxa"/>
            <w:vAlign w:val="bottom"/>
            <w:tcBorders>
              <w:top w:val="single" w:sz="8" w:color="CCEEFF"/>
              <w:bottom w:val="single" w:sz="8" w:color="CCEEFF"/>
            </w:tcBorders>
          </w:tcPr>
          <w:p>
            <w:pPr>
              <w:spacing w:after="0"/>
              <w:rPr>
                <w:sz w:val="22"/>
                <w:szCs w:val="22"/>
                <w:color w:val="auto"/>
              </w:rPr>
            </w:pPr>
          </w:p>
        </w:tc>
      </w:tr>
      <w:tr>
        <w:trPr>
          <w:trHeight w:val="196"/>
        </w:trPr>
        <w:tc>
          <w:tcPr>
            <w:tcW w:w="1480" w:type="dxa"/>
            <w:vAlign w:val="bottom"/>
            <w:shd w:val="clear" w:color="auto" w:fill="CCEEFF"/>
          </w:tcPr>
          <w:p>
            <w:pPr>
              <w:spacing w:after="0"/>
              <w:rPr>
                <w:sz w:val="17"/>
                <w:szCs w:val="17"/>
                <w:color w:val="auto"/>
              </w:rPr>
            </w:pPr>
          </w:p>
        </w:tc>
        <w:tc>
          <w:tcPr>
            <w:tcW w:w="3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 securities at estimated fair value:</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6"/>
        </w:trPr>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Industrial, miscellaneous and all other</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6,516,044</w:t>
            </w:r>
          </w:p>
        </w:tc>
        <w:tc>
          <w:tcPr>
            <w:tcW w:w="240" w:type="dxa"/>
            <w:vAlign w:val="bottom"/>
          </w:tcPr>
          <w:p>
            <w:pPr>
              <w:spacing w:after="0"/>
              <w:rPr>
                <w:sz w:val="20"/>
                <w:szCs w:val="20"/>
                <w:color w:val="auto"/>
              </w:rPr>
            </w:pPr>
          </w:p>
        </w:tc>
        <w:tc>
          <w:tcPr>
            <w:tcW w:w="4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1,117,155</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(247,996)</w:t>
            </w:r>
          </w:p>
        </w:tc>
        <w:tc>
          <w:tcPr>
            <w:tcW w:w="4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7,385,203</w:t>
            </w:r>
          </w:p>
        </w:tc>
      </w:tr>
      <w:tr>
        <w:trPr>
          <w:trHeight w:val="230"/>
        </w:trPr>
        <w:tc>
          <w:tcPr>
            <w:tcW w:w="4840" w:type="dxa"/>
            <w:vAlign w:val="bottom"/>
            <w:tcBorders>
              <w:top w:val="single" w:sz="8" w:color="CCEEFF"/>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equity securities at estimated fair value</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6,516,044</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1,117,155</w:t>
            </w:r>
          </w:p>
        </w:tc>
        <w:tc>
          <w:tcPr>
            <w:tcW w:w="4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(247,996</w:t>
            </w:r>
          </w:p>
        </w:tc>
        <w:tc>
          <w:tcPr>
            <w:tcW w:w="240" w:type="dxa"/>
            <w:vAlign w:val="bottom"/>
            <w:tcBorders>
              <w:top w:val="single" w:sz="8" w:color="CCEEFF"/>
              <w:bottom w:val="single" w:sz="8" w:color="CCEEFF"/>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7,385,203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48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148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 loans held for investment at amortized cost:</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432"/>
        </w:trPr>
        <w:tc>
          <w:tcPr>
            <w:tcW w:w="48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Residential construction</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676,572</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0"/>
        </w:trPr>
        <w:tc>
          <w:tcPr>
            <w:tcW w:w="48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260" w:type="dxa"/>
            <w:vAlign w:val="bottom"/>
            <w:shd w:val="clear" w:color="auto" w:fill="CCEEFF"/>
          </w:tcPr>
          <w:p>
            <w:pPr>
              <w:spacing w:after="0"/>
              <w:rPr>
                <w:sz w:val="21"/>
                <w:szCs w:val="21"/>
                <w:color w:val="auto"/>
              </w:rPr>
            </w:pPr>
          </w:p>
        </w:tc>
        <w:tc>
          <w:tcPr>
            <w:tcW w:w="12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(1,353)</w:t>
            </w:r>
          </w:p>
        </w:tc>
        <w:tc>
          <w:tcPr>
            <w:tcW w:w="2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57"/>
        </w:trPr>
        <w:tc>
          <w:tcPr>
            <w:tcW w:w="4840" w:type="dxa"/>
            <w:vAlign w:val="bottom"/>
            <w:tcBorders>
              <w:top w:val="single" w:sz="8" w:color="CCEEFF"/>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Total mortgage loans held for investment</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675,219</w:t>
            </w:r>
          </w:p>
        </w:tc>
        <w:tc>
          <w:tcPr>
            <w:tcW w:w="20" w:type="dxa"/>
            <w:vAlign w:val="bottom"/>
            <w:tcBorders>
              <w:top w:val="single" w:sz="8" w:color="CCEEFF"/>
              <w:bottom w:val="single" w:sz="8" w:color="CCEEFF"/>
            </w:tcBorders>
          </w:tcPr>
          <w:p>
            <w:pPr>
              <w:spacing w:after="0"/>
              <w:rPr>
                <w:sz w:val="22"/>
                <w:szCs w:val="22"/>
                <w:color w:val="auto"/>
              </w:rPr>
            </w:pPr>
          </w:p>
        </w:tc>
        <w:tc>
          <w:tcPr>
            <w:tcW w:w="240" w:type="dxa"/>
            <w:vAlign w:val="bottom"/>
            <w:tcBorders>
              <w:top w:val="single" w:sz="8" w:color="CCEEFF"/>
              <w:bottom w:val="single" w:sz="8" w:color="CCEEFF"/>
            </w:tcBorders>
          </w:tcPr>
          <w:p>
            <w:pPr>
              <w:spacing w:after="0"/>
              <w:rPr>
                <w:sz w:val="22"/>
                <w:szCs w:val="22"/>
                <w:color w:val="auto"/>
              </w:rPr>
            </w:pPr>
          </w:p>
        </w:tc>
        <w:tc>
          <w:tcPr>
            <w:tcW w:w="200" w:type="dxa"/>
            <w:vAlign w:val="bottom"/>
            <w:tcBorders>
              <w:top w:val="single" w:sz="8" w:color="CCEEFF"/>
              <w:bottom w:val="single" w:sz="8" w:color="CCEEFF"/>
            </w:tcBorders>
          </w:tcPr>
          <w:p>
            <w:pPr>
              <w:spacing w:after="0"/>
              <w:rPr>
                <w:sz w:val="22"/>
                <w:szCs w:val="22"/>
                <w:color w:val="auto"/>
              </w:rPr>
            </w:pPr>
          </w:p>
        </w:tc>
        <w:tc>
          <w:tcPr>
            <w:tcW w:w="240" w:type="dxa"/>
            <w:vAlign w:val="bottom"/>
            <w:tcBorders>
              <w:top w:val="single" w:sz="8" w:color="CCEEFF"/>
              <w:bottom w:val="single" w:sz="8" w:color="CCEEFF"/>
            </w:tcBorders>
          </w:tcPr>
          <w:p>
            <w:pPr>
              <w:spacing w:after="0"/>
              <w:rPr>
                <w:sz w:val="22"/>
                <w:szCs w:val="22"/>
                <w:color w:val="auto"/>
              </w:rPr>
            </w:pPr>
          </w:p>
        </w:tc>
        <w:tc>
          <w:tcPr>
            <w:tcW w:w="1020" w:type="dxa"/>
            <w:vAlign w:val="bottom"/>
            <w:tcBorders>
              <w:top w:val="single" w:sz="8" w:color="CCEEFF"/>
              <w:bottom w:val="single" w:sz="8" w:color="CCEEFF"/>
            </w:tcBorders>
          </w:tcPr>
          <w:p>
            <w:pPr>
              <w:spacing w:after="0"/>
              <w:rPr>
                <w:sz w:val="22"/>
                <w:szCs w:val="22"/>
                <w:color w:val="auto"/>
              </w:rPr>
            </w:pPr>
          </w:p>
        </w:tc>
        <w:tc>
          <w:tcPr>
            <w:tcW w:w="420" w:type="dxa"/>
            <w:vAlign w:val="bottom"/>
            <w:tcBorders>
              <w:top w:val="single" w:sz="8" w:color="CCEEFF"/>
              <w:bottom w:val="single" w:sz="8" w:color="CCEEFF"/>
            </w:tcBorders>
          </w:tcPr>
          <w:p>
            <w:pPr>
              <w:spacing w:after="0"/>
              <w:rPr>
                <w:sz w:val="22"/>
                <w:szCs w:val="22"/>
                <w:color w:val="auto"/>
              </w:rPr>
            </w:pPr>
          </w:p>
        </w:tc>
        <w:tc>
          <w:tcPr>
            <w:tcW w:w="160" w:type="dxa"/>
            <w:vAlign w:val="bottom"/>
            <w:tcBorders>
              <w:top w:val="single" w:sz="8" w:color="CCEEFF"/>
              <w:bottom w:val="single" w:sz="8" w:color="CCEEFF"/>
            </w:tcBorders>
          </w:tcPr>
          <w:p>
            <w:pPr>
              <w:spacing w:after="0"/>
              <w:rPr>
                <w:sz w:val="22"/>
                <w:szCs w:val="22"/>
                <w:color w:val="auto"/>
              </w:rPr>
            </w:pPr>
          </w:p>
        </w:tc>
        <w:tc>
          <w:tcPr>
            <w:tcW w:w="1080" w:type="dxa"/>
            <w:vAlign w:val="bottom"/>
            <w:tcBorders>
              <w:top w:val="single" w:sz="8" w:color="CCEEFF"/>
              <w:bottom w:val="single" w:sz="8" w:color="CCEEFF"/>
            </w:tcBorders>
          </w:tcPr>
          <w:p>
            <w:pPr>
              <w:spacing w:after="0"/>
              <w:rPr>
                <w:sz w:val="22"/>
                <w:szCs w:val="22"/>
                <w:color w:val="auto"/>
              </w:rPr>
            </w:pPr>
          </w:p>
        </w:tc>
        <w:tc>
          <w:tcPr>
            <w:tcW w:w="240" w:type="dxa"/>
            <w:vAlign w:val="bottom"/>
            <w:tcBorders>
              <w:top w:val="single" w:sz="8" w:color="CCEEFF"/>
              <w:bottom w:val="single" w:sz="8" w:color="CCEEFF"/>
            </w:tcBorders>
          </w:tcPr>
          <w:p>
            <w:pPr>
              <w:spacing w:after="0"/>
              <w:rPr>
                <w:sz w:val="22"/>
                <w:szCs w:val="22"/>
                <w:color w:val="auto"/>
              </w:rPr>
            </w:pPr>
          </w:p>
        </w:tc>
        <w:tc>
          <w:tcPr>
            <w:tcW w:w="180" w:type="dxa"/>
            <w:vAlign w:val="bottom"/>
            <w:tcBorders>
              <w:top w:val="single" w:sz="8" w:color="CCEEFF"/>
              <w:bottom w:val="single" w:sz="8" w:color="CCEEFF"/>
            </w:tcBorders>
          </w:tcPr>
          <w:p>
            <w:pPr>
              <w:spacing w:after="0"/>
              <w:rPr>
                <w:sz w:val="22"/>
                <w:szCs w:val="22"/>
                <w:color w:val="auto"/>
              </w:rPr>
            </w:pPr>
          </w:p>
        </w:tc>
        <w:tc>
          <w:tcPr>
            <w:tcW w:w="260" w:type="dxa"/>
            <w:vAlign w:val="bottom"/>
            <w:tcBorders>
              <w:top w:val="single" w:sz="8" w:color="CCEEFF"/>
              <w:bottom w:val="single" w:sz="8" w:color="CCEEFF"/>
            </w:tcBorders>
          </w:tcPr>
          <w:p>
            <w:pPr>
              <w:spacing w:after="0"/>
              <w:rPr>
                <w:sz w:val="22"/>
                <w:szCs w:val="22"/>
                <w:color w:val="auto"/>
              </w:rPr>
            </w:pPr>
          </w:p>
        </w:tc>
        <w:tc>
          <w:tcPr>
            <w:tcW w:w="980" w:type="dxa"/>
            <w:vAlign w:val="bottom"/>
            <w:tcBorders>
              <w:top w:val="single" w:sz="8" w:color="CCEEFF"/>
              <w:bottom w:val="single" w:sz="8" w:color="CCEEFF"/>
            </w:tcBorders>
          </w:tcPr>
          <w:p>
            <w:pPr>
              <w:spacing w:after="0"/>
              <w:rPr>
                <w:sz w:val="22"/>
                <w:szCs w:val="22"/>
                <w:color w:val="auto"/>
              </w:rPr>
            </w:pPr>
          </w:p>
        </w:tc>
        <w:tc>
          <w:tcPr>
            <w:tcW w:w="100" w:type="dxa"/>
            <w:vAlign w:val="bottom"/>
            <w:tcBorders>
              <w:top w:val="single" w:sz="8" w:color="CCEEFF"/>
              <w:bottom w:val="single" w:sz="8" w:color="CCEEFF"/>
            </w:tcBorders>
          </w:tcPr>
          <w:p>
            <w:pPr>
              <w:spacing w:after="0"/>
              <w:rPr>
                <w:sz w:val="22"/>
                <w:szCs w:val="22"/>
                <w:color w:val="auto"/>
              </w:rPr>
            </w:pPr>
          </w:p>
        </w:tc>
      </w:tr>
      <w:tr>
        <w:trPr>
          <w:trHeight w:val="196"/>
        </w:trPr>
        <w:tc>
          <w:tcPr>
            <w:tcW w:w="1480" w:type="dxa"/>
            <w:vAlign w:val="bottom"/>
            <w:shd w:val="clear" w:color="auto" w:fill="CCEEFF"/>
          </w:tcPr>
          <w:p>
            <w:pPr>
              <w:spacing w:after="0"/>
              <w:rPr>
                <w:sz w:val="17"/>
                <w:szCs w:val="17"/>
                <w:color w:val="auto"/>
              </w:rPr>
            </w:pPr>
          </w:p>
        </w:tc>
        <w:tc>
          <w:tcPr>
            <w:tcW w:w="3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83"/>
        </w:trPr>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 (1)</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10,114,694</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7"/>
        </w:trPr>
        <w:tc>
          <w:tcPr>
            <w:tcW w:w="1480" w:type="dxa"/>
            <w:vAlign w:val="bottom"/>
            <w:tcBorders>
              <w:top w:val="single" w:sz="8" w:color="CCEEFF"/>
            </w:tcBorders>
            <w:shd w:val="clear" w:color="auto" w:fill="CCEEFF"/>
          </w:tcPr>
          <w:p>
            <w:pPr>
              <w:spacing w:after="0"/>
              <w:rPr>
                <w:sz w:val="17"/>
                <w:szCs w:val="17"/>
                <w:color w:val="auto"/>
              </w:rPr>
            </w:pPr>
          </w:p>
        </w:tc>
        <w:tc>
          <w:tcPr>
            <w:tcW w:w="33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43"/>
        </w:trPr>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restricted assets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20,028,976</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0"/>
        </w:trPr>
        <w:tc>
          <w:tcPr>
            <w:tcW w:w="148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78308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4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(1) Including cash and cash equivalents of $6,930,930 for the life insurance and mortgage segments.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Fixed Maturity Securities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table below summarizes unrealized losses on fixed maturity securities available for sale that were carried at estimated fair value as of June 30, 2024 and December 31, 2023. The tables set forth unrealized losses by duration with the fair value of the related fixed maturity securities.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Unrealized</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Unrealized</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Losses for</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Losses for</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16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color w:val="auto"/>
                <w:w w:val="99"/>
              </w:rPr>
              <w:t>Less than</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More than</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6"/>
              </w:rPr>
              <w:t>Twelve</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Twelve</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Unrealized</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10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rPr>
              <w:t>Months</w:t>
            </w:r>
          </w:p>
        </w:tc>
        <w:tc>
          <w:tcPr>
            <w:tcW w:w="9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Fair Value</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Months</w:t>
            </w:r>
          </w:p>
        </w:tc>
        <w:tc>
          <w:tcPr>
            <w:tcW w:w="9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Fair Value</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Loss</w:t>
            </w:r>
          </w:p>
        </w:tc>
        <w:tc>
          <w:tcPr>
            <w:tcW w:w="160" w:type="dxa"/>
            <w:vAlign w:val="bottom"/>
          </w:tcPr>
          <w:p>
            <w:pPr>
              <w:spacing w:after="0"/>
              <w:rPr>
                <w:sz w:val="20"/>
                <w:szCs w:val="20"/>
                <w:color w:val="auto"/>
              </w:rPr>
            </w:pPr>
          </w:p>
        </w:tc>
        <w:tc>
          <w:tcPr>
            <w:tcW w:w="8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Fair Value</w:t>
            </w:r>
          </w:p>
        </w:tc>
      </w:tr>
      <w:tr>
        <w:trPr>
          <w:trHeight w:val="196"/>
        </w:trPr>
        <w:tc>
          <w:tcPr>
            <w:tcW w:w="1020" w:type="dxa"/>
            <w:vAlign w:val="bottom"/>
            <w:tcBorders>
              <w:top w:val="single" w:sz="8" w:color="CCEEFF"/>
              <w:bottom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w w:val="99"/>
              </w:rPr>
              <w:t>June 30, 2024</w:t>
            </w:r>
          </w:p>
        </w:tc>
        <w:tc>
          <w:tcPr>
            <w:tcW w:w="372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100" w:type="dxa"/>
            <w:vAlign w:val="bottom"/>
            <w:tcBorders>
              <w:top w:val="single" w:sz="8" w:color="auto"/>
              <w:bottom w:val="single" w:sz="8" w:color="CCEEFF"/>
            </w:tcBorders>
            <w:shd w:val="clear" w:color="auto" w:fill="CCEEFF"/>
          </w:tcPr>
          <w:p>
            <w:pPr>
              <w:spacing w:after="0"/>
              <w:rPr>
                <w:sz w:val="17"/>
                <w:szCs w:val="17"/>
                <w:color w:val="auto"/>
              </w:rPr>
            </w:pPr>
          </w:p>
        </w:tc>
        <w:tc>
          <w:tcPr>
            <w:tcW w:w="700" w:type="dxa"/>
            <w:vAlign w:val="bottom"/>
            <w:tcBorders>
              <w:top w:val="single" w:sz="8" w:color="auto"/>
              <w:bottom w:val="single" w:sz="8" w:color="CCEEFF"/>
            </w:tcBorders>
            <w:shd w:val="clear" w:color="auto" w:fill="CCEEFF"/>
          </w:tcPr>
          <w:p>
            <w:pPr>
              <w:spacing w:after="0"/>
              <w:rPr>
                <w:sz w:val="17"/>
                <w:szCs w:val="17"/>
                <w:color w:val="auto"/>
              </w:rPr>
            </w:pPr>
          </w:p>
        </w:tc>
        <w:tc>
          <w:tcPr>
            <w:tcW w:w="36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CCEEFF"/>
            </w:tcBorders>
            <w:shd w:val="clear" w:color="auto" w:fill="CCEEFF"/>
          </w:tcPr>
          <w:p>
            <w:pPr>
              <w:spacing w:after="0"/>
              <w:rPr>
                <w:sz w:val="17"/>
                <w:szCs w:val="17"/>
                <w:color w:val="auto"/>
              </w:rPr>
            </w:pPr>
          </w:p>
        </w:tc>
        <w:tc>
          <w:tcPr>
            <w:tcW w:w="660" w:type="dxa"/>
            <w:vAlign w:val="bottom"/>
            <w:tcBorders>
              <w:top w:val="single" w:sz="8" w:color="auto"/>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CCEEFF"/>
            </w:tcBorders>
            <w:shd w:val="clear" w:color="auto" w:fill="CCEEFF"/>
          </w:tcPr>
          <w:p>
            <w:pPr>
              <w:spacing w:after="0"/>
              <w:rPr>
                <w:sz w:val="17"/>
                <w:szCs w:val="17"/>
                <w:color w:val="auto"/>
              </w:rPr>
            </w:pPr>
          </w:p>
        </w:tc>
        <w:tc>
          <w:tcPr>
            <w:tcW w:w="700" w:type="dxa"/>
            <w:vAlign w:val="bottom"/>
            <w:tcBorders>
              <w:top w:val="single" w:sz="8" w:color="auto"/>
              <w:bottom w:val="single" w:sz="8" w:color="CCEEFF"/>
            </w:tcBorders>
            <w:shd w:val="clear" w:color="auto" w:fill="CCEEFF"/>
          </w:tcPr>
          <w:p>
            <w:pPr>
              <w:spacing w:after="0"/>
              <w:rPr>
                <w:sz w:val="17"/>
                <w:szCs w:val="17"/>
                <w:color w:val="auto"/>
              </w:rPr>
            </w:pPr>
          </w:p>
        </w:tc>
        <w:tc>
          <w:tcPr>
            <w:tcW w:w="3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CCEEFF"/>
            </w:tcBorders>
            <w:shd w:val="clear" w:color="auto" w:fill="CCEEFF"/>
          </w:tcPr>
          <w:p>
            <w:pPr>
              <w:spacing w:after="0"/>
              <w:rPr>
                <w:sz w:val="17"/>
                <w:szCs w:val="17"/>
                <w:color w:val="auto"/>
              </w:rPr>
            </w:pPr>
          </w:p>
        </w:tc>
        <w:tc>
          <w:tcPr>
            <w:tcW w:w="640" w:type="dxa"/>
            <w:vAlign w:val="bottom"/>
            <w:tcBorders>
              <w:top w:val="single" w:sz="8" w:color="auto"/>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CCEEFF"/>
            </w:tcBorders>
            <w:shd w:val="clear" w:color="auto" w:fill="CCEEFF"/>
          </w:tcPr>
          <w:p>
            <w:pPr>
              <w:spacing w:after="0"/>
              <w:rPr>
                <w:sz w:val="17"/>
                <w:szCs w:val="17"/>
                <w:color w:val="auto"/>
              </w:rPr>
            </w:pPr>
          </w:p>
        </w:tc>
        <w:tc>
          <w:tcPr>
            <w:tcW w:w="640" w:type="dxa"/>
            <w:vAlign w:val="bottom"/>
            <w:tcBorders>
              <w:top w:val="single" w:sz="8" w:color="auto"/>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CCEEFF"/>
            </w:tcBorders>
            <w:shd w:val="clear" w:color="auto" w:fill="CCEEFF"/>
          </w:tcPr>
          <w:p>
            <w:pPr>
              <w:spacing w:after="0"/>
              <w:rPr>
                <w:sz w:val="17"/>
                <w:szCs w:val="17"/>
                <w:color w:val="auto"/>
              </w:rPr>
            </w:pPr>
          </w:p>
        </w:tc>
        <w:tc>
          <w:tcPr>
            <w:tcW w:w="640" w:type="dxa"/>
            <w:vAlign w:val="bottom"/>
            <w:tcBorders>
              <w:top w:val="single" w:sz="8" w:color="auto"/>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198"/>
        </w:trPr>
        <w:tc>
          <w:tcPr>
            <w:tcW w:w="474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U.S. Treasury securities and obligations of U.S. Government</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4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agencies</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3,440</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251,111</w:t>
            </w:r>
          </w:p>
        </w:tc>
        <w:tc>
          <w:tcPr>
            <w:tcW w:w="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3,440</w:t>
            </w:r>
          </w:p>
        </w:tc>
        <w:tc>
          <w:tcPr>
            <w:tcW w:w="3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251,111</w:t>
            </w:r>
          </w:p>
        </w:tc>
      </w:tr>
      <w:tr>
        <w:trPr>
          <w:trHeight w:val="216"/>
        </w:trPr>
        <w:tc>
          <w:tcPr>
            <w:tcW w:w="47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2,161</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230,634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4,774</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289,322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6,935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519,956</w:t>
            </w:r>
          </w:p>
        </w:tc>
      </w:tr>
      <w:tr>
        <w:trPr>
          <w:trHeight w:val="236"/>
        </w:trPr>
        <w:tc>
          <w:tcPr>
            <w:tcW w:w="4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Corporate securities including public utilities</w:t>
            </w:r>
          </w:p>
        </w:tc>
        <w:tc>
          <w:tcPr>
            <w:tcW w:w="100" w:type="dxa"/>
            <w:vAlign w:val="bottom"/>
          </w:tcPr>
          <w:p>
            <w:pPr>
              <w:spacing w:after="0"/>
              <w:rPr>
                <w:sz w:val="20"/>
                <w:szCs w:val="20"/>
                <w:color w:val="auto"/>
              </w:rPr>
            </w:pPr>
          </w:p>
        </w:tc>
        <w:tc>
          <w:tcPr>
            <w:tcW w:w="1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81</w:t>
            </w:r>
          </w:p>
        </w:tc>
        <w:tc>
          <w:tcPr>
            <w:tcW w:w="14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25,331</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2,727</w:t>
            </w:r>
          </w:p>
        </w:tc>
        <w:tc>
          <w:tcPr>
            <w:tcW w:w="140" w:type="dxa"/>
            <w:vAlign w:val="bottom"/>
          </w:tcPr>
          <w:p>
            <w:pPr>
              <w:spacing w:after="0"/>
              <w:rPr>
                <w:sz w:val="20"/>
                <w:szCs w:val="20"/>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168,571</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2,808</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193,902</w:t>
            </w:r>
          </w:p>
        </w:tc>
      </w:tr>
      <w:tr>
        <w:trPr>
          <w:trHeight w:val="229"/>
        </w:trPr>
        <w:tc>
          <w:tcPr>
            <w:tcW w:w="474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Totals</w:t>
            </w: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5,682</w:t>
            </w: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507,076</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7,501</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457,893</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13,183</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964,969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0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76"/>
        </w:trPr>
        <w:tc>
          <w:tcPr>
            <w:tcW w:w="474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December 31, 2023</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0"/>
        </w:trPr>
        <w:tc>
          <w:tcPr>
            <w:tcW w:w="1020" w:type="dxa"/>
            <w:vAlign w:val="bottom"/>
            <w:tcBorders>
              <w:top w:val="single" w:sz="8" w:color="auto"/>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CCEEFF"/>
          </w:tcPr>
          <w:p>
            <w:pPr>
              <w:spacing w:after="0" w:line="20" w:lineRule="exact"/>
              <w:rPr>
                <w:sz w:val="1"/>
                <w:szCs w:val="1"/>
                <w:color w:val="auto"/>
              </w:rPr>
            </w:pPr>
          </w:p>
        </w:tc>
        <w:tc>
          <w:tcPr>
            <w:tcW w:w="3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98"/>
        </w:trPr>
        <w:tc>
          <w:tcPr>
            <w:tcW w:w="474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U.S. Treasury securities and obligations of U.S. Government</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4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agencies</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1,000</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249,877</w:t>
            </w:r>
          </w:p>
        </w:tc>
        <w:tc>
          <w:tcPr>
            <w:tcW w:w="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1,000</w:t>
            </w:r>
          </w:p>
        </w:tc>
        <w:tc>
          <w:tcPr>
            <w:tcW w:w="3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249,877</w:t>
            </w:r>
          </w:p>
        </w:tc>
      </w:tr>
      <w:tr>
        <w:trPr>
          <w:trHeight w:val="216"/>
        </w:trPr>
        <w:tc>
          <w:tcPr>
            <w:tcW w:w="47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4,542</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451,985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4,542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451,985</w:t>
            </w:r>
          </w:p>
        </w:tc>
      </w:tr>
      <w:tr>
        <w:trPr>
          <w:trHeight w:val="236"/>
        </w:trPr>
        <w:tc>
          <w:tcPr>
            <w:tcW w:w="4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Corporate securities including public utilities</w:t>
            </w:r>
          </w:p>
        </w:tc>
        <w:tc>
          <w:tcPr>
            <w:tcW w:w="100" w:type="dxa"/>
            <w:vAlign w:val="bottom"/>
          </w:tcPr>
          <w:p>
            <w:pPr>
              <w:spacing w:after="0"/>
              <w:rPr>
                <w:sz w:val="20"/>
                <w:szCs w:val="20"/>
                <w:color w:val="auto"/>
              </w:rPr>
            </w:pPr>
          </w:p>
        </w:tc>
        <w:tc>
          <w:tcPr>
            <w:tcW w:w="1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2,740</w:t>
            </w:r>
          </w:p>
        </w:tc>
        <w:tc>
          <w:tcPr>
            <w:tcW w:w="140" w:type="dxa"/>
            <w:vAlign w:val="bottom"/>
          </w:tcPr>
          <w:p>
            <w:pPr>
              <w:spacing w:after="0"/>
              <w:rPr>
                <w:sz w:val="20"/>
                <w:szCs w:val="20"/>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221,334</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2,740</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221,334</w:t>
            </w:r>
          </w:p>
        </w:tc>
      </w:tr>
      <w:tr>
        <w:trPr>
          <w:trHeight w:val="230"/>
        </w:trPr>
        <w:tc>
          <w:tcPr>
            <w:tcW w:w="474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Totals</w:t>
            </w: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249,877</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7,282</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673,319</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8,282</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923,196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0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9"/>
        </w:trPr>
        <w:tc>
          <w:tcPr>
            <w:tcW w:w="10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63</w:t>
            </w: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1" w:right="339" w:bottom="1440" w:gutter="0" w:footer="0" w:header="0"/>
        </w:sectPr>
      </w:pPr>
    </w:p>
    <w:bookmarkStart w:id="66" w:name="page67"/>
    <w:bookmarkEnd w:id="66"/>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June 30, 2024 (Unaudited)</w:t>
      </w:r>
    </w:p>
    <w:p>
      <w:pPr>
        <w:spacing w:after="0" w:line="176" w:lineRule="exact"/>
        <w:rPr>
          <w:sz w:val="20"/>
          <w:szCs w:val="20"/>
          <w:color w:val="auto"/>
        </w:rPr>
      </w:pPr>
    </w:p>
    <w:p>
      <w:pPr>
        <w:ind w:left="300" w:hanging="292"/>
        <w:spacing w:after="0"/>
        <w:tabs>
          <w:tab w:leader="none" w:pos="3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Cemetery Perpetual Care Trust Investments and Obligations and Restricted Assets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Relevant holdings were comprised of 14 securities with fair values aggregating 98.7% of the aggregate amortized cost as of June 30, 2024. Relevant holdings were comprised of 12 securities with fair values aggregating 99.1% of the aggregate amortized cost as of December 31, 2023. No credit losses have been recognized for the three and six month periods ended June 30, 2024 and 2023, since the increase in unrealized losses is primarily a result of increases in interest. See Note 3 for additional information regarding the Company’s evaluation of the allowance for credit losses for fixed maturity securities available for sale.</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table below presents the amortized cost and estimated fair value of fixed maturity securities available for sale as of June 30, 2024, by contractual maturity. Expected maturities may differ from contractual maturities because certain borrowers may have the right to call or prepay obligations with or without call or prepayment penalties.</w:t>
      </w:r>
    </w:p>
    <w:p>
      <w:pPr>
        <w:sectPr>
          <w:pgSz w:w="11900" w:h="16838" w:orient="portrait"/>
          <w:cols w:equalWidth="0" w:num="1">
            <w:col w:w="11240"/>
          </w:cols>
          <w:pgMar w:left="320" w:top="87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Due in 1 year</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Due in 2-5 years</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Due in 5-10 years</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Due in more than 10 years</w:t>
      </w:r>
    </w:p>
    <w:p>
      <w:pPr>
        <w:spacing w:after="0" w:line="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240" w:type="dxa"/>
            <w:vAlign w:val="bottom"/>
          </w:tcPr>
          <w:p>
            <w:pPr>
              <w:spacing w:after="0"/>
              <w:rPr>
                <w:sz w:val="19"/>
                <w:szCs w:val="19"/>
                <w:color w:val="auto"/>
              </w:rPr>
            </w:pPr>
          </w:p>
        </w:tc>
        <w:tc>
          <w:tcPr>
            <w:tcW w:w="154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Amortized</w:t>
            </w:r>
          </w:p>
        </w:tc>
        <w:tc>
          <w:tcPr>
            <w:tcW w:w="160" w:type="dxa"/>
            <w:vAlign w:val="bottom"/>
          </w:tcPr>
          <w:p>
            <w:pPr>
              <w:spacing w:after="0"/>
              <w:rPr>
                <w:sz w:val="19"/>
                <w:szCs w:val="19"/>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Estimated Fair</w:t>
            </w:r>
          </w:p>
        </w:tc>
      </w:tr>
      <w:tr>
        <w:trPr>
          <w:trHeight w:val="241"/>
        </w:trPr>
        <w:tc>
          <w:tcPr>
            <w:tcW w:w="240" w:type="dxa"/>
            <w:vAlign w:val="bottom"/>
          </w:tcPr>
          <w:p>
            <w:pPr>
              <w:spacing w:after="0"/>
              <w:rPr>
                <w:sz w:val="20"/>
                <w:szCs w:val="20"/>
                <w:color w:val="auto"/>
              </w:rPr>
            </w:pPr>
          </w:p>
        </w:tc>
        <w:tc>
          <w:tcPr>
            <w:tcW w:w="154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Cost</w:t>
            </w:r>
          </w:p>
        </w:tc>
        <w:tc>
          <w:tcPr>
            <w:tcW w:w="160" w:type="dxa"/>
            <w:vAlign w:val="bottom"/>
          </w:tcPr>
          <w:p>
            <w:pPr>
              <w:spacing w:after="0"/>
              <w:rPr>
                <w:sz w:val="20"/>
                <w:szCs w:val="20"/>
                <w:color w:val="auto"/>
              </w:rPr>
            </w:pPr>
          </w:p>
        </w:tc>
        <w:tc>
          <w:tcPr>
            <w:tcW w:w="13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Value</w:t>
            </w:r>
          </w:p>
        </w:tc>
      </w:tr>
      <w:tr>
        <w:trPr>
          <w:trHeight w:val="198"/>
        </w:trPr>
        <w:tc>
          <w:tcPr>
            <w:tcW w:w="240" w:type="dxa"/>
            <w:vAlign w:val="bottom"/>
            <w:tcBorders>
              <w:top w:val="single" w:sz="8" w:color="auto"/>
            </w:tcBorders>
          </w:tcPr>
          <w:p>
            <w:pPr>
              <w:jc w:val="right"/>
              <w:ind w:right="50"/>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542,305</w:t>
            </w:r>
          </w:p>
        </w:tc>
        <w:tc>
          <w:tcPr>
            <w:tcW w:w="260" w:type="dxa"/>
            <w:vAlign w:val="bottom"/>
          </w:tcPr>
          <w:p>
            <w:pPr>
              <w:spacing w:after="0"/>
              <w:rPr>
                <w:sz w:val="17"/>
                <w:szCs w:val="17"/>
                <w:color w:val="auto"/>
              </w:rPr>
            </w:pPr>
          </w:p>
        </w:tc>
        <w:tc>
          <w:tcPr>
            <w:tcW w:w="16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545,540</w:t>
            </w:r>
          </w:p>
        </w:tc>
        <w:tc>
          <w:tcPr>
            <w:tcW w:w="20" w:type="dxa"/>
            <w:vAlign w:val="bottom"/>
          </w:tcPr>
          <w:p>
            <w:pPr>
              <w:spacing w:after="0"/>
              <w:rPr>
                <w:sz w:val="17"/>
                <w:szCs w:val="17"/>
                <w:color w:val="auto"/>
              </w:rPr>
            </w:pPr>
          </w:p>
        </w:tc>
      </w:tr>
      <w:tr>
        <w:trPr>
          <w:trHeight w:val="216"/>
        </w:trPr>
        <w:tc>
          <w:tcPr>
            <w:tcW w:w="240" w:type="dxa"/>
            <w:vAlign w:val="bottom"/>
          </w:tcPr>
          <w:p>
            <w:pPr>
              <w:spacing w:after="0"/>
              <w:rPr>
                <w:sz w:val="18"/>
                <w:szCs w:val="18"/>
                <w:color w:val="auto"/>
              </w:rPr>
            </w:pPr>
          </w:p>
        </w:tc>
        <w:tc>
          <w:tcPr>
            <w:tcW w:w="1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362,834</w:t>
            </w:r>
          </w:p>
        </w:tc>
        <w:tc>
          <w:tcPr>
            <w:tcW w:w="16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356,778</w:t>
            </w:r>
          </w:p>
        </w:tc>
      </w:tr>
      <w:tr>
        <w:trPr>
          <w:trHeight w:val="230"/>
        </w:trPr>
        <w:tc>
          <w:tcPr>
            <w:tcW w:w="240" w:type="dxa"/>
            <w:vAlign w:val="bottom"/>
          </w:tcPr>
          <w:p>
            <w:pPr>
              <w:spacing w:after="0"/>
              <w:rPr>
                <w:sz w:val="19"/>
                <w:szCs w:val="19"/>
                <w:color w:val="auto"/>
              </w:rPr>
            </w:pPr>
          </w:p>
        </w:tc>
        <w:tc>
          <w:tcPr>
            <w:tcW w:w="1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101,523</w:t>
            </w:r>
          </w:p>
        </w:tc>
        <w:tc>
          <w:tcPr>
            <w:tcW w:w="160" w:type="dxa"/>
            <w:vAlign w:val="bottom"/>
          </w:tcPr>
          <w:p>
            <w:pPr>
              <w:spacing w:after="0"/>
              <w:rPr>
                <w:sz w:val="19"/>
                <w:szCs w:val="19"/>
                <w:color w:val="auto"/>
              </w:rPr>
            </w:pP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100,716</w:t>
            </w:r>
          </w:p>
        </w:tc>
      </w:tr>
      <w:tr>
        <w:trPr>
          <w:trHeight w:val="241"/>
        </w:trPr>
        <w:tc>
          <w:tcPr>
            <w:tcW w:w="240" w:type="dxa"/>
            <w:vAlign w:val="bottom"/>
          </w:tcPr>
          <w:p>
            <w:pPr>
              <w:spacing w:after="0"/>
              <w:rPr>
                <w:sz w:val="20"/>
                <w:szCs w:val="20"/>
                <w:color w:val="auto"/>
              </w:rPr>
            </w:pPr>
          </w:p>
        </w:tc>
        <w:tc>
          <w:tcPr>
            <w:tcW w:w="1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563,523</w:t>
            </w:r>
          </w:p>
        </w:tc>
        <w:tc>
          <w:tcPr>
            <w:tcW w:w="160" w:type="dxa"/>
            <w:vAlign w:val="bottom"/>
          </w:tcPr>
          <w:p>
            <w:pPr>
              <w:spacing w:after="0"/>
              <w:rPr>
                <w:sz w:val="20"/>
                <w:szCs w:val="20"/>
                <w:color w:val="auto"/>
              </w:rPr>
            </w:pP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557,232</w:t>
            </w:r>
          </w:p>
        </w:tc>
      </w:tr>
      <w:tr>
        <w:trPr>
          <w:trHeight w:val="230"/>
        </w:trPr>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1,570,185</w:t>
            </w:r>
          </w:p>
        </w:tc>
        <w:tc>
          <w:tcPr>
            <w:tcW w:w="2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1,560,266</w:t>
            </w: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-3547745</wp:posOffset>
            </wp:positionH>
            <wp:positionV relativeFrom="paragraph">
              <wp:posOffset>-753745</wp:posOffset>
            </wp:positionV>
            <wp:extent cx="5700395" cy="14541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700395" cy="145415"/>
                    </a:xfrm>
                    <a:prstGeom prst="rect">
                      <a:avLst/>
                    </a:prstGeom>
                    <a:noFill/>
                  </pic:spPr>
                </pic:pic>
              </a:graphicData>
            </a:graphic>
          </wp:anchor>
        </w:drawing>
        <w:drawing>
          <wp:anchor simplePos="0" relativeHeight="251657728" behindDoc="1" locked="0" layoutInCell="0" allowOverlap="1">
            <wp:simplePos x="0" y="0"/>
            <wp:positionH relativeFrom="column">
              <wp:posOffset>-3547745</wp:posOffset>
            </wp:positionH>
            <wp:positionV relativeFrom="paragraph">
              <wp:posOffset>-471170</wp:posOffset>
            </wp:positionV>
            <wp:extent cx="5700395" cy="13716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700395" cy="137160"/>
                    </a:xfrm>
                    <a:prstGeom prst="rect">
                      <a:avLst/>
                    </a:prstGeom>
                    <a:noFill/>
                  </pic:spPr>
                </pic:pic>
              </a:graphicData>
            </a:graphic>
          </wp:anchor>
        </w:drawing>
        <w:drawing>
          <wp:anchor simplePos="0" relativeHeight="251657728" behindDoc="1" locked="0" layoutInCell="0" allowOverlap="1">
            <wp:simplePos x="0" y="0"/>
            <wp:positionH relativeFrom="column">
              <wp:posOffset>-3547745</wp:posOffset>
            </wp:positionH>
            <wp:positionV relativeFrom="paragraph">
              <wp:posOffset>-179070</wp:posOffset>
            </wp:positionV>
            <wp:extent cx="5700395" cy="16319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700395" cy="163195"/>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5200" w:space="720"/>
            <w:col w:w="5320"/>
          </w:cols>
          <w:pgMar w:left="320" w:top="877"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See Notes 3 and 8 for additional information regarding restricted assets and cemetery perpetual care trust investments.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type w:val="continuous"/>
        </w:sectPr>
      </w:pPr>
    </w:p>
    <w:bookmarkStart w:id="67" w:name="page68"/>
    <w:bookmarkEnd w:id="67"/>
    <w:p>
      <w:pPr>
        <w:jc w:val="center"/>
        <w:ind w:left="880" w:right="2140"/>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June 30, 2024 (Unaudited)</w:t>
      </w:r>
    </w:p>
    <w:p>
      <w:pPr>
        <w:spacing w:after="0" w:line="176" w:lineRule="exact"/>
        <w:rPr>
          <w:sz w:val="20"/>
          <w:szCs w:val="20"/>
          <w:color w:val="auto"/>
        </w:rPr>
      </w:pPr>
    </w:p>
    <w:p>
      <w:pPr>
        <w:ind w:left="300" w:hanging="292"/>
        <w:spacing w:after="0"/>
        <w:tabs>
          <w:tab w:leader="none" w:pos="3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Accumulated Other Comprehensive Income (loss)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changes in accumulated other comprehensive income (loss):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0" w:type="dxa"/>
            <w:vAlign w:val="bottom"/>
            <w:gridSpan w:val="5"/>
          </w:tcPr>
          <w:p>
            <w:pPr>
              <w:jc w:val="right"/>
              <w:ind w:right="581"/>
              <w:spacing w:after="0"/>
              <w:rPr>
                <w:sz w:val="20"/>
                <w:szCs w:val="20"/>
                <w:color w:val="auto"/>
              </w:rPr>
            </w:pPr>
            <w:r>
              <w:rPr>
                <w:rFonts w:ascii="Times New Roman" w:cs="Times New Roman" w:eastAsia="Times New Roman" w:hAnsi="Times New Roman"/>
                <w:sz w:val="18"/>
                <w:szCs w:val="18"/>
                <w:color w:val="auto"/>
              </w:rPr>
              <w:t>Three Months Ended June 30,</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80" w:type="dxa"/>
            <w:vAlign w:val="bottom"/>
            <w:gridSpan w:val="6"/>
          </w:tcPr>
          <w:p>
            <w:pPr>
              <w:jc w:val="right"/>
              <w:ind w:right="640"/>
              <w:spacing w:after="0"/>
              <w:rPr>
                <w:sz w:val="20"/>
                <w:szCs w:val="20"/>
                <w:color w:val="auto"/>
              </w:rPr>
            </w:pPr>
            <w:r>
              <w:rPr>
                <w:rFonts w:ascii="Times New Roman" w:cs="Times New Roman" w:eastAsia="Times New Roman" w:hAnsi="Times New Roman"/>
                <w:sz w:val="18"/>
                <w:szCs w:val="18"/>
                <w:color w:val="auto"/>
              </w:rPr>
              <w:t>Six Months Ended June 30,</w:t>
            </w:r>
          </w:p>
        </w:tc>
      </w:tr>
      <w:tr>
        <w:trPr>
          <w:trHeight w:val="237"/>
        </w:trPr>
        <w:tc>
          <w:tcPr>
            <w:tcW w:w="3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2024</w:t>
            </w:r>
          </w:p>
        </w:tc>
        <w:tc>
          <w:tcPr>
            <w:tcW w:w="320" w:type="dxa"/>
            <w:vAlign w:val="bottom"/>
            <w:tcBorders>
              <w:top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2023</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2024</w:t>
            </w:r>
          </w:p>
        </w:tc>
        <w:tc>
          <w:tcPr>
            <w:tcW w:w="320" w:type="dxa"/>
            <w:vAlign w:val="bottom"/>
            <w:tcBorders>
              <w:top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3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8"/>
        </w:trPr>
        <w:tc>
          <w:tcPr>
            <w:tcW w:w="39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Unrealized gains (losses) on fixed maturity securities</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available for sale</w:t>
            </w:r>
          </w:p>
        </w:tc>
        <w:tc>
          <w:tcPr>
            <w:tcW w:w="40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(654,164)</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(4,913,327)</w:t>
            </w:r>
          </w:p>
        </w:tc>
        <w:tc>
          <w:tcPr>
            <w:tcW w:w="44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(1,689,264)</w:t>
            </w: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523,602</w:t>
            </w:r>
          </w:p>
        </w:tc>
        <w:tc>
          <w:tcPr>
            <w:tcW w:w="80" w:type="dxa"/>
            <w:vAlign w:val="bottom"/>
            <w:shd w:val="clear" w:color="auto" w:fill="CCEEFF"/>
          </w:tcPr>
          <w:p>
            <w:pPr>
              <w:spacing w:after="0"/>
              <w:rPr>
                <w:sz w:val="20"/>
                <w:szCs w:val="20"/>
                <w:color w:val="auto"/>
              </w:rPr>
            </w:pPr>
          </w:p>
        </w:tc>
      </w:tr>
      <w:tr>
        <w:trPr>
          <w:trHeight w:val="236"/>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Amounts reclassified into net earnings</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3,675</w:t>
            </w:r>
          </w:p>
        </w:tc>
        <w:tc>
          <w:tcPr>
            <w:tcW w:w="300" w:type="dxa"/>
            <w:vAlign w:val="bottom"/>
          </w:tcPr>
          <w:p>
            <w:pPr>
              <w:spacing w:after="0"/>
              <w:rPr>
                <w:sz w:val="20"/>
                <w:szCs w:val="20"/>
                <w:color w:val="auto"/>
              </w:rPr>
            </w:pPr>
          </w:p>
        </w:tc>
        <w:tc>
          <w:tcPr>
            <w:tcW w:w="12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(79,850)</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2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(92,876)</w:t>
            </w:r>
          </w:p>
        </w:tc>
        <w:tc>
          <w:tcPr>
            <w:tcW w:w="300" w:type="dxa"/>
            <w:vAlign w:val="bottom"/>
          </w:tcPr>
          <w:p>
            <w:pPr>
              <w:spacing w:after="0"/>
              <w:rPr>
                <w:sz w:val="20"/>
                <w:szCs w:val="20"/>
                <w:color w:val="auto"/>
              </w:rPr>
            </w:pPr>
          </w:p>
        </w:tc>
        <w:tc>
          <w:tcPr>
            <w:tcW w:w="11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(298,750)</w:t>
            </w:r>
          </w:p>
        </w:tc>
      </w:tr>
      <w:tr>
        <w:trPr>
          <w:trHeight w:val="216"/>
        </w:trPr>
        <w:tc>
          <w:tcPr>
            <w:tcW w:w="3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unrealized gains (losses) before taxes</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(650,489)</w:t>
            </w:r>
          </w:p>
        </w:tc>
        <w:tc>
          <w:tcPr>
            <w:tcW w:w="3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(4,993,177)</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(1,782,140)</w:t>
            </w:r>
          </w:p>
        </w:tc>
        <w:tc>
          <w:tcPr>
            <w:tcW w:w="3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224,852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36"/>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Tax (expense) benefit</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135,422</w:t>
            </w:r>
          </w:p>
        </w:tc>
        <w:tc>
          <w:tcPr>
            <w:tcW w:w="300" w:type="dxa"/>
            <w:vAlign w:val="bottom"/>
          </w:tcPr>
          <w:p>
            <w:pPr>
              <w:spacing w:after="0"/>
              <w:rPr>
                <w:sz w:val="20"/>
                <w:szCs w:val="20"/>
                <w:color w:val="auto"/>
              </w:rPr>
            </w:pPr>
          </w:p>
        </w:tc>
        <w:tc>
          <w:tcPr>
            <w:tcW w:w="12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1,048,567</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373,973</w:t>
            </w:r>
          </w:p>
        </w:tc>
        <w:tc>
          <w:tcPr>
            <w:tcW w:w="300" w:type="dxa"/>
            <w:vAlign w:val="bottom"/>
          </w:tcPr>
          <w:p>
            <w:pPr>
              <w:spacing w:after="0"/>
              <w:rPr>
                <w:sz w:val="20"/>
                <w:szCs w:val="20"/>
                <w:color w:val="auto"/>
              </w:rPr>
            </w:pPr>
          </w:p>
        </w:tc>
        <w:tc>
          <w:tcPr>
            <w:tcW w:w="11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(47,219)</w:t>
            </w:r>
          </w:p>
        </w:tc>
      </w:tr>
      <w:tr>
        <w:trPr>
          <w:trHeight w:val="236"/>
        </w:trPr>
        <w:tc>
          <w:tcPr>
            <w:tcW w:w="39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(515,067</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Borders>
              <w:top w:val="single" w:sz="8" w:color="auto"/>
              <w:bottom w:val="single" w:sz="8" w:color="auto"/>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(3,944,610</w:t>
            </w:r>
          </w:p>
        </w:tc>
        <w:tc>
          <w:tcPr>
            <w:tcW w:w="180" w:type="dxa"/>
            <w:vAlign w:val="bottom"/>
            <w:tcBorders>
              <w:top w:val="single" w:sz="8" w:color="CCEEFF"/>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(1,408,167</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Borders>
              <w:top w:val="single" w:sz="8" w:color="auto"/>
              <w:bottom w:val="single" w:sz="8" w:color="auto"/>
            </w:tcBorders>
            <w:shd w:val="clear" w:color="auto" w:fill="CCEEFF"/>
          </w:tcPr>
          <w:p>
            <w:pPr>
              <w:spacing w:after="0"/>
              <w:rPr>
                <w:sz w:val="20"/>
                <w:szCs w:val="20"/>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177,633</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396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Unrealized losses on restricted assets (1)</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(1,694)</w:t>
            </w: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(6,189)</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(3,583)</w:t>
            </w: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(2,056)</w:t>
            </w:r>
          </w:p>
        </w:tc>
        <w:tc>
          <w:tcPr>
            <w:tcW w:w="100" w:type="dxa"/>
            <w:vAlign w:val="bottom"/>
            <w:gridSpan w:val="2"/>
          </w:tcPr>
          <w:p>
            <w:pPr>
              <w:spacing w:after="0"/>
              <w:rPr>
                <w:sz w:val="17"/>
                <w:szCs w:val="17"/>
                <w:color w:val="auto"/>
              </w:rPr>
            </w:pPr>
          </w:p>
        </w:tc>
      </w:tr>
      <w:tr>
        <w:trPr>
          <w:trHeight w:val="249"/>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benefit</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422</w:t>
            </w:r>
          </w:p>
        </w:tc>
        <w:tc>
          <w:tcPr>
            <w:tcW w:w="3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1,542</w:t>
            </w:r>
          </w:p>
        </w:tc>
        <w:tc>
          <w:tcPr>
            <w:tcW w:w="1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893</w:t>
            </w:r>
          </w:p>
        </w:tc>
        <w:tc>
          <w:tcPr>
            <w:tcW w:w="3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80" w:type="dxa"/>
            <w:vAlign w:val="bottom"/>
            <w:shd w:val="clear" w:color="auto" w:fill="CCEEFF"/>
          </w:tcPr>
          <w:p>
            <w:pPr>
              <w:spacing w:after="0"/>
              <w:rPr>
                <w:sz w:val="21"/>
                <w:szCs w:val="21"/>
                <w:color w:val="auto"/>
              </w:rPr>
            </w:pPr>
          </w:p>
        </w:tc>
      </w:tr>
      <w:tr>
        <w:trPr>
          <w:trHeight w:val="210"/>
        </w:trPr>
        <w:tc>
          <w:tcPr>
            <w:tcW w:w="3960" w:type="dxa"/>
            <w:vAlign w:val="bottom"/>
            <w:tcBorders>
              <w:top w:val="single" w:sz="8" w:color="CCEEFF"/>
              <w:bottom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color w:val="auto"/>
              </w:rPr>
              <w:t>Net</w:t>
            </w:r>
          </w:p>
        </w:tc>
        <w:tc>
          <w:tcPr>
            <w:tcW w:w="120" w:type="dxa"/>
            <w:vAlign w:val="bottom"/>
            <w:tcBorders>
              <w:top w:val="single" w:sz="8" w:color="CCEEFF"/>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(1,272</w:t>
            </w:r>
          </w:p>
        </w:tc>
        <w:tc>
          <w:tcPr>
            <w:tcW w:w="320" w:type="dxa"/>
            <w:vAlign w:val="bottom"/>
            <w:tcBorders>
              <w:top w:val="single" w:sz="8" w:color="CCEEFF"/>
              <w:bottom w:val="single" w:sz="8" w:color="CCEEFF"/>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(4,647</w:t>
            </w:r>
          </w:p>
        </w:tc>
        <w:tc>
          <w:tcPr>
            <w:tcW w:w="180" w:type="dxa"/>
            <w:vAlign w:val="bottom"/>
            <w:tcBorders>
              <w:top w:val="single" w:sz="8" w:color="CCEEFF"/>
              <w:bottom w:val="single" w:sz="8" w:color="CCEEFF"/>
            </w:tcBorders>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CCEEFF"/>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(2,690</w:t>
            </w:r>
          </w:p>
        </w:tc>
        <w:tc>
          <w:tcPr>
            <w:tcW w:w="320" w:type="dxa"/>
            <w:vAlign w:val="bottom"/>
            <w:tcBorders>
              <w:top w:val="single" w:sz="8" w:color="CCEEFF"/>
              <w:bottom w:val="single" w:sz="8" w:color="CCEEFF"/>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(1,544</w:t>
            </w:r>
          </w:p>
        </w:tc>
        <w:tc>
          <w:tcPr>
            <w:tcW w:w="100" w:type="dxa"/>
            <w:vAlign w:val="bottom"/>
            <w:tcBorders>
              <w:top w:val="single" w:sz="8" w:color="CCEEFF"/>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184"/>
        </w:trPr>
        <w:tc>
          <w:tcPr>
            <w:tcW w:w="3960" w:type="dxa"/>
            <w:vAlign w:val="bottom"/>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Unrealized losses on cemetery perpetual care</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34"/>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trust investments (1)</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(1,052)</w:t>
            </w:r>
          </w:p>
        </w:tc>
        <w:tc>
          <w:tcPr>
            <w:tcW w:w="3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(3,738)</w:t>
            </w: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(1,825)</w:t>
            </w:r>
          </w:p>
        </w:tc>
        <w:tc>
          <w:tcPr>
            <w:tcW w:w="300" w:type="dxa"/>
            <w:vAlign w:val="bottom"/>
            <w:shd w:val="clear" w:color="auto" w:fill="CCEEFF"/>
          </w:tcPr>
          <w:p>
            <w:pPr>
              <w:spacing w:after="0"/>
              <w:rPr>
                <w:sz w:val="20"/>
                <w:szCs w:val="20"/>
                <w:color w:val="auto"/>
              </w:rPr>
            </w:pPr>
          </w:p>
        </w:tc>
        <w:tc>
          <w:tcPr>
            <w:tcW w:w="11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(812)</w:t>
            </w:r>
          </w:p>
        </w:tc>
      </w:tr>
      <w:tr>
        <w:trPr>
          <w:trHeight w:val="236"/>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Tax benefit</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262</w:t>
            </w:r>
          </w:p>
        </w:tc>
        <w:tc>
          <w:tcPr>
            <w:tcW w:w="300" w:type="dxa"/>
            <w:vAlign w:val="bottom"/>
          </w:tcPr>
          <w:p>
            <w:pPr>
              <w:spacing w:after="0"/>
              <w:rPr>
                <w:sz w:val="20"/>
                <w:szCs w:val="20"/>
                <w:color w:val="auto"/>
              </w:rPr>
            </w:pPr>
          </w:p>
        </w:tc>
        <w:tc>
          <w:tcPr>
            <w:tcW w:w="12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943</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455</w:t>
            </w:r>
          </w:p>
        </w:tc>
        <w:tc>
          <w:tcPr>
            <w:tcW w:w="30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80" w:type="dxa"/>
            <w:vAlign w:val="bottom"/>
          </w:tcPr>
          <w:p>
            <w:pPr>
              <w:spacing w:after="0"/>
              <w:rPr>
                <w:sz w:val="20"/>
                <w:szCs w:val="20"/>
                <w:color w:val="auto"/>
              </w:rPr>
            </w:pPr>
          </w:p>
        </w:tc>
      </w:tr>
      <w:tr>
        <w:trPr>
          <w:trHeight w:val="236"/>
        </w:trPr>
        <w:tc>
          <w:tcPr>
            <w:tcW w:w="39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Borders>
              <w:top w:val="single" w:sz="8" w:color="auto"/>
              <w:bottom w:val="single" w:sz="8" w:color="auto"/>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(2,795</w:t>
            </w:r>
          </w:p>
        </w:tc>
        <w:tc>
          <w:tcPr>
            <w:tcW w:w="180" w:type="dxa"/>
            <w:vAlign w:val="bottom"/>
            <w:tcBorders>
              <w:top w:val="single" w:sz="8" w:color="CCEEFF"/>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Borders>
              <w:top w:val="single" w:sz="8" w:color="auto"/>
              <w:bottom w:val="single" w:sz="8" w:color="auto"/>
            </w:tcBorders>
            <w:shd w:val="clear" w:color="auto" w:fill="CCEEFF"/>
          </w:tcPr>
          <w:p>
            <w:pPr>
              <w:spacing w:after="0"/>
              <w:rPr>
                <w:sz w:val="20"/>
                <w:szCs w:val="20"/>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 changes</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(517,129</w:t>
            </w:r>
          </w:p>
        </w:tc>
        <w:tc>
          <w:tcPr>
            <w:tcW w:w="32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(3,952,052</w:t>
            </w:r>
          </w:p>
        </w:tc>
        <w:tc>
          <w:tcPr>
            <w:tcW w:w="1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Pr>
          <w:p>
            <w:pPr>
              <w:spacing w:after="0"/>
              <w:rPr>
                <w:sz w:val="18"/>
                <w:szCs w:val="18"/>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(1,412,227</w:t>
            </w:r>
          </w:p>
        </w:tc>
        <w:tc>
          <w:tcPr>
            <w:tcW w:w="32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175,506</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3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(1) Fixed maturity securities available for sale</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accumulated balances of other comprehensive income (loss) as of June 30, 2024:</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center"/>
              <w:ind w:right="361"/>
              <w:spacing w:after="0"/>
              <w:rPr>
                <w:sz w:val="20"/>
                <w:szCs w:val="20"/>
                <w:color w:val="auto"/>
              </w:rPr>
            </w:pPr>
            <w:r>
              <w:rPr>
                <w:rFonts w:ascii="Times New Roman" w:cs="Times New Roman" w:eastAsia="Times New Roman" w:hAnsi="Times New Roman"/>
                <w:sz w:val="18"/>
                <w:szCs w:val="18"/>
                <w:color w:val="auto"/>
              </w:rPr>
              <w:t>Beginning</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center"/>
              <w:ind w:right="341"/>
              <w:spacing w:after="0"/>
              <w:rPr>
                <w:sz w:val="20"/>
                <w:szCs w:val="20"/>
                <w:color w:val="auto"/>
              </w:rPr>
            </w:pPr>
            <w:r>
              <w:rPr>
                <w:rFonts w:ascii="Times New Roman" w:cs="Times New Roman" w:eastAsia="Times New Roman" w:hAnsi="Times New Roman"/>
                <w:sz w:val="18"/>
                <w:szCs w:val="18"/>
                <w:color w:val="auto"/>
                <w:w w:val="99"/>
              </w:rPr>
              <w:t>Balance</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6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color w:val="auto"/>
                <w:w w:val="99"/>
              </w:rPr>
              <w:t>Ending Balance</w:t>
            </w:r>
          </w:p>
        </w:tc>
      </w:tr>
      <w:tr>
        <w:trPr>
          <w:trHeight w:val="216"/>
        </w:trPr>
        <w:tc>
          <w:tcPr>
            <w:tcW w:w="5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center"/>
              <w:ind w:right="361"/>
              <w:spacing w:after="0"/>
              <w:rPr>
                <w:sz w:val="20"/>
                <w:szCs w:val="20"/>
                <w:color w:val="auto"/>
              </w:rPr>
            </w:pPr>
            <w:r>
              <w:rPr>
                <w:rFonts w:ascii="Times New Roman" w:cs="Times New Roman" w:eastAsia="Times New Roman" w:hAnsi="Times New Roman"/>
                <w:sz w:val="18"/>
                <w:szCs w:val="18"/>
                <w:color w:val="auto"/>
                <w:w w:val="98"/>
              </w:rPr>
              <w:t>December 31,</w:t>
            </w:r>
          </w:p>
        </w:tc>
        <w:tc>
          <w:tcPr>
            <w:tcW w:w="100" w:type="dxa"/>
            <w:vAlign w:val="bottom"/>
          </w:tcPr>
          <w:p>
            <w:pPr>
              <w:spacing w:after="0"/>
              <w:rPr>
                <w:sz w:val="18"/>
                <w:szCs w:val="18"/>
                <w:color w:val="auto"/>
              </w:rPr>
            </w:pPr>
          </w:p>
        </w:tc>
        <w:tc>
          <w:tcPr>
            <w:tcW w:w="1520" w:type="dxa"/>
            <w:vAlign w:val="bottom"/>
            <w:gridSpan w:val="2"/>
          </w:tcPr>
          <w:p>
            <w:pPr>
              <w:jc w:val="right"/>
              <w:ind w:right="341"/>
              <w:spacing w:after="0"/>
              <w:rPr>
                <w:sz w:val="20"/>
                <w:szCs w:val="20"/>
                <w:color w:val="auto"/>
              </w:rPr>
            </w:pPr>
            <w:r>
              <w:rPr>
                <w:rFonts w:ascii="Times New Roman" w:cs="Times New Roman" w:eastAsia="Times New Roman" w:hAnsi="Times New Roman"/>
                <w:sz w:val="18"/>
                <w:szCs w:val="18"/>
                <w:color w:val="auto"/>
              </w:rPr>
              <w:t>Change for the</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color w:val="auto"/>
                <w:w w:val="99"/>
              </w:rPr>
              <w:t>June 30,</w:t>
            </w:r>
          </w:p>
        </w:tc>
      </w:tr>
      <w:tr>
        <w:trPr>
          <w:trHeight w:val="241"/>
        </w:trPr>
        <w:tc>
          <w:tcPr>
            <w:tcW w:w="5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2023</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gridSpan w:val="2"/>
          </w:tcPr>
          <w:p>
            <w:pPr>
              <w:jc w:val="right"/>
              <w:ind w:right="661"/>
              <w:spacing w:after="0"/>
              <w:rPr>
                <w:sz w:val="20"/>
                <w:szCs w:val="20"/>
                <w:color w:val="auto"/>
              </w:rPr>
            </w:pPr>
            <w:r>
              <w:rPr>
                <w:rFonts w:ascii="Times New Roman" w:cs="Times New Roman" w:eastAsia="Times New Roman" w:hAnsi="Times New Roman"/>
                <w:sz w:val="18"/>
                <w:szCs w:val="18"/>
                <w:color w:val="auto"/>
              </w:rPr>
              <w:t>period</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2024</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16"/>
        </w:trPr>
        <w:tc>
          <w:tcPr>
            <w:tcW w:w="5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losses on fixed maturity securities available for sale</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(6,876,629)</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(1,408,167)</w:t>
            </w:r>
          </w:p>
        </w:tc>
        <w:tc>
          <w:tcPr>
            <w:tcW w:w="3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(8,284,796)</w:t>
            </w:r>
          </w:p>
        </w:tc>
        <w:tc>
          <w:tcPr>
            <w:tcW w:w="8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Unrealized losses on restricted assets (1)</w:t>
            </w:r>
          </w:p>
        </w:tc>
        <w:tc>
          <w:tcPr>
            <w:tcW w:w="120" w:type="dxa"/>
            <w:vAlign w:val="bottom"/>
          </w:tcPr>
          <w:p>
            <w:pPr>
              <w:spacing w:after="0"/>
              <w:rPr>
                <w:sz w:val="18"/>
                <w:szCs w:val="18"/>
                <w:color w:val="auto"/>
              </w:rPr>
            </w:pPr>
          </w:p>
        </w:tc>
        <w:tc>
          <w:tcPr>
            <w:tcW w:w="152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(4,757)</w:t>
            </w:r>
          </w:p>
        </w:tc>
        <w:tc>
          <w:tcPr>
            <w:tcW w:w="100" w:type="dxa"/>
            <w:vAlign w:val="bottom"/>
          </w:tcPr>
          <w:p>
            <w:pPr>
              <w:spacing w:after="0"/>
              <w:rPr>
                <w:sz w:val="18"/>
                <w:szCs w:val="18"/>
                <w:color w:val="auto"/>
              </w:rPr>
            </w:pPr>
          </w:p>
        </w:tc>
        <w:tc>
          <w:tcPr>
            <w:tcW w:w="152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(2,690)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(7,447)</w:t>
            </w:r>
          </w:p>
        </w:tc>
      </w:tr>
      <w:tr>
        <w:trPr>
          <w:trHeight w:val="250"/>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losses on cemetery perpetual care trust investments (1)</w:t>
            </w:r>
          </w:p>
        </w:tc>
        <w:tc>
          <w:tcPr>
            <w:tcW w:w="120" w:type="dxa"/>
            <w:vAlign w:val="bottom"/>
            <w:shd w:val="clear" w:color="auto" w:fill="CCEEFF"/>
          </w:tcPr>
          <w:p>
            <w:pPr>
              <w:spacing w:after="0"/>
              <w:rPr>
                <w:sz w:val="21"/>
                <w:szCs w:val="21"/>
                <w:color w:val="auto"/>
              </w:rPr>
            </w:pPr>
          </w:p>
        </w:tc>
        <w:tc>
          <w:tcPr>
            <w:tcW w:w="15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(4,172)</w:t>
            </w:r>
          </w:p>
        </w:tc>
        <w:tc>
          <w:tcPr>
            <w:tcW w:w="100" w:type="dxa"/>
            <w:vAlign w:val="bottom"/>
            <w:shd w:val="clear" w:color="auto" w:fill="CCEEFF"/>
          </w:tcPr>
          <w:p>
            <w:pPr>
              <w:spacing w:after="0"/>
              <w:rPr>
                <w:sz w:val="21"/>
                <w:szCs w:val="21"/>
                <w:color w:val="auto"/>
              </w:rPr>
            </w:pPr>
          </w:p>
        </w:tc>
        <w:tc>
          <w:tcPr>
            <w:tcW w:w="152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(1,370)</w:t>
            </w: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(5,542)</w:t>
            </w:r>
          </w:p>
        </w:tc>
      </w:tr>
      <w:tr>
        <w:trPr>
          <w:trHeight w:val="216"/>
        </w:trPr>
        <w:tc>
          <w:tcPr>
            <w:tcW w:w="546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(6,885,558</w:t>
            </w:r>
          </w:p>
        </w:tc>
        <w:tc>
          <w:tcPr>
            <w:tcW w:w="320" w:type="dxa"/>
            <w:vAlign w:val="bottom"/>
            <w:tcBorders>
              <w:top w:val="single" w:sz="8" w:color="CCEEFF"/>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(1,412,227</w:t>
            </w:r>
          </w:p>
        </w:tc>
        <w:tc>
          <w:tcPr>
            <w:tcW w:w="300" w:type="dxa"/>
            <w:vAlign w:val="bottom"/>
            <w:tcBorders>
              <w:top w:val="single" w:sz="8" w:color="CCEEFF"/>
            </w:tcBorders>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jc w:val="right"/>
              <w:ind w:right="7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(8,297,785</w:t>
            </w:r>
          </w:p>
        </w:tc>
        <w:tc>
          <w:tcPr>
            <w:tcW w:w="80" w:type="dxa"/>
            <w:vAlign w:val="bottom"/>
            <w:tcBorders>
              <w:top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5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(1) Fixed maturity securities available for sale</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accumulated balances of other comprehensive income (loss) as of December 31, 2023:</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center"/>
              <w:ind w:right="361"/>
              <w:spacing w:after="0"/>
              <w:rPr>
                <w:sz w:val="20"/>
                <w:szCs w:val="20"/>
                <w:color w:val="auto"/>
              </w:rPr>
            </w:pPr>
            <w:r>
              <w:rPr>
                <w:rFonts w:ascii="Times New Roman" w:cs="Times New Roman" w:eastAsia="Times New Roman" w:hAnsi="Times New Roman"/>
                <w:sz w:val="18"/>
                <w:szCs w:val="18"/>
                <w:color w:val="auto"/>
              </w:rPr>
              <w:t>Beginning</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center"/>
              <w:ind w:right="341"/>
              <w:spacing w:after="0"/>
              <w:rPr>
                <w:sz w:val="20"/>
                <w:szCs w:val="20"/>
                <w:color w:val="auto"/>
              </w:rPr>
            </w:pPr>
            <w:r>
              <w:rPr>
                <w:rFonts w:ascii="Times New Roman" w:cs="Times New Roman" w:eastAsia="Times New Roman" w:hAnsi="Times New Roman"/>
                <w:sz w:val="18"/>
                <w:szCs w:val="18"/>
                <w:color w:val="auto"/>
                <w:w w:val="99"/>
              </w:rPr>
              <w:t>Balance</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6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color w:val="auto"/>
                <w:w w:val="99"/>
              </w:rPr>
              <w:t>Ending Balance</w:t>
            </w:r>
          </w:p>
        </w:tc>
      </w:tr>
      <w:tr>
        <w:trPr>
          <w:trHeight w:val="216"/>
        </w:trPr>
        <w:tc>
          <w:tcPr>
            <w:tcW w:w="5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center"/>
              <w:ind w:right="361"/>
              <w:spacing w:after="0"/>
              <w:rPr>
                <w:sz w:val="20"/>
                <w:szCs w:val="20"/>
                <w:color w:val="auto"/>
              </w:rPr>
            </w:pPr>
            <w:r>
              <w:rPr>
                <w:rFonts w:ascii="Times New Roman" w:cs="Times New Roman" w:eastAsia="Times New Roman" w:hAnsi="Times New Roman"/>
                <w:sz w:val="18"/>
                <w:szCs w:val="18"/>
                <w:color w:val="auto"/>
                <w:w w:val="98"/>
              </w:rPr>
              <w:t>December 31,</w:t>
            </w:r>
          </w:p>
        </w:tc>
        <w:tc>
          <w:tcPr>
            <w:tcW w:w="100" w:type="dxa"/>
            <w:vAlign w:val="bottom"/>
          </w:tcPr>
          <w:p>
            <w:pPr>
              <w:spacing w:after="0"/>
              <w:rPr>
                <w:sz w:val="18"/>
                <w:szCs w:val="18"/>
                <w:color w:val="auto"/>
              </w:rPr>
            </w:pPr>
          </w:p>
        </w:tc>
        <w:tc>
          <w:tcPr>
            <w:tcW w:w="15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rPr>
              <w:t>Change for the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December 31,</w:t>
            </w:r>
          </w:p>
        </w:tc>
      </w:tr>
      <w:tr>
        <w:trPr>
          <w:trHeight w:val="241"/>
        </w:trPr>
        <w:tc>
          <w:tcPr>
            <w:tcW w:w="5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2022</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9"/>
              </w:rPr>
              <w:t>period</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2023</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16"/>
        </w:trPr>
        <w:tc>
          <w:tcPr>
            <w:tcW w:w="5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gains (losses) on fixed maturity securities available for sale</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(13,050,767)</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6,174,138</w:t>
            </w:r>
          </w:p>
        </w:tc>
        <w:tc>
          <w:tcPr>
            <w:tcW w:w="3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(6,876,629)</w:t>
            </w:r>
          </w:p>
        </w:tc>
        <w:tc>
          <w:tcPr>
            <w:tcW w:w="8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Unrealized gains (losses) on restricted assets (1)</w:t>
            </w:r>
          </w:p>
        </w:tc>
        <w:tc>
          <w:tcPr>
            <w:tcW w:w="120" w:type="dxa"/>
            <w:vAlign w:val="bottom"/>
          </w:tcPr>
          <w:p>
            <w:pPr>
              <w:spacing w:after="0"/>
              <w:rPr>
                <w:sz w:val="18"/>
                <w:szCs w:val="18"/>
                <w:color w:val="auto"/>
              </w:rPr>
            </w:pPr>
          </w:p>
        </w:tc>
        <w:tc>
          <w:tcPr>
            <w:tcW w:w="152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(13,148)</w:t>
            </w:r>
          </w:p>
        </w:tc>
        <w:tc>
          <w:tcPr>
            <w:tcW w:w="100" w:type="dxa"/>
            <w:vAlign w:val="bottom"/>
          </w:tcPr>
          <w:p>
            <w:pPr>
              <w:spacing w:after="0"/>
              <w:rPr>
                <w:sz w:val="18"/>
                <w:szCs w:val="18"/>
                <w:color w:val="auto"/>
              </w:rPr>
            </w:pPr>
          </w:p>
        </w:tc>
        <w:tc>
          <w:tcPr>
            <w:tcW w:w="15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8,391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(4,757)</w:t>
            </w:r>
          </w:p>
        </w:tc>
      </w:tr>
      <w:tr>
        <w:trPr>
          <w:trHeight w:val="198"/>
        </w:trPr>
        <w:tc>
          <w:tcPr>
            <w:tcW w:w="54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Unrealized gains (losses) on cemetery perpetual care trust investments</w:t>
            </w: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68"/>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23"/>
                <w:szCs w:val="23"/>
                <w:color w:val="auto"/>
              </w:rPr>
            </w:pPr>
          </w:p>
        </w:tc>
        <w:tc>
          <w:tcPr>
            <w:tcW w:w="15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(6,362)</w:t>
            </w:r>
          </w:p>
        </w:tc>
        <w:tc>
          <w:tcPr>
            <w:tcW w:w="100" w:type="dxa"/>
            <w:vAlign w:val="bottom"/>
            <w:shd w:val="clear" w:color="auto" w:fill="CCEEFF"/>
          </w:tcPr>
          <w:p>
            <w:pPr>
              <w:spacing w:after="0"/>
              <w:rPr>
                <w:sz w:val="23"/>
                <w:szCs w:val="23"/>
                <w:color w:val="auto"/>
              </w:rPr>
            </w:pPr>
          </w:p>
        </w:tc>
        <w:tc>
          <w:tcPr>
            <w:tcW w:w="15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2,190</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(4,172)</w:t>
            </w:r>
          </w:p>
        </w:tc>
      </w:tr>
      <w:tr>
        <w:trPr>
          <w:trHeight w:val="216"/>
        </w:trPr>
        <w:tc>
          <w:tcPr>
            <w:tcW w:w="546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(13,070,277</w:t>
            </w:r>
          </w:p>
        </w:tc>
        <w:tc>
          <w:tcPr>
            <w:tcW w:w="320" w:type="dxa"/>
            <w:vAlign w:val="bottom"/>
            <w:tcBorders>
              <w:top w:val="single" w:sz="8" w:color="CCEEFF"/>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6,184,719</w:t>
            </w: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(6,885,558</w:t>
            </w:r>
          </w:p>
        </w:tc>
        <w:tc>
          <w:tcPr>
            <w:tcW w:w="80" w:type="dxa"/>
            <w:vAlign w:val="bottom"/>
            <w:tcBorders>
              <w:top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5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(1) Fixed maturity securities available for sale</w:t>
      </w:r>
    </w:p>
    <w:p>
      <w:pPr>
        <w:spacing w:after="0" w:line="200" w:lineRule="exact"/>
        <w:rPr>
          <w:sz w:val="20"/>
          <w:szCs w:val="20"/>
          <w:color w:val="auto"/>
        </w:rPr>
      </w:pPr>
    </w:p>
    <w:p>
      <w:pPr>
        <w:spacing w:after="0" w:line="34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80"/>
          </w:cols>
          <w:pgMar w:left="320" w:top="661" w:right="89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Overview</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operations over the last several years generally reflect three strategies which the Company expects to continue: (i) increased attention to “niche” insurance products, such as the Company’s funeral plan policies and traditional whole life products; (ii) increased emphasis on the cemetery and mortuary business; and (iii) capitalizing on an improving housing market by originating mortgage loans.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Insurance Operations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life insurance business includes funeral plans and interest-sensitive life insurance, as well as other traditional life, accident and health insurance products. The Company places specific marketing emphasis on funeral plans through pre-need planning.</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funeral plan is a small face value life insurance policy that generally has face coverage of up to $30,000. The Company believes that funeral plans represent a marketing niche that is less competitive because most insurance companies do not offer similar coverage. The purpose of the funeral plan policy is to pay the costs and expenses incurred at the time of a person’s death. On a per thousand-dollar cost of insurance basis, these policies can be more expensive to the policyholder than many types of non-burial insurance due to their low face amount, requiring the fixed cost of the policy administration to be distributed over a smaller policy size, and the simplified underwriting practices that result in higher mortality costs.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condensed financial results of the insurance operations for the three and six month periods ended June 30, 2024 and 2023.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7 to the condensed consolidated financial statements.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0" w:type="dxa"/>
            <w:vAlign w:val="bottom"/>
            <w:gridSpan w:val="9"/>
          </w:tcPr>
          <w:p>
            <w:pPr>
              <w:jc w:val="center"/>
              <w:ind w:right="390"/>
              <w:spacing w:after="0"/>
              <w:rPr>
                <w:sz w:val="20"/>
                <w:szCs w:val="20"/>
                <w:color w:val="auto"/>
              </w:rPr>
            </w:pPr>
            <w:r>
              <w:rPr>
                <w:rFonts w:ascii="Times New Roman" w:cs="Times New Roman" w:eastAsia="Times New Roman" w:hAnsi="Times New Roman"/>
                <w:sz w:val="18"/>
                <w:szCs w:val="18"/>
                <w:color w:val="auto"/>
              </w:rPr>
              <w:t>Three months ended June 30,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900" w:type="dxa"/>
            <w:vAlign w:val="bottom"/>
            <w:gridSpan w:val="9"/>
          </w:tcPr>
          <w:p>
            <w:pPr>
              <w:jc w:val="center"/>
              <w:ind w:right="270"/>
              <w:spacing w:after="0"/>
              <w:rPr>
                <w:sz w:val="20"/>
                <w:szCs w:val="20"/>
                <w:color w:val="auto"/>
              </w:rPr>
            </w:pPr>
            <w:r>
              <w:rPr>
                <w:rFonts w:ascii="Times New Roman" w:cs="Times New Roman" w:eastAsia="Times New Roman" w:hAnsi="Times New Roman"/>
                <w:sz w:val="18"/>
                <w:szCs w:val="18"/>
                <w:color w:val="auto"/>
              </w:rPr>
              <w:t>Six months ended June 30,</w:t>
            </w:r>
          </w:p>
        </w:tc>
        <w:tc>
          <w:tcPr>
            <w:tcW w:w="0" w:type="dxa"/>
            <w:vAlign w:val="bottom"/>
          </w:tcPr>
          <w:p>
            <w:pPr>
              <w:spacing w:after="0"/>
              <w:rPr>
                <w:sz w:val="1"/>
                <w:szCs w:val="1"/>
                <w:color w:val="auto"/>
              </w:rPr>
            </w:pPr>
          </w:p>
        </w:tc>
      </w:tr>
      <w:tr>
        <w:trPr>
          <w:trHeight w:val="241"/>
        </w:trPr>
        <w:tc>
          <w:tcPr>
            <w:tcW w:w="39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0" w:type="dxa"/>
            <w:vAlign w:val="bottom"/>
            <w:gridSpan w:val="9"/>
          </w:tcPr>
          <w:p>
            <w:pPr>
              <w:jc w:val="center"/>
              <w:ind w:right="390"/>
              <w:spacing w:after="0"/>
              <w:rPr>
                <w:sz w:val="20"/>
                <w:szCs w:val="20"/>
                <w:color w:val="auto"/>
              </w:rPr>
            </w:pPr>
            <w:r>
              <w:rPr>
                <w:rFonts w:ascii="Times New Roman" w:cs="Times New Roman" w:eastAsia="Times New Roman" w:hAnsi="Times New Roman"/>
                <w:sz w:val="18"/>
                <w:szCs w:val="18"/>
                <w:color w:val="auto"/>
              </w:rPr>
              <w:t>(in thousands of dollars)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900" w:type="dxa"/>
            <w:vAlign w:val="bottom"/>
            <w:gridSpan w:val="9"/>
          </w:tcPr>
          <w:p>
            <w:pPr>
              <w:jc w:val="center"/>
              <w:ind w:right="290"/>
              <w:spacing w:after="0"/>
              <w:rPr>
                <w:sz w:val="20"/>
                <w:szCs w:val="20"/>
                <w:color w:val="auto"/>
              </w:rPr>
            </w:pPr>
            <w:r>
              <w:rPr>
                <w:rFonts w:ascii="Times New Roman" w:cs="Times New Roman" w:eastAsia="Times New Roman" w:hAnsi="Times New Roman"/>
                <w:sz w:val="18"/>
                <w:szCs w:val="18"/>
                <w:color w:val="auto"/>
              </w:rPr>
              <w:t>(in thousands of dollars)</w:t>
            </w:r>
          </w:p>
        </w:tc>
        <w:tc>
          <w:tcPr>
            <w:tcW w:w="0" w:type="dxa"/>
            <w:vAlign w:val="bottom"/>
          </w:tcPr>
          <w:p>
            <w:pPr>
              <w:spacing w:after="0"/>
              <w:rPr>
                <w:sz w:val="1"/>
                <w:szCs w:val="1"/>
                <w:color w:val="auto"/>
              </w:rPr>
            </w:pPr>
          </w:p>
        </w:tc>
      </w:tr>
      <w:tr>
        <w:trPr>
          <w:trHeight w:val="198"/>
        </w:trPr>
        <w:tc>
          <w:tcPr>
            <w:tcW w:w="39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gridSpan w:val="2"/>
          </w:tcPr>
          <w:p>
            <w:pPr>
              <w:jc w:val="center"/>
              <w:ind w:left="50"/>
              <w:spacing w:after="0" w:line="198" w:lineRule="exact"/>
              <w:rPr>
                <w:sz w:val="20"/>
                <w:szCs w:val="20"/>
                <w:color w:val="auto"/>
              </w:rPr>
            </w:pPr>
            <w:r>
              <w:rPr>
                <w:rFonts w:ascii="Times New Roman" w:cs="Times New Roman" w:eastAsia="Times New Roman" w:hAnsi="Times New Roman"/>
                <w:sz w:val="18"/>
                <w:szCs w:val="18"/>
                <w:color w:val="auto"/>
                <w:w w:val="93"/>
              </w:rPr>
              <w:t>%</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gridSpan w:val="2"/>
          </w:tcPr>
          <w:p>
            <w:pPr>
              <w:jc w:val="center"/>
              <w:ind w:left="50"/>
              <w:spacing w:after="0" w:line="198" w:lineRule="exact"/>
              <w:rPr>
                <w:sz w:val="20"/>
                <w:szCs w:val="20"/>
                <w:color w:val="auto"/>
              </w:rPr>
            </w:pPr>
            <w:r>
              <w:rPr>
                <w:rFonts w:ascii="Times New Roman" w:cs="Times New Roman" w:eastAsia="Times New Roman" w:hAnsi="Times New Roman"/>
                <w:sz w:val="18"/>
                <w:szCs w:val="18"/>
                <w:color w:val="auto"/>
                <w:w w:val="93"/>
              </w:rPr>
              <w:t>%</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10"/>
              <w:spacing w:after="0"/>
              <w:rPr>
                <w:sz w:val="20"/>
                <w:szCs w:val="20"/>
                <w:color w:val="auto"/>
              </w:rPr>
            </w:pPr>
            <w:r>
              <w:rPr>
                <w:rFonts w:ascii="Times New Roman" w:cs="Times New Roman" w:eastAsia="Times New Roman" w:hAnsi="Times New Roman"/>
                <w:sz w:val="18"/>
                <w:szCs w:val="18"/>
                <w:color w:val="auto"/>
                <w:w w:val="99"/>
              </w:rPr>
              <w:t>Increase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center"/>
              <w:ind w:right="110"/>
              <w:spacing w:after="0"/>
              <w:rPr>
                <w:sz w:val="20"/>
                <w:szCs w:val="20"/>
                <w:color w:val="auto"/>
              </w:rPr>
            </w:pPr>
            <w:r>
              <w:rPr>
                <w:rFonts w:ascii="Times New Roman" w:cs="Times New Roman" w:eastAsia="Times New Roman" w:hAnsi="Times New Roman"/>
                <w:sz w:val="18"/>
                <w:szCs w:val="18"/>
                <w:color w:val="auto"/>
                <w:w w:val="99"/>
              </w:rPr>
              <w:t>Increase</w:t>
            </w:r>
          </w:p>
        </w:tc>
        <w:tc>
          <w:tcPr>
            <w:tcW w:w="0" w:type="dxa"/>
            <w:vAlign w:val="bottom"/>
          </w:tcPr>
          <w:p>
            <w:pPr>
              <w:spacing w:after="0"/>
              <w:rPr>
                <w:sz w:val="1"/>
                <w:szCs w:val="1"/>
                <w:color w:val="auto"/>
              </w:rPr>
            </w:pPr>
          </w:p>
        </w:tc>
      </w:tr>
      <w:tr>
        <w:trPr>
          <w:trHeight w:val="241"/>
        </w:trPr>
        <w:tc>
          <w:tcPr>
            <w:tcW w:w="39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2024</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2023</w:t>
            </w:r>
          </w:p>
        </w:tc>
        <w:tc>
          <w:tcPr>
            <w:tcW w:w="140" w:type="dxa"/>
            <w:vAlign w:val="bottom"/>
          </w:tcPr>
          <w:p>
            <w:pPr>
              <w:spacing w:after="0"/>
              <w:rPr>
                <w:sz w:val="20"/>
                <w:szCs w:val="20"/>
                <w:color w:val="auto"/>
              </w:rPr>
            </w:pPr>
          </w:p>
        </w:tc>
        <w:tc>
          <w:tcPr>
            <w:tcW w:w="1240" w:type="dxa"/>
            <w:vAlign w:val="bottom"/>
            <w:gridSpan w:val="3"/>
          </w:tcPr>
          <w:p>
            <w:pPr>
              <w:jc w:val="center"/>
              <w:ind w:right="90"/>
              <w:spacing w:after="0"/>
              <w:rPr>
                <w:sz w:val="20"/>
                <w:szCs w:val="20"/>
                <w:color w:val="auto"/>
              </w:rPr>
            </w:pPr>
            <w:r>
              <w:rPr>
                <w:rFonts w:ascii="Times New Roman" w:cs="Times New Roman" w:eastAsia="Times New Roman" w:hAnsi="Times New Roman"/>
                <w:sz w:val="18"/>
                <w:szCs w:val="18"/>
                <w:color w:val="auto"/>
              </w:rPr>
              <w:t>(Decrease)</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2024</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2023</w:t>
            </w:r>
          </w:p>
        </w:tc>
        <w:tc>
          <w:tcPr>
            <w:tcW w:w="140" w:type="dxa"/>
            <w:vAlign w:val="bottom"/>
          </w:tcPr>
          <w:p>
            <w:pPr>
              <w:spacing w:after="0"/>
              <w:rPr>
                <w:sz w:val="20"/>
                <w:szCs w:val="20"/>
                <w:color w:val="auto"/>
              </w:rPr>
            </w:pPr>
          </w:p>
        </w:tc>
        <w:tc>
          <w:tcPr>
            <w:tcW w:w="11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(Decrease)</w:t>
            </w:r>
          </w:p>
        </w:tc>
        <w:tc>
          <w:tcPr>
            <w:tcW w:w="0" w:type="dxa"/>
            <w:vAlign w:val="bottom"/>
          </w:tcPr>
          <w:p>
            <w:pPr>
              <w:spacing w:after="0"/>
              <w:rPr>
                <w:sz w:val="1"/>
                <w:szCs w:val="1"/>
                <w:color w:val="auto"/>
              </w:rPr>
            </w:pPr>
          </w:p>
        </w:tc>
      </w:tr>
      <w:tr>
        <w:trPr>
          <w:trHeight w:val="216"/>
        </w:trPr>
        <w:tc>
          <w:tcPr>
            <w:tcW w:w="3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from external customers</w:t>
            </w:r>
          </w:p>
        </w:tc>
        <w:tc>
          <w:tcPr>
            <w:tcW w:w="4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Insurance premiums</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29,961</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28,813</w:t>
            </w:r>
          </w:p>
        </w:tc>
        <w:tc>
          <w:tcPr>
            <w:tcW w:w="124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59,813</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56,781</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Mortgage fee income</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w:t>
            </w:r>
          </w:p>
        </w:tc>
        <w:tc>
          <w:tcPr>
            <w:tcW w:w="124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66</w:t>
            </w: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3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investment income</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17,184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18,420</w:t>
            </w:r>
          </w:p>
        </w:tc>
        <w:tc>
          <w:tcPr>
            <w:tcW w:w="124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35,796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35,175</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Gains (losses) on investments and other assets</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458</w:t>
            </w:r>
          </w:p>
        </w:tc>
        <w:tc>
          <w:tcPr>
            <w:tcW w:w="124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878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515</w:t>
            </w: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37"/>
        </w:trPr>
        <w:tc>
          <w:tcPr>
            <w:tcW w:w="3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303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358</w:t>
            </w:r>
          </w:p>
        </w:tc>
        <w:tc>
          <w:tcPr>
            <w:tcW w:w="124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721</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949</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30"/>
        </w:trPr>
        <w:tc>
          <w:tcPr>
            <w:tcW w:w="39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4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47,237</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48,071</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2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5"/>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97,208</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93,486</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9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Intersegment revenue</w:t>
            </w:r>
          </w:p>
        </w:tc>
        <w:tc>
          <w:tcPr>
            <w:tcW w:w="44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85"/>
              </w:rPr>
              <w:t>%)</w:t>
            </w:r>
          </w:p>
        </w:tc>
        <w:tc>
          <w:tcPr>
            <w:tcW w:w="10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w w:val="95"/>
              </w:rPr>
              <w:t>%)</w:t>
            </w:r>
          </w:p>
        </w:tc>
        <w:tc>
          <w:tcPr>
            <w:tcW w:w="0" w:type="dxa"/>
            <w:vAlign w:val="bottom"/>
          </w:tcPr>
          <w:p>
            <w:pPr>
              <w:spacing w:after="0" w:line="20" w:lineRule="exact"/>
              <w:rPr>
                <w:sz w:val="1"/>
                <w:szCs w:val="1"/>
                <w:color w:val="auto"/>
              </w:rPr>
            </w:pPr>
          </w:p>
        </w:tc>
      </w:tr>
      <w:tr>
        <w:trPr>
          <w:trHeight w:val="236"/>
        </w:trPr>
        <w:tc>
          <w:tcPr>
            <w:tcW w:w="3960" w:type="dxa"/>
            <w:vAlign w:val="bottom"/>
            <w:tcBorders>
              <w:bottom w:val="single" w:sz="8" w:color="CCEEFF"/>
            </w:tcBorders>
            <w:vMerge w:val="continue"/>
          </w:tcPr>
          <w:p>
            <w:pPr>
              <w:spacing w:after="0"/>
              <w:rPr>
                <w:sz w:val="20"/>
                <w:szCs w:val="20"/>
                <w:color w:val="auto"/>
              </w:rPr>
            </w:pPr>
          </w:p>
        </w:tc>
        <w:tc>
          <w:tcPr>
            <w:tcW w:w="44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1,906</w:t>
            </w:r>
          </w:p>
        </w:tc>
        <w:tc>
          <w:tcPr>
            <w:tcW w:w="18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2,517</w:t>
            </w:r>
          </w:p>
        </w:tc>
        <w:tc>
          <w:tcPr>
            <w:tcW w:w="14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CCEEFF"/>
            </w:tcBorders>
            <w:vMerge w:val="continue"/>
          </w:tcPr>
          <w:p>
            <w:pPr>
              <w:spacing w:after="0"/>
              <w:rPr>
                <w:sz w:val="20"/>
                <w:szCs w:val="20"/>
                <w:color w:val="auto"/>
              </w:rPr>
            </w:pPr>
          </w:p>
        </w:tc>
        <w:tc>
          <w:tcPr>
            <w:tcW w:w="7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32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3,286</w:t>
            </w:r>
          </w:p>
        </w:tc>
        <w:tc>
          <w:tcPr>
            <w:tcW w:w="16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4,028</w:t>
            </w:r>
          </w:p>
        </w:tc>
        <w:tc>
          <w:tcPr>
            <w:tcW w:w="14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CCEEFF"/>
            </w:tcBorders>
            <w:vMerge w:val="continue"/>
          </w:tcPr>
          <w:p>
            <w:pPr>
              <w:spacing w:after="0"/>
              <w:rPr>
                <w:sz w:val="20"/>
                <w:szCs w:val="20"/>
                <w:color w:val="auto"/>
              </w:rPr>
            </w:pPr>
          </w:p>
        </w:tc>
        <w:tc>
          <w:tcPr>
            <w:tcW w:w="7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(18</w:t>
            </w:r>
          </w:p>
        </w:tc>
        <w:tc>
          <w:tcPr>
            <w:tcW w:w="22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3960" w:type="dxa"/>
            <w:vAlign w:val="bottom"/>
            <w:tcBorders>
              <w:bottom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Earnings before income taxes</w:t>
            </w:r>
          </w:p>
        </w:tc>
        <w:tc>
          <w:tcPr>
            <w:tcW w:w="4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7,165</w:t>
            </w:r>
          </w:p>
        </w:tc>
        <w:tc>
          <w:tcPr>
            <w:tcW w:w="1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9,158</w:t>
            </w: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320" w:type="dxa"/>
            <w:vAlign w:val="bottom"/>
            <w:tcBorders>
              <w:bottom w:val="single" w:sz="8" w:color="CCEEFF"/>
            </w:tcBorders>
            <w:shd w:val="clear" w:color="auto" w:fill="CCEEFF"/>
          </w:tcPr>
          <w:p>
            <w:pPr>
              <w:jc w:val="right"/>
              <w:ind w:right="30"/>
              <w:spacing w:after="0" w:line="195" w:lineRule="exact"/>
              <w:rPr>
                <w:sz w:val="20"/>
                <w:szCs w:val="20"/>
                <w:color w:val="auto"/>
              </w:rPr>
            </w:pPr>
            <w:r>
              <w:rPr>
                <w:rFonts w:ascii="Times New Roman" w:cs="Times New Roman" w:eastAsia="Times New Roman" w:hAnsi="Times New Roman"/>
                <w:sz w:val="18"/>
                <w:szCs w:val="18"/>
                <w:color w:val="auto"/>
                <w:w w:val="85"/>
              </w:rPr>
              <w:t>%)</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15,694</w:t>
            </w:r>
          </w:p>
        </w:tc>
        <w:tc>
          <w:tcPr>
            <w:tcW w:w="1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12,842</w:t>
            </w: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220" w:type="dxa"/>
            <w:vAlign w:val="bottom"/>
            <w:tcBorders>
              <w:bottom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Profitability for the six month period ended June 30, 2024 increased due to (a) a $3,032,000 increase in insurance premiums and other considerations, (b) a $2,174,000 decrease in death, surrenders and other policy benefits, (c) a $621,000 increase in net investment income, (d) a $480,000 decrease in interest expense, (e) a $363,000 increase in gains on investments and other assets, and (f) a $255,000 decrease in amortization of deferred policy acquisition costs, which were partially offset by (i) a $2,004,000 increase in future policy benefits, (ii) a $1,001,000 increase in selling, general and administrative expenses,</w:t>
      </w:r>
    </w:p>
    <w:p>
      <w:pPr>
        <w:spacing w:after="0" w:line="3" w:lineRule="exact"/>
        <w:rPr>
          <w:sz w:val="20"/>
          <w:szCs w:val="20"/>
          <w:color w:val="auto"/>
        </w:rPr>
      </w:pPr>
    </w:p>
    <w:p>
      <w:pPr>
        <w:ind w:firstLine="8"/>
        <w:spacing w:after="0" w:line="260" w:lineRule="auto"/>
        <w:tabs>
          <w:tab w:leader="none" w:pos="327"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$742,000 decrease in intersegment revenue, (iv) a $228,000 decrease in other revenues, (v) a $66,000 decrease in mortgage fee income, and (vi) a $32,000 increase in intersegment interest expense and other expenses.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color w:val="auto"/>
        </w:rPr>
        <w:t>Cemetery and Mortuary Operations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sells mortuary services and products through its nine mortuaries in Utah and three mortuaries in New Mexico. The Company also sells cemetery products and services through its five cemeteries in Utah, one cemetery in San Diego County, California, and one cemetery in Santa Fe, New Mexico. At-need product sales and services are recognized as revenue when the services are performed or when the products are delivered. Pre-need cemetery product sales are deferred until the merchandise is delivered and services performed. Recognition of revenue for cemetery land sales occurs when 10% of the purchase price is received.</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shows the condensed financial results of the cemetery and mortuary operations for the three and six month periods ended June 30, 2024 and 2023. See Note 7 to the condensed consolidated financial statements.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0" w:type="dxa"/>
            <w:vAlign w:val="bottom"/>
            <w:gridSpan w:val="9"/>
          </w:tcPr>
          <w:p>
            <w:pPr>
              <w:jc w:val="center"/>
              <w:ind w:right="390"/>
              <w:spacing w:after="0"/>
              <w:rPr>
                <w:sz w:val="20"/>
                <w:szCs w:val="20"/>
                <w:color w:val="auto"/>
              </w:rPr>
            </w:pPr>
            <w:r>
              <w:rPr>
                <w:rFonts w:ascii="Times New Roman" w:cs="Times New Roman" w:eastAsia="Times New Roman" w:hAnsi="Times New Roman"/>
                <w:sz w:val="18"/>
                <w:szCs w:val="18"/>
                <w:color w:val="auto"/>
              </w:rPr>
              <w:t>Three months ended June 30,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900" w:type="dxa"/>
            <w:vAlign w:val="bottom"/>
            <w:gridSpan w:val="10"/>
          </w:tcPr>
          <w:p>
            <w:pPr>
              <w:jc w:val="center"/>
              <w:ind w:right="360"/>
              <w:spacing w:after="0"/>
              <w:rPr>
                <w:sz w:val="20"/>
                <w:szCs w:val="20"/>
                <w:color w:val="auto"/>
              </w:rPr>
            </w:pPr>
            <w:r>
              <w:rPr>
                <w:rFonts w:ascii="Times New Roman" w:cs="Times New Roman" w:eastAsia="Times New Roman" w:hAnsi="Times New Roman"/>
                <w:sz w:val="18"/>
                <w:szCs w:val="18"/>
                <w:color w:val="auto"/>
              </w:rPr>
              <w:t>Six months ended June 30,</w:t>
            </w:r>
          </w:p>
        </w:tc>
        <w:tc>
          <w:tcPr>
            <w:tcW w:w="0" w:type="dxa"/>
            <w:vAlign w:val="bottom"/>
          </w:tcPr>
          <w:p>
            <w:pPr>
              <w:spacing w:after="0"/>
              <w:rPr>
                <w:sz w:val="1"/>
                <w:szCs w:val="1"/>
                <w:color w:val="auto"/>
              </w:rPr>
            </w:pPr>
          </w:p>
        </w:tc>
      </w:tr>
      <w:tr>
        <w:trPr>
          <w:trHeight w:val="241"/>
        </w:trPr>
        <w:tc>
          <w:tcPr>
            <w:tcW w:w="36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0" w:type="dxa"/>
            <w:vAlign w:val="bottom"/>
            <w:gridSpan w:val="9"/>
          </w:tcPr>
          <w:p>
            <w:pPr>
              <w:jc w:val="center"/>
              <w:ind w:right="390"/>
              <w:spacing w:after="0"/>
              <w:rPr>
                <w:sz w:val="20"/>
                <w:szCs w:val="20"/>
                <w:color w:val="auto"/>
              </w:rPr>
            </w:pPr>
            <w:r>
              <w:rPr>
                <w:rFonts w:ascii="Times New Roman" w:cs="Times New Roman" w:eastAsia="Times New Roman" w:hAnsi="Times New Roman"/>
                <w:sz w:val="18"/>
                <w:szCs w:val="18"/>
                <w:color w:val="auto"/>
              </w:rPr>
              <w:t>(in thousands of dollars)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900" w:type="dxa"/>
            <w:vAlign w:val="bottom"/>
            <w:gridSpan w:val="10"/>
          </w:tcPr>
          <w:p>
            <w:pPr>
              <w:jc w:val="center"/>
              <w:ind w:right="380"/>
              <w:spacing w:after="0"/>
              <w:rPr>
                <w:sz w:val="20"/>
                <w:szCs w:val="20"/>
                <w:color w:val="auto"/>
              </w:rPr>
            </w:pPr>
            <w:r>
              <w:rPr>
                <w:rFonts w:ascii="Times New Roman" w:cs="Times New Roman" w:eastAsia="Times New Roman" w:hAnsi="Times New Roman"/>
                <w:sz w:val="18"/>
                <w:szCs w:val="18"/>
                <w:color w:val="auto"/>
              </w:rPr>
              <w:t>(in thousands of dollars)</w:t>
            </w:r>
          </w:p>
        </w:tc>
        <w:tc>
          <w:tcPr>
            <w:tcW w:w="0" w:type="dxa"/>
            <w:vAlign w:val="bottom"/>
          </w:tcPr>
          <w:p>
            <w:pPr>
              <w:spacing w:after="0"/>
              <w:rPr>
                <w:sz w:val="1"/>
                <w:szCs w:val="1"/>
                <w:color w:val="auto"/>
              </w:rPr>
            </w:pPr>
          </w:p>
        </w:tc>
      </w:tr>
      <w:tr>
        <w:trPr>
          <w:trHeight w:val="198"/>
        </w:trPr>
        <w:tc>
          <w:tcPr>
            <w:tcW w:w="36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gridSpan w:val="2"/>
          </w:tcPr>
          <w:p>
            <w:pPr>
              <w:jc w:val="center"/>
              <w:ind w:left="50"/>
              <w:spacing w:after="0" w:line="198" w:lineRule="exact"/>
              <w:rPr>
                <w:sz w:val="20"/>
                <w:szCs w:val="20"/>
                <w:color w:val="auto"/>
              </w:rPr>
            </w:pPr>
            <w:r>
              <w:rPr>
                <w:rFonts w:ascii="Times New Roman" w:cs="Times New Roman" w:eastAsia="Times New Roman" w:hAnsi="Times New Roman"/>
                <w:sz w:val="18"/>
                <w:szCs w:val="18"/>
                <w:color w:val="auto"/>
                <w:w w:val="93"/>
              </w:rPr>
              <w:t>%</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gridSpan w:val="2"/>
          </w:tcPr>
          <w:p>
            <w:pPr>
              <w:jc w:val="center"/>
              <w:ind w:left="50"/>
              <w:spacing w:after="0" w:line="198" w:lineRule="exact"/>
              <w:rPr>
                <w:sz w:val="20"/>
                <w:szCs w:val="20"/>
                <w:color w:val="auto"/>
              </w:rPr>
            </w:pPr>
            <w:r>
              <w:rPr>
                <w:rFonts w:ascii="Times New Roman" w:cs="Times New Roman" w:eastAsia="Times New Roman" w:hAnsi="Times New Roman"/>
                <w:sz w:val="18"/>
                <w:szCs w:val="18"/>
                <w:color w:val="auto"/>
                <w:w w:val="93"/>
              </w:rPr>
              <w:t>%</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10"/>
              <w:spacing w:after="0"/>
              <w:rPr>
                <w:sz w:val="20"/>
                <w:szCs w:val="20"/>
                <w:color w:val="auto"/>
              </w:rPr>
            </w:pPr>
            <w:r>
              <w:rPr>
                <w:rFonts w:ascii="Times New Roman" w:cs="Times New Roman" w:eastAsia="Times New Roman" w:hAnsi="Times New Roman"/>
                <w:sz w:val="18"/>
                <w:szCs w:val="18"/>
                <w:color w:val="auto"/>
                <w:w w:val="99"/>
              </w:rPr>
              <w:t>Increase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w w:val="99"/>
              </w:rPr>
              <w:t>Increase</w:t>
            </w:r>
          </w:p>
        </w:tc>
        <w:tc>
          <w:tcPr>
            <w:tcW w:w="0" w:type="dxa"/>
            <w:vAlign w:val="bottom"/>
          </w:tcPr>
          <w:p>
            <w:pPr>
              <w:spacing w:after="0"/>
              <w:rPr>
                <w:sz w:val="1"/>
                <w:szCs w:val="1"/>
                <w:color w:val="auto"/>
              </w:rPr>
            </w:pPr>
          </w:p>
        </w:tc>
      </w:tr>
      <w:tr>
        <w:trPr>
          <w:trHeight w:val="241"/>
        </w:trPr>
        <w:tc>
          <w:tcPr>
            <w:tcW w:w="36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2024</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2023</w:t>
            </w:r>
          </w:p>
        </w:tc>
        <w:tc>
          <w:tcPr>
            <w:tcW w:w="140" w:type="dxa"/>
            <w:vAlign w:val="bottom"/>
          </w:tcPr>
          <w:p>
            <w:pPr>
              <w:spacing w:after="0"/>
              <w:rPr>
                <w:sz w:val="20"/>
                <w:szCs w:val="20"/>
                <w:color w:val="auto"/>
              </w:rPr>
            </w:pPr>
          </w:p>
        </w:tc>
        <w:tc>
          <w:tcPr>
            <w:tcW w:w="1240" w:type="dxa"/>
            <w:vAlign w:val="bottom"/>
            <w:gridSpan w:val="3"/>
          </w:tcPr>
          <w:p>
            <w:pPr>
              <w:jc w:val="center"/>
              <w:ind w:right="90"/>
              <w:spacing w:after="0"/>
              <w:rPr>
                <w:sz w:val="20"/>
                <w:szCs w:val="20"/>
                <w:color w:val="auto"/>
              </w:rPr>
            </w:pPr>
            <w:r>
              <w:rPr>
                <w:rFonts w:ascii="Times New Roman" w:cs="Times New Roman" w:eastAsia="Times New Roman" w:hAnsi="Times New Roman"/>
                <w:sz w:val="18"/>
                <w:szCs w:val="18"/>
                <w:color w:val="auto"/>
              </w:rPr>
              <w:t>(Decrease)</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2024</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2023</w:t>
            </w:r>
          </w:p>
        </w:tc>
        <w:tc>
          <w:tcPr>
            <w:tcW w:w="140" w:type="dxa"/>
            <w:vAlign w:val="bottom"/>
          </w:tcPr>
          <w:p>
            <w:pPr>
              <w:spacing w:after="0"/>
              <w:rPr>
                <w:sz w:val="20"/>
                <w:szCs w:val="20"/>
                <w:color w:val="auto"/>
              </w:rPr>
            </w:pPr>
          </w:p>
        </w:tc>
        <w:tc>
          <w:tcPr>
            <w:tcW w:w="1140" w:type="dxa"/>
            <w:vAlign w:val="bottom"/>
            <w:gridSpan w:val="4"/>
          </w:tcPr>
          <w:p>
            <w:pPr>
              <w:jc w:val="center"/>
              <w:ind w:right="80"/>
              <w:spacing w:after="0"/>
              <w:rPr>
                <w:sz w:val="20"/>
                <w:szCs w:val="20"/>
                <w:color w:val="auto"/>
              </w:rPr>
            </w:pPr>
            <w:r>
              <w:rPr>
                <w:rFonts w:ascii="Times New Roman" w:cs="Times New Roman" w:eastAsia="Times New Roman" w:hAnsi="Times New Roman"/>
                <w:sz w:val="18"/>
                <w:szCs w:val="18"/>
                <w:color w:val="auto"/>
              </w:rPr>
              <w:t>(Decrease)</w:t>
            </w:r>
          </w:p>
        </w:tc>
        <w:tc>
          <w:tcPr>
            <w:tcW w:w="0" w:type="dxa"/>
            <w:vAlign w:val="bottom"/>
          </w:tcPr>
          <w:p>
            <w:pPr>
              <w:spacing w:after="0"/>
              <w:rPr>
                <w:sz w:val="1"/>
                <w:szCs w:val="1"/>
                <w:color w:val="auto"/>
              </w:rPr>
            </w:pPr>
          </w:p>
        </w:tc>
      </w:tr>
      <w:tr>
        <w:trPr>
          <w:trHeight w:val="216"/>
        </w:trPr>
        <w:tc>
          <w:tcPr>
            <w:tcW w:w="3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from external customers</w:t>
            </w:r>
          </w:p>
        </w:tc>
        <w:tc>
          <w:tcPr>
            <w:tcW w:w="7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Mortuary revenues</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3,125</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3,125</w:t>
            </w:r>
          </w:p>
        </w:tc>
        <w:tc>
          <w:tcPr>
            <w:tcW w:w="124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6,539</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6,400</w:t>
            </w:r>
          </w:p>
        </w:tc>
        <w:tc>
          <w:tcPr>
            <w:tcW w:w="114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Cemetery revenues</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4,644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4,044</w:t>
            </w:r>
          </w:p>
        </w:tc>
        <w:tc>
          <w:tcPr>
            <w:tcW w:w="1240" w:type="dxa"/>
            <w:vAlign w:val="bottom"/>
            <w:gridSpan w:val="3"/>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8,178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7,240</w:t>
            </w:r>
          </w:p>
        </w:tc>
        <w:tc>
          <w:tcPr>
            <w:tcW w:w="114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3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investment income</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575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1,343</w:t>
            </w:r>
          </w:p>
        </w:tc>
        <w:tc>
          <w:tcPr>
            <w:tcW w:w="124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1,659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1,945</w:t>
            </w:r>
          </w:p>
        </w:tc>
        <w:tc>
          <w:tcPr>
            <w:tcW w:w="11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Gains on investments and other assets</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198</w:t>
            </w:r>
          </w:p>
        </w:tc>
        <w:tc>
          <w:tcPr>
            <w:tcW w:w="124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252</w:t>
            </w:r>
          </w:p>
        </w:tc>
        <w:tc>
          <w:tcPr>
            <w:tcW w:w="114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36"/>
        </w:trPr>
        <w:tc>
          <w:tcPr>
            <w:tcW w:w="3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103</w:t>
            </w:r>
          </w:p>
        </w:tc>
        <w:tc>
          <w:tcPr>
            <w:tcW w:w="124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310</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174</w:t>
            </w:r>
          </w:p>
        </w:tc>
        <w:tc>
          <w:tcPr>
            <w:tcW w:w="114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30"/>
        </w:trPr>
        <w:tc>
          <w:tcPr>
            <w:tcW w:w="36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7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8,278</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8,813</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32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5"/>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17,065</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16,011</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tcBorders>
              <w:top w:val="single" w:sz="8" w:color="CCEEFF"/>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
        </w:trPr>
        <w:tc>
          <w:tcPr>
            <w:tcW w:w="36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74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85"/>
              </w:rPr>
              <w:t>%)</w:t>
            </w:r>
          </w:p>
        </w:tc>
        <w:tc>
          <w:tcPr>
            <w:tcW w:w="10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line="20" w:lineRule="exact"/>
              <w:rPr>
                <w:sz w:val="1"/>
                <w:szCs w:val="1"/>
                <w:color w:val="auto"/>
              </w:rPr>
            </w:pPr>
          </w:p>
        </w:tc>
      </w:tr>
      <w:tr>
        <w:trPr>
          <w:trHeight w:val="197"/>
        </w:trPr>
        <w:tc>
          <w:tcPr>
            <w:tcW w:w="3660" w:type="dxa"/>
            <w:vAlign w:val="bottom"/>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2,091</w:t>
            </w:r>
          </w:p>
        </w:tc>
        <w:tc>
          <w:tcPr>
            <w:tcW w:w="18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2,828</w:t>
            </w:r>
          </w:p>
        </w:tc>
        <w:tc>
          <w:tcPr>
            <w:tcW w:w="140" w:type="dxa"/>
            <w:vAlign w:val="bottom"/>
            <w:vMerge w:val="continue"/>
          </w:tcPr>
          <w:p>
            <w:pPr>
              <w:spacing w:after="0"/>
              <w:rPr>
                <w:sz w:val="17"/>
                <w:szCs w:val="17"/>
                <w:color w:val="auto"/>
              </w:rPr>
            </w:pPr>
          </w:p>
        </w:tc>
        <w:tc>
          <w:tcPr>
            <w:tcW w:w="140" w:type="dxa"/>
            <w:vAlign w:val="bottom"/>
            <w:vMerge w:val="continue"/>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c>
          <w:tcPr>
            <w:tcW w:w="320" w:type="dxa"/>
            <w:vAlign w:val="bottom"/>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5,144</w:t>
            </w:r>
          </w:p>
        </w:tc>
        <w:tc>
          <w:tcPr>
            <w:tcW w:w="160" w:type="dxa"/>
            <w:vAlign w:val="bottom"/>
            <w:vMerge w:val="continue"/>
          </w:tcPr>
          <w:p>
            <w:pPr>
              <w:spacing w:after="0"/>
              <w:rPr>
                <w:sz w:val="17"/>
                <w:szCs w:val="17"/>
                <w:color w:val="auto"/>
              </w:rPr>
            </w:pPr>
          </w:p>
        </w:tc>
        <w:tc>
          <w:tcPr>
            <w:tcW w:w="140" w:type="dxa"/>
            <w:vAlign w:val="bottom"/>
            <w:vMerge w:val="continue"/>
          </w:tcPr>
          <w:p>
            <w:pPr>
              <w:spacing w:after="0"/>
              <w:rPr>
                <w:sz w:val="17"/>
                <w:szCs w:val="17"/>
                <w:color w:val="auto"/>
              </w:rPr>
            </w:pPr>
          </w:p>
        </w:tc>
        <w:tc>
          <w:tcPr>
            <w:tcW w:w="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4,613</w:t>
            </w:r>
          </w:p>
        </w:tc>
        <w:tc>
          <w:tcPr>
            <w:tcW w:w="140" w:type="dxa"/>
            <w:vAlign w:val="bottom"/>
            <w:vMerge w:val="continue"/>
          </w:tcPr>
          <w:p>
            <w:pPr>
              <w:spacing w:after="0"/>
              <w:rPr>
                <w:sz w:val="17"/>
                <w:szCs w:val="17"/>
                <w:color w:val="auto"/>
              </w:rPr>
            </w:pPr>
          </w:p>
        </w:tc>
        <w:tc>
          <w:tcPr>
            <w:tcW w:w="140" w:type="dxa"/>
            <w:vAlign w:val="bottom"/>
            <w:vMerge w:val="continue"/>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w:t>
            </w:r>
          </w:p>
        </w:tc>
        <w:tc>
          <w:tcPr>
            <w:tcW w:w="2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Profitability in the six month period ended June 30, 2024 increased due to (a) a $956,000 increase in cemetery pre-need sales, (b) a $139,000 increase in mortuary at-need sales, (c) a $135,000 increase in other revenues, (d) a $128,000 increase in gains on investments and other assets, (e) a $7,000 decrease in intersegment interest expense and other expenses, and (f) a $1,000 increase in intersegment revenues, which were partially offset by (i) a $293,000 increase in selling, general and administrative expenses, (ii) a $286,000 decrease in net investment income, (iii) a $166,000 increase in amortization of deferred policy acquisition costs, (iv) an $72,000 increase in cost of goods and services sold, and (v) a $18,000 decrease in cemetery at-need sales.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Mortgage Operations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wholly owned subsidiary, SecurityNational Mortgage Company (“SecurityNational Mortgage), is a mortgage lender incorporated under the laws of the State of Utah and approved and regulated by the Federal Housing Administration (FHA), a department of the U.S. Department of Housing and Urban Development (HUD), which originates mortgages loans that qualify for government insurance in the event of default by the borrower, in addition to various conventional mortgage loan products. SecurityNational Mortgage originates and refinances mortgage loans on a retail basis. Mortgage loans originated or refinanced by the SecurityNational Mortgage are funded through loan purchase agreements with Security National Life, Kilpatrick Life and unaffiliated financial institutions.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SecurityNational Mortgage receives fees from borrowers that are involved in mortgage loan originations and refinancings, and secondary fees earned from third party investors that purchase the mortgage loans. Mortgage loans are generally sold with mortgage servicing rights (“MSRs”) released to third-party investors or retained by SecurityNational Mortgage. SecurityNational Mortgage currently retains the mortgage servicing rights on approximately 0.28% of its loan origination volume. These mortgage loans are serviced by either SecurityNational Mortgage or an approved third-party sub-servicer.</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Mortgage rates have followed the US Treasury yields up in response to the increased inflation and the expectation that the Federal Reserve will continue to raise rates in the near term. As expected, the rapid increase in mortgage rates has resulted in a decrease in loan originations classified as ‘refinance.’ Higher mortgage rates have also had a negative effect on loan originations classified as ‘purchases,’ although not as significant as those in the refinance classification.</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six month periods ended June 30, 2024 and 2023, SecurityNational Mortgage originated 3,494 loans ($1,089,824,000 total volume) and 3,738 loans ($1,139,735,000 total volume), respectively.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color w:val="auto"/>
        </w:rPr>
        <w:t>The following table shows the condensed financial results of the mortgage operations for the three and six month periods ended June 30, 2024 and 2023.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7 to the condensed consolidated financial statements.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0" w:type="dxa"/>
            <w:vAlign w:val="bottom"/>
            <w:gridSpan w:val="9"/>
          </w:tcPr>
          <w:p>
            <w:pPr>
              <w:jc w:val="center"/>
              <w:ind w:right="390"/>
              <w:spacing w:after="0"/>
              <w:rPr>
                <w:sz w:val="20"/>
                <w:szCs w:val="20"/>
                <w:color w:val="auto"/>
              </w:rPr>
            </w:pPr>
            <w:r>
              <w:rPr>
                <w:rFonts w:ascii="Times New Roman" w:cs="Times New Roman" w:eastAsia="Times New Roman" w:hAnsi="Times New Roman"/>
                <w:sz w:val="18"/>
                <w:szCs w:val="18"/>
                <w:color w:val="auto"/>
              </w:rPr>
              <w:t>Three months ended June 30,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900" w:type="dxa"/>
            <w:vAlign w:val="bottom"/>
            <w:gridSpan w:val="10"/>
          </w:tcPr>
          <w:p>
            <w:pPr>
              <w:jc w:val="center"/>
              <w:ind w:right="360"/>
              <w:spacing w:after="0"/>
              <w:rPr>
                <w:sz w:val="20"/>
                <w:szCs w:val="20"/>
                <w:color w:val="auto"/>
              </w:rPr>
            </w:pPr>
            <w:r>
              <w:rPr>
                <w:rFonts w:ascii="Times New Roman" w:cs="Times New Roman" w:eastAsia="Times New Roman" w:hAnsi="Times New Roman"/>
                <w:sz w:val="18"/>
                <w:szCs w:val="18"/>
                <w:color w:val="auto"/>
              </w:rPr>
              <w:t>Six months ended June 30,</w:t>
            </w:r>
          </w:p>
        </w:tc>
        <w:tc>
          <w:tcPr>
            <w:tcW w:w="0" w:type="dxa"/>
            <w:vAlign w:val="bottom"/>
          </w:tcPr>
          <w:p>
            <w:pPr>
              <w:spacing w:after="0"/>
              <w:rPr>
                <w:sz w:val="1"/>
                <w:szCs w:val="1"/>
                <w:color w:val="auto"/>
              </w:rPr>
            </w:pPr>
          </w:p>
        </w:tc>
      </w:tr>
      <w:tr>
        <w:trPr>
          <w:trHeight w:val="241"/>
        </w:trPr>
        <w:tc>
          <w:tcPr>
            <w:tcW w:w="3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0" w:type="dxa"/>
            <w:vAlign w:val="bottom"/>
            <w:gridSpan w:val="9"/>
          </w:tcPr>
          <w:p>
            <w:pPr>
              <w:jc w:val="center"/>
              <w:ind w:right="390"/>
              <w:spacing w:after="0"/>
              <w:rPr>
                <w:sz w:val="20"/>
                <w:szCs w:val="20"/>
                <w:color w:val="auto"/>
              </w:rPr>
            </w:pPr>
            <w:r>
              <w:rPr>
                <w:rFonts w:ascii="Times New Roman" w:cs="Times New Roman" w:eastAsia="Times New Roman" w:hAnsi="Times New Roman"/>
                <w:sz w:val="18"/>
                <w:szCs w:val="18"/>
                <w:color w:val="auto"/>
              </w:rPr>
              <w:t>(in thousands of dollars)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900" w:type="dxa"/>
            <w:vAlign w:val="bottom"/>
            <w:gridSpan w:val="10"/>
          </w:tcPr>
          <w:p>
            <w:pPr>
              <w:jc w:val="center"/>
              <w:ind w:right="380"/>
              <w:spacing w:after="0"/>
              <w:rPr>
                <w:sz w:val="20"/>
                <w:szCs w:val="20"/>
                <w:color w:val="auto"/>
              </w:rPr>
            </w:pPr>
            <w:r>
              <w:rPr>
                <w:rFonts w:ascii="Times New Roman" w:cs="Times New Roman" w:eastAsia="Times New Roman" w:hAnsi="Times New Roman"/>
                <w:sz w:val="18"/>
                <w:szCs w:val="18"/>
                <w:color w:val="auto"/>
              </w:rPr>
              <w:t>(in thousands of dollars)</w:t>
            </w:r>
          </w:p>
        </w:tc>
        <w:tc>
          <w:tcPr>
            <w:tcW w:w="0" w:type="dxa"/>
            <w:vAlign w:val="bottom"/>
          </w:tcPr>
          <w:p>
            <w:pPr>
              <w:spacing w:after="0"/>
              <w:rPr>
                <w:sz w:val="1"/>
                <w:szCs w:val="1"/>
                <w:color w:val="auto"/>
              </w:rPr>
            </w:pPr>
          </w:p>
        </w:tc>
      </w:tr>
      <w:tr>
        <w:trPr>
          <w:trHeight w:val="198"/>
        </w:trPr>
        <w:tc>
          <w:tcPr>
            <w:tcW w:w="3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gridSpan w:val="2"/>
          </w:tcPr>
          <w:p>
            <w:pPr>
              <w:jc w:val="center"/>
              <w:ind w:left="30"/>
              <w:spacing w:after="0" w:line="198" w:lineRule="exact"/>
              <w:rPr>
                <w:sz w:val="20"/>
                <w:szCs w:val="20"/>
                <w:color w:val="auto"/>
              </w:rPr>
            </w:pPr>
            <w:r>
              <w:rPr>
                <w:rFonts w:ascii="Times New Roman" w:cs="Times New Roman" w:eastAsia="Times New Roman" w:hAnsi="Times New Roman"/>
                <w:sz w:val="18"/>
                <w:szCs w:val="18"/>
                <w:color w:val="auto"/>
                <w:w w:val="93"/>
              </w:rPr>
              <w:t>%</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gridSpan w:val="2"/>
          </w:tcPr>
          <w:p>
            <w:pPr>
              <w:jc w:val="center"/>
              <w:ind w:left="30"/>
              <w:spacing w:after="0" w:line="198" w:lineRule="exact"/>
              <w:rPr>
                <w:sz w:val="20"/>
                <w:szCs w:val="20"/>
                <w:color w:val="auto"/>
              </w:rPr>
            </w:pPr>
            <w:r>
              <w:rPr>
                <w:rFonts w:ascii="Times New Roman" w:cs="Times New Roman" w:eastAsia="Times New Roman" w:hAnsi="Times New Roman"/>
                <w:sz w:val="18"/>
                <w:szCs w:val="18"/>
                <w:color w:val="auto"/>
                <w:w w:val="93"/>
              </w:rPr>
              <w:t>%</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10"/>
              <w:spacing w:after="0"/>
              <w:rPr>
                <w:sz w:val="20"/>
                <w:szCs w:val="20"/>
                <w:color w:val="auto"/>
              </w:rPr>
            </w:pPr>
            <w:r>
              <w:rPr>
                <w:rFonts w:ascii="Times New Roman" w:cs="Times New Roman" w:eastAsia="Times New Roman" w:hAnsi="Times New Roman"/>
                <w:sz w:val="18"/>
                <w:szCs w:val="18"/>
                <w:color w:val="auto"/>
                <w:w w:val="99"/>
              </w:rPr>
              <w:t>Increase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w w:val="99"/>
              </w:rPr>
              <w:t>Increase</w:t>
            </w:r>
          </w:p>
        </w:tc>
        <w:tc>
          <w:tcPr>
            <w:tcW w:w="0" w:type="dxa"/>
            <w:vAlign w:val="bottom"/>
          </w:tcPr>
          <w:p>
            <w:pPr>
              <w:spacing w:after="0"/>
              <w:rPr>
                <w:sz w:val="1"/>
                <w:szCs w:val="1"/>
                <w:color w:val="auto"/>
              </w:rPr>
            </w:pPr>
          </w:p>
        </w:tc>
      </w:tr>
      <w:tr>
        <w:trPr>
          <w:trHeight w:val="241"/>
        </w:trPr>
        <w:tc>
          <w:tcPr>
            <w:tcW w:w="3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2024</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2023</w:t>
            </w:r>
          </w:p>
        </w:tc>
        <w:tc>
          <w:tcPr>
            <w:tcW w:w="160" w:type="dxa"/>
            <w:vAlign w:val="bottom"/>
          </w:tcPr>
          <w:p>
            <w:pPr>
              <w:spacing w:after="0"/>
              <w:rPr>
                <w:sz w:val="20"/>
                <w:szCs w:val="20"/>
                <w:color w:val="auto"/>
              </w:rPr>
            </w:pPr>
          </w:p>
        </w:tc>
        <w:tc>
          <w:tcPr>
            <w:tcW w:w="1220" w:type="dxa"/>
            <w:vAlign w:val="bottom"/>
            <w:gridSpan w:val="3"/>
          </w:tcPr>
          <w:p>
            <w:pPr>
              <w:jc w:val="center"/>
              <w:ind w:right="110"/>
              <w:spacing w:after="0"/>
              <w:rPr>
                <w:sz w:val="20"/>
                <w:szCs w:val="20"/>
                <w:color w:val="auto"/>
              </w:rPr>
            </w:pPr>
            <w:r>
              <w:rPr>
                <w:rFonts w:ascii="Times New Roman" w:cs="Times New Roman" w:eastAsia="Times New Roman" w:hAnsi="Times New Roman"/>
                <w:sz w:val="18"/>
                <w:szCs w:val="18"/>
                <w:color w:val="auto"/>
              </w:rPr>
              <w:t>(Decrease)</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2024</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2023</w:t>
            </w:r>
          </w:p>
        </w:tc>
        <w:tc>
          <w:tcPr>
            <w:tcW w:w="160" w:type="dxa"/>
            <w:vAlign w:val="bottom"/>
          </w:tcPr>
          <w:p>
            <w:pPr>
              <w:spacing w:after="0"/>
              <w:rPr>
                <w:sz w:val="20"/>
                <w:szCs w:val="20"/>
                <w:color w:val="auto"/>
              </w:rPr>
            </w:pPr>
          </w:p>
        </w:tc>
        <w:tc>
          <w:tcPr>
            <w:tcW w:w="112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color w:val="auto"/>
              </w:rPr>
              <w:t>(Decrease)</w:t>
            </w:r>
          </w:p>
        </w:tc>
        <w:tc>
          <w:tcPr>
            <w:tcW w:w="0" w:type="dxa"/>
            <w:vAlign w:val="bottom"/>
          </w:tcPr>
          <w:p>
            <w:pPr>
              <w:spacing w:after="0"/>
              <w:rPr>
                <w:sz w:val="1"/>
                <w:szCs w:val="1"/>
                <w:color w:val="auto"/>
              </w:rPr>
            </w:pPr>
          </w:p>
        </w:tc>
      </w:tr>
      <w:tr>
        <w:trPr>
          <w:trHeight w:val="216"/>
        </w:trPr>
        <w:tc>
          <w:tcPr>
            <w:tcW w:w="3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from external customers</w:t>
            </w:r>
          </w:p>
        </w:tc>
        <w:tc>
          <w:tcPr>
            <w:tcW w:w="6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Secondary gains from investors</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18,675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19,276</w:t>
            </w:r>
          </w:p>
        </w:tc>
        <w:tc>
          <w:tcPr>
            <w:tcW w:w="122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33,405</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37,193</w:t>
            </w:r>
          </w:p>
        </w:tc>
        <w:tc>
          <w:tcPr>
            <w:tcW w:w="11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loan originations</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9,318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8,334</w:t>
            </w:r>
          </w:p>
        </w:tc>
        <w:tc>
          <w:tcPr>
            <w:tcW w:w="1220" w:type="dxa"/>
            <w:vAlign w:val="bottom"/>
            <w:gridSpan w:val="3"/>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16,158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14,889</w:t>
            </w:r>
          </w:p>
        </w:tc>
        <w:tc>
          <w:tcPr>
            <w:tcW w:w="112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loans held for sale</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1,197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(1,402)</w:t>
            </w:r>
          </w:p>
        </w:tc>
        <w:tc>
          <w:tcPr>
            <w:tcW w:w="122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896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(607)</w:t>
            </w:r>
          </w:p>
        </w:tc>
        <w:tc>
          <w:tcPr>
            <w:tcW w:w="112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248%</w:t>
            </w: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loan commitments</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430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(151)</w:t>
            </w:r>
          </w:p>
        </w:tc>
        <w:tc>
          <w:tcPr>
            <w:tcW w:w="1220" w:type="dxa"/>
            <w:vAlign w:val="bottom"/>
            <w:gridSpan w:val="3"/>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385%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992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527</w:t>
            </w:r>
          </w:p>
        </w:tc>
        <w:tc>
          <w:tcPr>
            <w:tcW w:w="112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409</w:t>
            </w:r>
          </w:p>
        </w:tc>
        <w:tc>
          <w:tcPr>
            <w:tcW w:w="122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536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827</w:t>
            </w:r>
          </w:p>
        </w:tc>
        <w:tc>
          <w:tcPr>
            <w:tcW w:w="11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Gains on investments and other assets</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161</w:t>
            </w:r>
          </w:p>
        </w:tc>
        <w:tc>
          <w:tcPr>
            <w:tcW w:w="122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161</w:t>
            </w:r>
          </w:p>
        </w:tc>
        <w:tc>
          <w:tcPr>
            <w:tcW w:w="112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36"/>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335</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336</w:t>
            </w:r>
          </w:p>
        </w:tc>
        <w:tc>
          <w:tcPr>
            <w:tcW w:w="122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684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860</w:t>
            </w:r>
          </w:p>
        </w:tc>
        <w:tc>
          <w:tcPr>
            <w:tcW w:w="11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30"/>
        </w:trPr>
        <w:tc>
          <w:tcPr>
            <w:tcW w:w="37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6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30,277</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26,963</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320" w:type="dxa"/>
            <w:vAlign w:val="bottom"/>
            <w:tcBorders>
              <w:top w:val="single" w:sz="8" w:color="CCEEFF"/>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79"/>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52,706</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53,850</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95"/>
              </w:rPr>
              <w:t>%)</w:t>
            </w:r>
          </w:p>
        </w:tc>
        <w:tc>
          <w:tcPr>
            <w:tcW w:w="0" w:type="dxa"/>
            <w:vAlign w:val="bottom"/>
          </w:tcPr>
          <w:p>
            <w:pPr>
              <w:spacing w:after="0"/>
              <w:rPr>
                <w:sz w:val="1"/>
                <w:szCs w:val="1"/>
                <w:color w:val="auto"/>
              </w:rPr>
            </w:pPr>
          </w:p>
        </w:tc>
      </w:tr>
      <w:tr>
        <w:trPr>
          <w:trHeight w:val="20"/>
        </w:trPr>
        <w:tc>
          <w:tcPr>
            <w:tcW w:w="3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Earnings (loss) before income taxes</w:t>
            </w:r>
          </w:p>
        </w:tc>
        <w:tc>
          <w:tcPr>
            <w:tcW w:w="68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vMerge w:val="restart"/>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w w:val="79"/>
              </w:rPr>
              <w:t>%</w:t>
            </w:r>
          </w:p>
        </w:tc>
        <w:tc>
          <w:tcPr>
            <w:tcW w:w="10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vMerge w:val="restart"/>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line="20" w:lineRule="exact"/>
              <w:rPr>
                <w:sz w:val="1"/>
                <w:szCs w:val="1"/>
                <w:color w:val="auto"/>
              </w:rPr>
            </w:pPr>
          </w:p>
        </w:tc>
      </w:tr>
      <w:tr>
        <w:trPr>
          <w:trHeight w:val="197"/>
        </w:trPr>
        <w:tc>
          <w:tcPr>
            <w:tcW w:w="3720" w:type="dxa"/>
            <w:vAlign w:val="bottom"/>
            <w:vMerge w:val="continue"/>
          </w:tcPr>
          <w:p>
            <w:pPr>
              <w:spacing w:after="0"/>
              <w:rPr>
                <w:sz w:val="17"/>
                <w:szCs w:val="17"/>
                <w:color w:val="auto"/>
              </w:rPr>
            </w:pPr>
          </w:p>
        </w:tc>
        <w:tc>
          <w:tcPr>
            <w:tcW w:w="680" w:type="dxa"/>
            <w:vAlign w:val="bottom"/>
            <w:vMerge w:val="continue"/>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134</w:t>
            </w:r>
          </w:p>
        </w:tc>
        <w:tc>
          <w:tcPr>
            <w:tcW w:w="160" w:type="dxa"/>
            <w:vAlign w:val="bottom"/>
            <w:vMerge w:val="continue"/>
          </w:tcPr>
          <w:p>
            <w:pPr>
              <w:spacing w:after="0"/>
              <w:rPr>
                <w:sz w:val="17"/>
                <w:szCs w:val="17"/>
                <w:color w:val="auto"/>
              </w:rPr>
            </w:pPr>
          </w:p>
        </w:tc>
        <w:tc>
          <w:tcPr>
            <w:tcW w:w="140" w:type="dxa"/>
            <w:vAlign w:val="bottom"/>
            <w:vMerge w:val="continue"/>
          </w:tcPr>
          <w:p>
            <w:pPr>
              <w:spacing w:after="0"/>
              <w:rPr>
                <w:sz w:val="17"/>
                <w:szCs w:val="17"/>
                <w:color w:val="auto"/>
              </w:rPr>
            </w:pPr>
          </w:p>
        </w:tc>
        <w:tc>
          <w:tcPr>
            <w:tcW w:w="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(3,837</w:t>
            </w:r>
          </w:p>
        </w:tc>
        <w:tc>
          <w:tcPr>
            <w:tcW w:w="16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320" w:type="dxa"/>
            <w:vAlign w:val="bottom"/>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(1,829</w:t>
            </w:r>
          </w:p>
        </w:tc>
        <w:tc>
          <w:tcPr>
            <w:tcW w:w="18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(7,720</w:t>
            </w:r>
          </w:p>
        </w:tc>
        <w:tc>
          <w:tcPr>
            <w:tcW w:w="16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76</w:t>
            </w:r>
          </w:p>
        </w:tc>
        <w:tc>
          <w:tcPr>
            <w:tcW w:w="2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Profitability for the six month period ended June 30, 2024 increased due to (a) a $3,430,000 decrease in personnel expenses, (b) a $2,001,000 decrease in other expenses, (c) a $1,503,000 increase in the fair value of loans held for sale, (d) a $1,211,000 increase in income from loan originations, (e) a $936,000 decrease in rent and rent related expenses, (f) a $734,000 decrease in intersegment interest expense and other expenses, (g) a $701,000 decrease in costs related to funding mortgage loans, (h) a $465,000 increase in the fair value of loan commitments (i) a $291,000 decrease in advertising expenses, (j) a $287,000 decrease in interest expense, (k) a $32,000 increase in intersegment revenues, and (l) a $24,000 decrease in depreciation on property and equipment, which were partially offset by (i) a $3,854,000 decrease in secondary gains from investors, (ii) a $1,403,000 increase in commissions, (iii) a $291,000 decrease in net investment income, and (iv) a $176,000 decrease in other revenues.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 period ended June 30, 2024, Compared to Three month period ended June 30, 2023</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Total revenues increased by $1,945,000, or 2.3%, to $85,791,000 for the three month period ended June 30, 2024, from $83,846,000 for the comparable period in 2023. Contributing to this increase in total revenues was a $3,541,000 increase in mortgage fee income, a $1,147,000 increase in insurance premiums and other considerations, and a $600,000 increase in net mortuary and cemetery sales, which were partially offset by a $2,127,000 decrease in net investment income, a $1,194,000 decrease in gains on investments and other assets, and a $22,000 decrease in other revenues.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Mortgage fee income increased by $3,541,000, or 13.6%, to $29,620,000, for the three month period ended June 30, 2024, from $26,079,000 for the comparable period in 2023. This increase was primarily due to a $2,599,000 increase in the fair value of loans held for sale, a $985,000 increase in loan fees and interest income net of a decrease in the provision for loan loss reserve, a $581,000 increase in the fair value of loan commitments, which was partially offset by a $624,000 decrease in secondary gains from mortgage loans sold to third-party investors into the secondary market due to the decline in origination activity because of increasing interest rates.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Insurance premiums and other considerations increased by $1,147,000, or 4.0%, to $29,960,000 for the three month period ended June 30, 2024, from $28,813,000 for the comparable period in 2023. This increase was primarily due to an increase of $1,020,000 in first year premiums and an increase of $127,000 in renewal premiums.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investment income decreased by $2,127,000, or 10.5%, to $18,045,000 for the three month period ended June 30, 2024, from $20,172,000 for the comparable period in 2023. This decrease was primarily attributable to a $2,446,000 decrease in mortgage loan interest, a $1,613,000 decrease in real estate income, a $18,000 decrease in policy loan interest, and a $12,000 decrease in other investment income, which were partially offset by a $936,000 increase in interest on cash and cash equivalents, a $424,000 increase in insurance assignment income, a $364,000 decrease in investment expenses, a $202,000 increase in fixed maturity securities income, and a $36,000 increase in equity securities income.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71" w:name="page72"/>
    <w:bookmarkEnd w:id="71"/>
    <w:p>
      <w:pPr>
        <w:jc w:val="both"/>
        <w:spacing w:after="0" w:line="266" w:lineRule="auto"/>
        <w:rPr>
          <w:sz w:val="20"/>
          <w:szCs w:val="20"/>
          <w:color w:val="auto"/>
        </w:rPr>
      </w:pPr>
      <w:r>
        <w:rPr>
          <w:rFonts w:ascii="Times New Roman" w:cs="Times New Roman" w:eastAsia="Times New Roman" w:hAnsi="Times New Roman"/>
          <w:sz w:val="18"/>
          <w:szCs w:val="18"/>
          <w:color w:val="auto"/>
        </w:rPr>
        <w:t>Net mortuary and cemetery sales increased by $600,000, or 8.4%, to $7,769,000 for the three month period ended June 30, 2024, from $7,169,000 for the comparable period in 2023. This increase was primarily due to a $735,000 increase in cemetery pre-need sales, which was partially offset by a $135,000 decrease in cemetery at-need sales.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Gains (losses) on investments and other assets decreased by $1,194,000, or 146.2%, to $377,000 in net losses for the three month period ended June 30, 2024, from $817,000 in net gains for the comparable period in 2023. This decrease in gains on investments and other assets was primarily due to a $953,000 decrease in gains on equity securities mostly attributable to decreases in the fair value of these equity securities, a $203,000 decrease in gains on other assets, and a $122,000 decrease in gains on real estate, which were partially offset by an $84,000 increase in gains on fixed maturity securities.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Total benefits and expenses were $76,402,000, or 89.1% of total revenues, for the three month period ended June 30, 2024, as compared to $75,697,000, or 90.3% of total revenues, for the comparable period in 2023.</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Death benefits, surrenders and other policy benefits, and future policy benefits decreased by an aggregate of $580,000 or 2.3%, to $24,326,000 for the three month period ended June 30, 2024, from $24,906,000 for the comparable period in 2023. This decrease was primarily the result of a $1,385,000 decrease in death benefits, which were partially offset by a $713,000 increase in future policy benefits and a $92,000 increase in surrender and other policy benefits.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Amortization of deferred policy and pre-need acquisition costs and value of business acquired increased by $50,000, or 1.2%, to $4,301,000 for the three month period ended June 30, 2024, from $4,251,000 for the comparable period in 2023. This increase was primarily due to an increase in the average outstanding balance of deferred policy and pre-need acquisition costs.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increased by $1,592,000, or 3.6%, to $45,465,000 for the three month period ended June 30, 2024, from $43,873,000 for the comparable period in 2023. This increase was primarily the result of a $2,717,000 increase in commissions, a $294,000 increase in personnel expenses, which were partially offset by a $534,000 decrease in rent and rent related expenses, a $404,000 decrease in other expenses, a $307,000 decrease in costs related to funding mortgage loans, and a $180,000 decrease in advertising expense.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expense decreased by $341,000, or 24.1%, to $1,074,000 for the three month period ended June 30, 2024, from $1,415,000 for the comparable period in 2023. This decrease was primarily due to a decrease of $19,000 in interest expense on mortgage warehouse lines of credit for loans held for sale and a decrease of $322,000 in interest expense on bank loans.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Six month period ended June 30, 2024, Compared to Six month period ended June 30, 2023</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Total revenues increased by $3,633,000, or 2.2%, to $166,980,000 for the six month period ended June 30, 2024, from $163,347,000 for the comparable period in 2023. Contributing to this increase in total revenues was a $3,032,000 increase in insurance premiums and other considerations, a $1,077,000 increase in net mortuary and cemetery sales, a $365,000 increase in gains on investments and other assets, and a $45,000 increase in net investment income,, which were partially offset by a $617,000 decrease in mortgage fee income and a $269,000 decrease in other revenues.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Mortgage fee income decreased by $617,000, or 1.2%, to $51,451,000, for the six month period ended June 30, 2024, from $52,068,000 for the comparable period in 2023. This decrease was primarily due to a $3,854,000 decrease in secondary gains from mortgage loans sold to third-party investors into the secondary market due to the decline in origination activity because of increasing interest rates, which was partially offset by a $1,503,000 increase in the fair value of loans held for sale, a $1,269,000 increase in loan fees and interest income net of a decrease in the provision for loan loss reserve, and a $465,000 increase in the fair value of loan commitments.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72" w:name="page73"/>
    <w:bookmarkEnd w:id="72"/>
    <w:p>
      <w:pPr>
        <w:jc w:val="both"/>
        <w:spacing w:after="0" w:line="266" w:lineRule="auto"/>
        <w:rPr>
          <w:sz w:val="20"/>
          <w:szCs w:val="20"/>
          <w:color w:val="auto"/>
        </w:rPr>
      </w:pPr>
      <w:r>
        <w:rPr>
          <w:rFonts w:ascii="Times New Roman" w:cs="Times New Roman" w:eastAsia="Times New Roman" w:hAnsi="Times New Roman"/>
          <w:sz w:val="18"/>
          <w:szCs w:val="18"/>
          <w:color w:val="auto"/>
        </w:rPr>
        <w:t>Insurance premiums and other considerations increased by $3,032,000, or 5.3%, to $59,813,000 for the six month period ended June 30, 2024, from $56,781,000 for the comparable period in 2023. This increase was primarily due to an increase of $2,678,000 in first year premiums and an increase of $354,000 in renewal premiums.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investment income increased by $45,000, or 0.1%, to $37,991,000 for the six month period ended June 30, 2024, from $37,947,000 for the comparable period in 2023. This increase was primarily attributable to a $1,839,000 increase in interest on cash and cash equivalents, a $733,000 increase in insurance assignment income, a $593,000 increase in fixed maturity securities income, a $258,000 decrease in investment expenses, an $83,000 increase in policy loan interest, a $63,000 increase in equity securities income, and a $58,000 increase in other investment income, which were partially offset by a $2,119,000 decrease in mortgage loan interest and a $1,463,000 decrease in real estate income.</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mortuary and cemetery sales increased by $1,077,000, or 7.9%, to $14,717,000 for the six month period ended June 30, 2024, from $13,640,000 for the comparable period in 2023. This increase was primarily due to a $956,000 increase in cemetery pre-need sales and a $139,000 increase in mortuary at-need sales, which were partially offset by an $18,000 decrease in cemetery at-need sales.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Gains (losses) on investments and other assets increased by $364,000, or 39.3%, to $1,292,000 for the six month period ended June 30, 2024, from $928,000 for the comparable period in 2023. This increase in gains on investments and other assets was primarily due to a $250,000 increase in gains on equity securities mostly attributable to increases in the fair value of these equity securities, a $206,000 increase in gains on fixed maturity securities, and a $128,000 increase in gains on real estate, which were partially offset by a $220,000 decrease in gains on other assets.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revenues decreased by $269,000, or 13.6%, to $1,715,000 for the six month period ended June 30, 2024, from $1,984,000 for the comparable period in 2023. This decrease was primarily attributable to a decrease of $132,000 in servicing fee revenue due to a decrease in the retention of mortgage servicing rights.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Total benefits and expenses were $147,971,000, or 88.6% of total revenues, for the six month period ended June 30, 2024, as compared to $153,613,000, or 94.0% of total revenues, for the comparable period in 2023.</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Death benefits, surrenders and other policy benefits, and future policy benefits decreased by an aggregate of $170,000 or 0.3%, to $50,602,000 for the six month period ended June 30, 2024, from $50,772,000 for the comparable period in 2023. This decrease was primarily the result of a $2,350,000 decrease in death benefits, which were partially offset by a $2,004,000 increase in future policy benefits and a $176,000 increase in surrender and other policy benefits.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Amortization of deferred policy and pre-need acquisition costs and value of business acquired decreased by $90,000, or 1.0%, to $9,045,000 for the six month period ended June 30, 2024, from $9,135,000 for the comparable period in 2023. This decrease was primarily due to increased payment consistency from premium-paying products.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decreased by $4,688,000, or 5.3%, to $83,713,000 for the six month period ended June 30, 2024, from $88,401,000 for the comparable period in 2023. This decrease was primarily the result of a $1,899,000 decrease in other expenses, a $1,813,000 decrease in personnel expenses, a $909,000 decrease in rent and rent related expenses, a $701,000 decrease in costs related to funding mortgage loans, and a $395,000 decrease in advertising expense, which were partially offset by a $1,025,000 increase in commissions.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expense decreased by $767,000, or 26.7%, to $2,101,000 for the six month period ended June 30, 2024, from $2,868,000 for the comparable period in 2023. This decrease was primarily due to a decrease of $288,000 in interest expense on mortgage warehouse lines of credit for loans held for sale and a decrease of $479,000 in interest expense on bank loans.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Company’s life insurance subsidiaries and cemetery and mortuary subsidiaries realize cash flow from premiums, contract payments and sales on personal services rendered for cemetery and mortuary business, from interest and dividends on invested assets, and from the proceeds from the sale or maturity of investments. The mortgage subsidiaries realize cash flow from fees generated by originating and refinancing mortgage loans and fees from mortgage loans held for sale that are sold to investors into the secondary market. It should be noted that current conditions in the financial markets and economy may affect the realization of these expected cash flows. The Company considers these sources of cash flow to be adequate to fund future policyholder and cemetery and mortuary liabilities, which generally are long-term, and adequate to pay current policyholder claims, annuity payments, expenses related to the issuance of new policies, the maintenance of existing policies, debt service, and to meet current operating expenses. As of June 30, 2024, the Company’s subsidiary SecurityNational Mortgage was not in compliance with the net income covenants under its Warehouse Lines of Credit and has received or is in the process of receiving waivers from the warehouse banks. In the unlikely event SecurityNational Mortgage is required to repay the outstanding advances of approximately $6,617,000 on the Warehouse Line of Credit that has not provided a covenant waiver, SecurityNational Mortgage has sufficient cash and borrowing capacity on the Warehouse Lines of Credit that have provided covenant waivers to fund its origination activities. The Company has done an internal analysis of the funding capacities of both internal and external sources and has determined that there are sufficient funds to continue its business model. The Company continues to negotiate other warehouse lines of credit with other lenders.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six month periods ended June 30, 2024 and 2023, the Company’s operations provided cash of approximately $8,104,000 and of approximately $2,181,000, respectively. The increase in cash provided by operations was due primarily to increased proceeds from the sale of mortgage loans held for sale.</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expects to pay out liabilities under its funeral plans over the long term given the nature of those plans. Funeral plans are small face value life insurance policies that payout upon a person’s death to cover funeral burial costs; policyholders generally keep these policies in force until, and do not surrender prior to, death. Because of the long-term nature of these liabilities, the Company can hold to maturity or for the targeted investment period its corresponding bond, real estate, and mortgage loan investments, thus reducing the risk of liquidating these long-term investments because of any sudden changes in their fair values.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attempts to match the duration of invested assets with its policyholder and cemetery and mortuary liabilities. The Company may sell investments other than those held to maturity in the portfolio to help in this timing matching. The Company purchases short-term investments on a temporary basis to meet the expected short-term requirements of the Company’s insurance products. The Company’s investment philosophy is intended to provide a rate of return for the expected duration of its cemetery and mortuary policies that will exceed the accruing of liabilities under those policies regardless of future interest rate movements.</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investment policy is also to invest predominantly in fixed maturity securities, real estate, mortgage loans, and warehousing of mortgage loans. The warehoused mortgage loans are typically held for sale on a short-term basis before selling the loans to investors in accordance with the requirements and laws governing the Company’s life insurance subsidiaries. Bonds owned by the insurance subsidiaries amounted to $330,052,000 (at estimated fair value) and $362,663,000 (at estimated fair value) as of June 30, 2024 and December 31, 2023, respectively. This represented 35.9% and 38.7% of the total investments of the Company as of June 30, 2024 and December 31, 2023, respectively. Generally, all bonds owned by the life insurance subsidiaries are rated by the National Association of Insurance Commissioners. Under this rating system, there are six categories used for rating bonds. As of June 30, 2024, 2.0% (or $6,561,000) and as of December 31, 2023, 1.8% (or $6,954,000) of the Company’s total bond investments were invested in bonds in rating categories three through six, which are considered non-investment grade.</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life insurance subsidiaries are subject to risk-based capital guidelines established by statutory regulators requiring minimum capital levels based on the perceived risk of assets, liabilities, disintermediation, and business risk. As of June 30, 2024 and December 31, 2023, the life insurance subsidiaries were in compliance with the regulatory criteria.</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74" w:name="page75"/>
    <w:bookmarkEnd w:id="74"/>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total capitalization of stockholders’ equity, bank and other loans payable was $429,307,000 as of June 30, 2024, as compared to $418,450,000 as of December 31, 2023. This increase was primarily due to an increase of $12,871,000 in stockholders’ equity as partially offset by a decrease of $2,014,000 in bank loans and other loans payable. Stockholders’ equity as a percent of total capitalization was 75.9% and 74.8% as of June 30, 2024 and December 31, 2023, respectively.</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Lapse rates measure the amount of insurance terminated during a particular period. The Company’s lapse rate for life insurance in 2023 was 4.4% as compared to a lapse rate of 4.3% for 2022. The 2024 lapse rate to date has been approximately the same as 2023.</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combined statutory capital and surplus of the Company’s life insurance subsidiaries was $114,667,000 and $107,385,000 as of June 30, 2024, and December 31, 2023, respectively. The life insurance subsidiaries cannot pay a dividend to their parent company without the approval of state insurance regulatory authorities.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smaller reporting company, the Company is not required to provide information typically disclosed under this item.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Disclosure Controls and Procedures</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of June 30, 2024, the Company carried out an evaluation under the supervision and with the participation of its Chief Executive Officer (CEO) and Chief Financial Officer (CFO), of the effectiveness of the Company’s disclosure controls and procedures (as defined in Rules 13a-15(e) and 15d-15(e) under the Securities Exchange Act of 1934, as amended (the “Exchange Act”). The Company’s disclosure controls and procedures are designed to ensure that information required to be disclosed in the Securities and Exchange Commission (SEC) reports that the Company files or submits under the Exchange Act is recorded, processed, summarized and reported within the time period specified by the SEC’s rules and forms and that such information is accumulated and communicated to management, including the Company’s CEO and CFO, as appropriate, to allow timely decisions regarding required disclosure. The executive officers have concluded that the Company’s disclosure controls and procedures were effective as of June 30, 2024, and that the unaudited condensed consolidated financial statements included in this Quarterly Report on Form 10-Q fairly present, in all material respects, the Company’s financial condition, results of operations, and cash flows for the periods presented in conformity with United States Generally Accepted Accounting Principles (GAAP).</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Changes in Internal Control over Financial Reporting</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not been any significant changes in the Company’s internal control over financial reporting during the most recently completed fiscal quarter that have materially affected, or are reasonably likely to materially affect, the Company’s internal control over financial reporting.</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is not a party to any material legal proceedings outside the ordinary course of business or to any other legal proceedings, which if adversely determined, would be expected to have a material adverse effect on its financial condition or results of operation.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smaller reporting company, the Company is not required to provide information typically disclosed under this item.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 and Use of Proceeds from Registered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April 15, 2024 the Company executed a 10b5-1 agreement with a broker to repurchase shares of the Company’s Class A Common Stock. Under the terms of the agreement, the broker is permitted to repurchase up to $1,000,000 of the Company’s Class A Common Stock. Purchases commenced May 15, 2024. The agreement is subject to the daily time, price and volume conditions of Rule 10b-18. The agreement expires on December 31,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Company’s repurchase activity during the three month period ended June 30, 2024 under the 10b5-1 agreement.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(d) Maximum</w:t>
            </w:r>
          </w:p>
        </w:tc>
      </w:tr>
      <w:tr>
        <w:trPr>
          <w:trHeight w:val="216"/>
        </w:trPr>
        <w:tc>
          <w:tcPr>
            <w:tcW w:w="4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Number (or</w:t>
            </w:r>
          </w:p>
        </w:tc>
      </w:tr>
      <w:tr>
        <w:trPr>
          <w:trHeight w:val="216"/>
        </w:trPr>
        <w:tc>
          <w:tcPr>
            <w:tcW w:w="4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Approximate</w:t>
            </w:r>
          </w:p>
        </w:tc>
      </w:tr>
      <w:tr>
        <w:trPr>
          <w:trHeight w:val="216"/>
        </w:trPr>
        <w:tc>
          <w:tcPr>
            <w:tcW w:w="4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8"/>
              </w:rPr>
              <w:t>(c) Total Number of</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Dollar Value) of</w:t>
            </w:r>
          </w:p>
        </w:tc>
      </w:tr>
      <w:tr>
        <w:trPr>
          <w:trHeight w:val="216"/>
        </w:trPr>
        <w:tc>
          <w:tcPr>
            <w:tcW w:w="4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Class A Shares</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Class A Shares that</w:t>
            </w:r>
          </w:p>
        </w:tc>
      </w:tr>
      <w:tr>
        <w:trPr>
          <w:trHeight w:val="216"/>
        </w:trPr>
        <w:tc>
          <w:tcPr>
            <w:tcW w:w="4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Purchased as Part</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May Yet Be</w:t>
            </w:r>
          </w:p>
        </w:tc>
      </w:tr>
      <w:tr>
        <w:trPr>
          <w:trHeight w:val="216"/>
        </w:trPr>
        <w:tc>
          <w:tcPr>
            <w:tcW w:w="4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8"/>
              </w:rPr>
              <w:t>(a) Total Number of</w:t>
            </w:r>
          </w:p>
        </w:tc>
        <w:tc>
          <w:tcPr>
            <w:tcW w:w="100" w:type="dxa"/>
            <w:vAlign w:val="bottom"/>
          </w:tcPr>
          <w:p>
            <w:pPr>
              <w:spacing w:after="0"/>
              <w:rPr>
                <w:sz w:val="18"/>
                <w:szCs w:val="18"/>
                <w:color w:val="auto"/>
              </w:rPr>
            </w:pPr>
          </w:p>
        </w:tc>
        <w:tc>
          <w:tcPr>
            <w:tcW w:w="17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8"/>
              </w:rPr>
              <w:t>(b) Average Price</w:t>
            </w:r>
          </w:p>
        </w:tc>
        <w:tc>
          <w:tcPr>
            <w:tcW w:w="17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of Publicly</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Purchased Under</w:t>
            </w:r>
          </w:p>
        </w:tc>
      </w:tr>
      <w:tr>
        <w:trPr>
          <w:trHeight w:val="216"/>
        </w:trPr>
        <w:tc>
          <w:tcPr>
            <w:tcW w:w="4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Class A Shares</w:t>
            </w:r>
          </w:p>
        </w:tc>
        <w:tc>
          <w:tcPr>
            <w:tcW w:w="100" w:type="dxa"/>
            <w:vAlign w:val="bottom"/>
          </w:tcPr>
          <w:p>
            <w:pPr>
              <w:spacing w:after="0"/>
              <w:rPr>
                <w:sz w:val="18"/>
                <w:szCs w:val="18"/>
                <w:color w:val="auto"/>
              </w:rPr>
            </w:pPr>
          </w:p>
        </w:tc>
        <w:tc>
          <w:tcPr>
            <w:tcW w:w="17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9"/>
              </w:rPr>
              <w:t>Paid per Class A</w:t>
            </w:r>
          </w:p>
        </w:tc>
        <w:tc>
          <w:tcPr>
            <w:tcW w:w="17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Announced Plan or</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the Plan or Program</w:t>
            </w:r>
          </w:p>
        </w:tc>
      </w:tr>
      <w:tr>
        <w:trPr>
          <w:trHeight w:val="241"/>
        </w:trPr>
        <w:tc>
          <w:tcPr>
            <w:tcW w:w="4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Period</w:t>
            </w:r>
          </w:p>
        </w:tc>
        <w:tc>
          <w:tcPr>
            <w:tcW w:w="18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Purchased</w:t>
            </w:r>
          </w:p>
        </w:tc>
        <w:tc>
          <w:tcPr>
            <w:tcW w:w="100" w:type="dxa"/>
            <w:vAlign w:val="bottom"/>
          </w:tcPr>
          <w:p>
            <w:pPr>
              <w:spacing w:after="0"/>
              <w:rPr>
                <w:sz w:val="20"/>
                <w:szCs w:val="20"/>
                <w:color w:val="auto"/>
              </w:rPr>
            </w:pPr>
          </w:p>
        </w:tc>
        <w:tc>
          <w:tcPr>
            <w:tcW w:w="17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9"/>
              </w:rPr>
              <w:t>Share (1)</w:t>
            </w:r>
          </w:p>
        </w:tc>
        <w:tc>
          <w:tcPr>
            <w:tcW w:w="17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Program</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r>
      <w:tr>
        <w:trPr>
          <w:trHeight w:val="216"/>
        </w:trPr>
        <w:tc>
          <w:tcPr>
            <w:tcW w:w="40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4/1/2024-4/30/2024</w:t>
            </w:r>
          </w:p>
        </w:tc>
        <w:tc>
          <w:tcPr>
            <w:tcW w:w="22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318,043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5/1/2024-5/31/2024</w:t>
            </w:r>
          </w:p>
        </w:tc>
        <w:tc>
          <w:tcPr>
            <w:tcW w:w="220" w:type="dxa"/>
            <w:vAlign w:val="bottom"/>
          </w:tcPr>
          <w:p>
            <w:pPr>
              <w:spacing w:after="0"/>
              <w:rPr>
                <w:sz w:val="18"/>
                <w:szCs w:val="18"/>
                <w:color w:val="auto"/>
              </w:rPr>
            </w:pP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51,387</w:t>
            </w:r>
          </w:p>
        </w:tc>
        <w:tc>
          <w:tcPr>
            <w:tcW w:w="100" w:type="dxa"/>
            <w:vAlign w:val="bottom"/>
          </w:tcPr>
          <w:p>
            <w:pPr>
              <w:spacing w:after="0"/>
              <w:rPr>
                <w:sz w:val="18"/>
                <w:szCs w:val="18"/>
                <w:color w:val="auto"/>
              </w:rPr>
            </w:pPr>
          </w:p>
        </w:tc>
        <w:tc>
          <w:tcPr>
            <w:tcW w:w="17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7.99</w:t>
            </w:r>
          </w:p>
        </w:tc>
        <w:tc>
          <w:tcPr>
            <w:tcW w:w="17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266,656</w:t>
            </w:r>
          </w:p>
        </w:tc>
      </w:tr>
      <w:tr>
        <w:trPr>
          <w:trHeight w:val="216"/>
        </w:trPr>
        <w:tc>
          <w:tcPr>
            <w:tcW w:w="4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6/1/2024-6/30/2024</w:t>
            </w:r>
          </w:p>
        </w:tc>
        <w:tc>
          <w:tcPr>
            <w:tcW w:w="2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72,044</w:t>
            </w:r>
          </w:p>
        </w:tc>
        <w:tc>
          <w:tcPr>
            <w:tcW w:w="1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8.18</w:t>
            </w:r>
          </w:p>
        </w:tc>
        <w:tc>
          <w:tcPr>
            <w:tcW w:w="17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194,612</w:t>
            </w:r>
          </w:p>
        </w:tc>
      </w:tr>
      <w:tr>
        <w:trPr>
          <w:trHeight w:val="237"/>
        </w:trPr>
        <w:tc>
          <w:tcPr>
            <w:tcW w:w="406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3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340" w:type="dxa"/>
            <w:vAlign w:val="bottom"/>
            <w:tcBorders>
              <w:bottom w:val="single" w:sz="8" w:color="CCEEFF"/>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320" w:type="dxa"/>
            <w:vAlign w:val="bottom"/>
            <w:tcBorders>
              <w:bottom w:val="single" w:sz="8" w:color="CCEEFF"/>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r>
      <w:tr>
        <w:trPr>
          <w:trHeight w:val="229"/>
        </w:trPr>
        <w:tc>
          <w:tcPr>
            <w:tcW w:w="42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123,431</w:t>
            </w:r>
          </w:p>
        </w:tc>
        <w:tc>
          <w:tcPr>
            <w:tcW w:w="3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34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194,612</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4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ind w:left="660" w:hanging="328"/>
        <w:spacing w:after="0"/>
        <w:tabs>
          <w:tab w:leader="none" w:pos="6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fees and commissions paid on stock repurchases.</w:t>
      </w:r>
    </w:p>
    <w:p>
      <w:pPr>
        <w:spacing w:after="0" w:line="27" w:lineRule="exact"/>
        <w:rPr>
          <w:rFonts w:ascii="Times New Roman" w:cs="Times New Roman" w:eastAsia="Times New Roman" w:hAnsi="Times New Roman"/>
          <w:sz w:val="18"/>
          <w:szCs w:val="18"/>
          <w:color w:val="auto"/>
        </w:rPr>
      </w:pPr>
    </w:p>
    <w:p>
      <w:pPr>
        <w:jc w:val="both"/>
        <w:ind w:left="660" w:hanging="328"/>
        <w:spacing w:after="0" w:line="253" w:lineRule="auto"/>
        <w:tabs>
          <w:tab w:leader="none" w:pos="6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2018, the Board of Directors of the Company approved a Stock Repurchase Plan that authorized the repurchase of 300,000 shares of the Company’s Class A Common Stock in the open market. The Company amended the Stock Repurchase Plan on December 4, 2020. The amendment authorized the repurchase of a total of 1,000,000 shares of the Company’s Class A Common Stock in the open market. Any repurchased shares of Class A common stock are to be held as treasury shares to be used as the Company’s employer matching contribution to the Employee 401(k) Retirement Savings Plan and for shares held in the Deferred Compensation Plan.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Disclosure of Trading Arrangements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During the three months ended June 30, 2024, no Section 16 officers or directors of the Company adopted, modified, or terminated a “Rule 10b5-1 trading arrangement” or “non-Rule 10b5-1 trading arrangement” (each as defined in Item 408 of Regulation S-K of the Exchange Act).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color w:val="auto"/>
        </w:rPr>
        <w:t>Item 6. Exhibits, Financial Statements Schedules, and Reports on Form 8-K.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(a)(1) </w:t>
      </w:r>
      <w:r>
        <w:rPr>
          <w:rFonts w:ascii="Times New Roman" w:cs="Times New Roman" w:eastAsia="Times New Roman" w:hAnsi="Times New Roman"/>
          <w:sz w:val="18"/>
          <w:szCs w:val="18"/>
          <w:u w:val="single" w:color="auto"/>
          <w:color w:val="auto"/>
        </w:rPr>
        <w:t>Financial Statements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“Table of Contents – Part I – Financial Information” under page 2 above.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(a)(2) </w:t>
      </w:r>
      <w:r>
        <w:rPr>
          <w:rFonts w:ascii="Times New Roman" w:cs="Times New Roman" w:eastAsia="Times New Roman" w:hAnsi="Times New Roman"/>
          <w:sz w:val="18"/>
          <w:szCs w:val="18"/>
          <w:u w:val="single" w:color="auto"/>
          <w:color w:val="auto"/>
        </w:rPr>
        <w:t>Financial Statement Schedules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All other schedules to the consolidated financial statements required by Article 7 of Regulation S-X are not required under the related instructions or are inapplicable and therefore have been omitted.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(a)(3) </w:t>
      </w:r>
      <w:r>
        <w:rPr>
          <w:rFonts w:ascii="Times New Roman" w:cs="Times New Roman" w:eastAsia="Times New Roman" w:hAnsi="Times New Roman"/>
          <w:sz w:val="18"/>
          <w:szCs w:val="18"/>
          <w:u w:val="single" w:color="auto"/>
          <w:color w:val="auto"/>
        </w:rPr>
        <w:t>Exhibits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Exhibits are filed herewith pursuant to Rule 601 of Regulation S-K or are incorporated by reference to previous filings.</w:t>
      </w:r>
    </w:p>
    <w:p>
      <w:pPr>
        <w:spacing w:after="0" w:line="225" w:lineRule="exact"/>
        <w:rPr>
          <w:sz w:val="20"/>
          <w:szCs w:val="20"/>
          <w:color w:val="auto"/>
        </w:rPr>
      </w:pPr>
    </w:p>
    <w:p>
      <w:pPr>
        <w:ind w:left="660"/>
        <w:spacing w:after="0"/>
        <w:tabs>
          <w:tab w:leader="none" w:pos="14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3.1</w:t>
      </w:r>
      <w:r>
        <w:rPr>
          <w:sz w:val="20"/>
          <w:szCs w:val="20"/>
          <w:color w:val="auto"/>
        </w:rPr>
        <w:tab/>
      </w:r>
      <w:hyperlink r:id="rId152">
        <w:r>
          <w:rPr>
            <w:rFonts w:ascii="Times New Roman" w:cs="Times New Roman" w:eastAsia="Times New Roman" w:hAnsi="Times New Roman"/>
            <w:sz w:val="18"/>
            <w:szCs w:val="18"/>
            <w:u w:val="single" w:color="auto"/>
            <w:color w:val="0000EE"/>
          </w:rPr>
          <w:t>Amended and Restated Articles of Incorporation (1)</w:t>
        </w:r>
      </w:hyperlink>
    </w:p>
    <w:p>
      <w:pPr>
        <w:spacing w:after="0" w:line="27" w:lineRule="exact"/>
        <w:rPr>
          <w:sz w:val="20"/>
          <w:szCs w:val="20"/>
          <w:color w:val="auto"/>
        </w:rPr>
      </w:pPr>
    </w:p>
    <w:p>
      <w:pPr>
        <w:ind w:left="660"/>
        <w:spacing w:after="0"/>
        <w:tabs>
          <w:tab w:leader="none" w:pos="14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3.2</w:t>
      </w:r>
      <w:r>
        <w:rPr>
          <w:sz w:val="20"/>
          <w:szCs w:val="20"/>
          <w:color w:val="auto"/>
        </w:rPr>
        <w:tab/>
      </w:r>
      <w:hyperlink r:id="rId153">
        <w:r>
          <w:rPr>
            <w:rFonts w:ascii="Times New Roman" w:cs="Times New Roman" w:eastAsia="Times New Roman" w:hAnsi="Times New Roman"/>
            <w:sz w:val="18"/>
            <w:szCs w:val="18"/>
            <w:u w:val="single" w:color="auto"/>
            <w:color w:val="0000EE"/>
          </w:rPr>
          <w:t>Amended and Restated Bylaws (2)</w:t>
        </w:r>
      </w:hyperlink>
    </w:p>
    <w:p>
      <w:pPr>
        <w:spacing w:after="0" w:line="9" w:lineRule="exact"/>
        <w:rPr>
          <w:sz w:val="20"/>
          <w:szCs w:val="20"/>
          <w:color w:val="auto"/>
        </w:rPr>
      </w:pPr>
    </w:p>
    <w:p>
      <w:pPr>
        <w:ind w:left="1460" w:hanging="804"/>
        <w:spacing w:after="0"/>
        <w:tabs>
          <w:tab w:leader="none" w:pos="14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Subsidiaries of the Registrant.</w:t>
      </w:r>
    </w:p>
    <w:tbl>
      <w:tblPr>
        <w:tblLayout w:type="fixed"/>
        <w:tblInd w:w="660" w:type="dxa"/>
        <w:tblCellMar>
          <w:top w:w="0" w:type="dxa"/>
          <w:left w:w="0" w:type="dxa"/>
          <w:bottom w:w="0" w:type="dxa"/>
          <w:right w:w="0" w:type="dxa"/>
        </w:tblCellMar>
      </w:tblPr>
      <w:tr>
        <w:trPr>
          <w:trHeight w:val="185"/>
        </w:trPr>
        <w:tc>
          <w:tcPr>
            <w:tcW w:w="80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31.1</w:t>
            </w:r>
          </w:p>
        </w:tc>
        <w:tc>
          <w:tcPr>
            <w:tcW w:w="2020" w:type="dxa"/>
            <w:vAlign w:val="bottom"/>
          </w:tcPr>
          <w:p>
            <w:pPr>
              <w:spacing w:after="0" w:line="184" w:lineRule="exact"/>
              <w:rPr>
                <w:sz w:val="20"/>
                <w:szCs w:val="20"/>
                <w:color w:val="auto"/>
              </w:rPr>
            </w:pPr>
            <w:r>
              <w:rPr>
                <w:rFonts w:ascii="Times New Roman" w:cs="Times New Roman" w:eastAsia="Times New Roman" w:hAnsi="Times New Roman"/>
                <w:sz w:val="18"/>
                <w:szCs w:val="18"/>
                <w:color w:val="0000EE"/>
              </w:rPr>
              <w:t>Certification pursuant to 18</w:t>
            </w:r>
          </w:p>
        </w:tc>
        <w:tc>
          <w:tcPr>
            <w:tcW w:w="666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0000EE"/>
              </w:rPr>
              <w:t>U.S.C. Section 1350, as enacted by Section 302 of the Sarbanes-Oxley Act of 2002</w:t>
            </w:r>
          </w:p>
        </w:tc>
      </w:tr>
      <w:tr>
        <w:trPr>
          <w:trHeight w:val="20"/>
        </w:trPr>
        <w:tc>
          <w:tcPr>
            <w:tcW w:w="800" w:type="dxa"/>
            <w:vAlign w:val="bottom"/>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600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2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rPr>
              <w:t>Certification pursuant to 18</w:t>
            </w:r>
          </w:p>
        </w:tc>
        <w:tc>
          <w:tcPr>
            <w:tcW w:w="666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0000EE"/>
              </w:rPr>
              <w:t>U.S.C. Section 1350, as enacted by Section 302 of the Sarbanes-Oxley Act of 2002</w:t>
            </w:r>
          </w:p>
        </w:tc>
      </w:tr>
      <w:tr>
        <w:trPr>
          <w:trHeight w:val="20"/>
        </w:trPr>
        <w:tc>
          <w:tcPr>
            <w:tcW w:w="800" w:type="dxa"/>
            <w:vAlign w:val="bottom"/>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600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202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rPr>
              <w:t>Certification pursuant to 18</w:t>
            </w:r>
          </w:p>
        </w:tc>
        <w:tc>
          <w:tcPr>
            <w:tcW w:w="6660" w:type="dxa"/>
            <w:vAlign w:val="bottom"/>
            <w:tcBorders>
              <w:bottom w:val="single" w:sz="8" w:color="0000EE"/>
            </w:tcBorders>
            <w:gridSpan w:val="2"/>
          </w:tcPr>
          <w:p>
            <w:pPr>
              <w:ind w:left="20"/>
              <w:spacing w:after="0" w:line="196" w:lineRule="exact"/>
              <w:rPr>
                <w:sz w:val="20"/>
                <w:szCs w:val="20"/>
                <w:color w:val="auto"/>
              </w:rPr>
            </w:pPr>
            <w:r>
              <w:rPr>
                <w:rFonts w:ascii="Times New Roman" w:cs="Times New Roman" w:eastAsia="Times New Roman" w:hAnsi="Times New Roman"/>
                <w:sz w:val="18"/>
                <w:szCs w:val="18"/>
                <w:color w:val="0000EE"/>
                <w:w w:val="99"/>
              </w:rPr>
              <w:t>U.S.C. Section 1350, as adopted pursuant to Section 906 of the Sarbanes-Oxley Act of 2002</w:t>
            </w: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202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rPr>
              <w:t>Certification pursuant to 18</w:t>
            </w:r>
          </w:p>
        </w:tc>
        <w:tc>
          <w:tcPr>
            <w:tcW w:w="6660" w:type="dxa"/>
            <w:vAlign w:val="bottom"/>
            <w:tcBorders>
              <w:bottom w:val="single" w:sz="8" w:color="0000EE"/>
            </w:tcBorders>
            <w:gridSpan w:val="2"/>
          </w:tcPr>
          <w:p>
            <w:pPr>
              <w:ind w:left="20"/>
              <w:spacing w:after="0" w:line="196" w:lineRule="exact"/>
              <w:rPr>
                <w:sz w:val="20"/>
                <w:szCs w:val="20"/>
                <w:color w:val="auto"/>
              </w:rPr>
            </w:pPr>
            <w:r>
              <w:rPr>
                <w:rFonts w:ascii="Times New Roman" w:cs="Times New Roman" w:eastAsia="Times New Roman" w:hAnsi="Times New Roman"/>
                <w:sz w:val="18"/>
                <w:szCs w:val="18"/>
                <w:color w:val="0000EE"/>
                <w:w w:val="99"/>
              </w:rPr>
              <w:t>U.S.C. Section 1350, as adopted pursuant to Section 906 of the Sarbanes-Oxley Act of 2002</w:t>
            </w:r>
          </w:p>
        </w:tc>
      </w:tr>
      <w:tr>
        <w:trPr>
          <w:trHeight w:val="218"/>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78308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4">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45" w:lineRule="exact"/>
        <w:rPr>
          <w:sz w:val="20"/>
          <w:szCs w:val="20"/>
          <w:color w:val="auto"/>
        </w:rPr>
      </w:pPr>
    </w:p>
    <w:p>
      <w:pPr>
        <w:ind w:left="980" w:hanging="324"/>
        <w:spacing w:after="0"/>
        <w:tabs>
          <w:tab w:leader="none" w:pos="9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Report on Form 10-K, as filed on March 31, 2017</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Report on Form 10-Q, as filed on May 15, 2019</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77" w:name="page78"/>
    <w:bookmarkEnd w:id="7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ectPr>
          <w:pgSz w:w="11900" w:h="16838" w:orient="portrait"/>
          <w:cols w:equalWidth="0" w:num="1">
            <w:col w:w="11240"/>
          </w:cols>
          <w:pgMar w:left="320" w:top="65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Dated: August 14,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Dated: August 14, 2024</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jc w:val="center"/>
        <w:ind w:right="3540"/>
        <w:spacing w:after="0"/>
        <w:rPr>
          <w:sz w:val="20"/>
          <w:szCs w:val="20"/>
          <w:color w:val="auto"/>
        </w:rPr>
      </w:pPr>
      <w:r>
        <w:rPr>
          <w:rFonts w:ascii="Times New Roman" w:cs="Times New Roman" w:eastAsia="Times New Roman" w:hAnsi="Times New Roman"/>
          <w:sz w:val="18"/>
          <w:szCs w:val="18"/>
          <w:b w:val="1"/>
          <w:bCs w:val="1"/>
          <w:i w:val="1"/>
          <w:iCs w:val="1"/>
          <w:color w:val="auto"/>
        </w:rPr>
        <w:t>REGISTRANT</w:t>
      </w:r>
    </w:p>
    <w:p>
      <w:pPr>
        <w:spacing w:after="0" w:line="229" w:lineRule="exact"/>
        <w:rPr>
          <w:sz w:val="20"/>
          <w:szCs w:val="20"/>
          <w:color w:val="auto"/>
        </w:rPr>
      </w:pPr>
    </w:p>
    <w:p>
      <w:pPr>
        <w:jc w:val="center"/>
        <w:ind w:right="3540"/>
        <w:spacing w:after="0"/>
        <w:rPr>
          <w:sz w:val="20"/>
          <w:szCs w:val="20"/>
          <w:color w:val="auto"/>
        </w:rPr>
      </w:pPr>
      <w:r>
        <w:rPr>
          <w:rFonts w:ascii="Times New Roman" w:cs="Times New Roman" w:eastAsia="Times New Roman" w:hAnsi="Times New Roman"/>
          <w:sz w:val="17"/>
          <w:szCs w:val="17"/>
          <w:u w:val="single" w:color="auto"/>
          <w:color w:val="auto"/>
        </w:rPr>
        <w:t>SECURITY NATIONAL FINANCIAL CORPORATION</w:t>
      </w:r>
    </w:p>
    <w:p>
      <w:pPr>
        <w:spacing w:after="0" w:line="39" w:lineRule="exact"/>
        <w:rPr>
          <w:sz w:val="20"/>
          <w:szCs w:val="20"/>
          <w:color w:val="auto"/>
        </w:rPr>
      </w:pPr>
    </w:p>
    <w:p>
      <w:pPr>
        <w:jc w:val="center"/>
        <w:ind w:right="3540"/>
        <w:spacing w:after="0"/>
        <w:rPr>
          <w:sz w:val="20"/>
          <w:szCs w:val="20"/>
          <w:color w:val="auto"/>
        </w:rPr>
      </w:pPr>
      <w:r>
        <w:rPr>
          <w:rFonts w:ascii="Times New Roman" w:cs="Times New Roman" w:eastAsia="Times New Roman" w:hAnsi="Times New Roman"/>
          <w:sz w:val="18"/>
          <w:szCs w:val="18"/>
          <w:color w:val="auto"/>
        </w:rPr>
        <w:t>Registrant</w:t>
      </w:r>
    </w:p>
    <w:p>
      <w:pPr>
        <w:spacing w:after="0" w:line="205"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8"/>
          <w:szCs w:val="18"/>
          <w:i w:val="1"/>
          <w:iCs w:val="1"/>
          <w:color w:val="auto"/>
        </w:rPr>
        <w:t>/s/ Scott M. Quist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1468755</wp:posOffset>
            </wp:positionH>
            <wp:positionV relativeFrom="paragraph">
              <wp:posOffset>18415</wp:posOffset>
            </wp:positionV>
            <wp:extent cx="342011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6">
                      <a:extLst>
                        <a:ext uri="{28A0092B-C50C-407E-A947-70E740481C1C}"/>
                      </a:extLst>
                    </a:blip>
                    <a:srcRect/>
                    <a:stretch>
                      <a:fillRect/>
                    </a:stretch>
                  </pic:blipFill>
                  <pic:spPr bwMode="auto">
                    <a:xfrm>
                      <a:off x="0" y="0"/>
                      <a:ext cx="3420110" cy="17145"/>
                    </a:xfrm>
                    <a:prstGeom prst="rect">
                      <a:avLst/>
                    </a:prstGeom>
                    <a:noFill/>
                  </pic:spPr>
                </pic:pic>
              </a:graphicData>
            </a:graphic>
          </wp:anchor>
        </w:drawing>
      </w:r>
    </w:p>
    <w:p>
      <w:pPr>
        <w:spacing w:after="0" w:line="18"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8"/>
          <w:szCs w:val="18"/>
          <w:color w:val="auto"/>
        </w:rPr>
        <w:t>Scott M. Quist</w:t>
      </w:r>
    </w:p>
    <w:p>
      <w:pPr>
        <w:spacing w:after="0" w:line="27"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p>
      <w:pPr>
        <w:spacing w:after="0" w:line="9"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5"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8"/>
          <w:szCs w:val="18"/>
          <w:i w:val="1"/>
          <w:iCs w:val="1"/>
          <w:color w:val="auto"/>
        </w:rPr>
        <w:t>/s/ Garrett S. Sill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1468755</wp:posOffset>
            </wp:positionH>
            <wp:positionV relativeFrom="paragraph">
              <wp:posOffset>18415</wp:posOffset>
            </wp:positionV>
            <wp:extent cx="342011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7">
                      <a:extLst>
                        <a:ext uri="{28A0092B-C50C-407E-A947-70E740481C1C}"/>
                      </a:extLst>
                    </a:blip>
                    <a:srcRect/>
                    <a:stretch>
                      <a:fillRect/>
                    </a:stretch>
                  </pic:blipFill>
                  <pic:spPr bwMode="auto">
                    <a:xfrm>
                      <a:off x="0" y="0"/>
                      <a:ext cx="3420110" cy="17145"/>
                    </a:xfrm>
                    <a:prstGeom prst="rect">
                      <a:avLst/>
                    </a:prstGeom>
                    <a:noFill/>
                  </pic:spPr>
                </pic:pic>
              </a:graphicData>
            </a:graphic>
          </wp:anchor>
        </w:drawing>
      </w:r>
    </w:p>
    <w:p>
      <w:pPr>
        <w:spacing w:after="0" w:line="18"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8"/>
          <w:szCs w:val="18"/>
          <w:color w:val="auto"/>
        </w:rPr>
        <w:t>Garrett S. Sill</w:t>
      </w:r>
    </w:p>
    <w:p>
      <w:pPr>
        <w:spacing w:after="0" w:line="27"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9"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7"/>
          <w:szCs w:val="17"/>
          <w:color w:val="auto"/>
        </w:rPr>
        <w:t>(Principal Financial Officer and Principal Accounting Officer)</w:t>
      </w:r>
    </w:p>
    <w:p>
      <w:pPr>
        <w:spacing w:after="0" w:line="218"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17145</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2820" w:space="720"/>
            <w:col w:w="7700"/>
          </w:cols>
          <w:pgMar w:left="320" w:top="657" w:right="339" w:bottom="1440" w:gutter="0" w:footer="0" w:header="0"/>
          <w:type w:val="continuous"/>
        </w:sectPr>
      </w:pPr>
    </w:p>
    <w:bookmarkStart w:id="78" w:name="page79"/>
    <w:bookmarkEnd w:id="78"/>
    <w:p>
      <w:pPr>
        <w:jc w:val="right"/>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SUBSIDIARIES OF THE REGISTRANT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OF JUNE 30, 2024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Life Insurance Segment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Security National Life Insurance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Reppond Holding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First Guaranty Insurance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Kilpatrick Life Insurance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Southern Security Life Insurance Company,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Trans-Western Life Insurance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Security National Funding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Land Holdings,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 Farmington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434 Holdings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5300 Development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Ascension 5204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Ascension 433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 Diamond LLC</w:t>
      </w:r>
    </w:p>
    <w:p>
      <w:pPr>
        <w:spacing w:after="0" w:line="9" w:lineRule="exact"/>
        <w:rPr>
          <w:sz w:val="20"/>
          <w:szCs w:val="20"/>
          <w:color w:val="auto"/>
        </w:rPr>
      </w:pPr>
    </w:p>
    <w:p>
      <w:pPr>
        <w:ind w:right="4980"/>
        <w:spacing w:after="0" w:line="250" w:lineRule="auto"/>
        <w:rPr>
          <w:sz w:val="20"/>
          <w:szCs w:val="20"/>
          <w:color w:val="auto"/>
        </w:rPr>
      </w:pPr>
      <w:r>
        <w:rPr>
          <w:rFonts w:ascii="Times New Roman" w:cs="Times New Roman" w:eastAsia="Times New Roman" w:hAnsi="Times New Roman"/>
          <w:sz w:val="18"/>
          <w:szCs w:val="18"/>
          <w:color w:val="auto"/>
        </w:rPr>
        <w:t>Security National Real Estate Services, Inc. dba Security National Commercial Capital Marketing Source Center, Inc. dba Security National Travel Services SNFC Subsidiary, LLC</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American Funeral Financial,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FFC Acquisition Co., LLC dba Funeral Funding Center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Canadian Funeral Financial,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Mortician’s Choice,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 &amp; J Financial,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Beta Capital Corp.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Beneficiary Advance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MFF Capital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SNCH Venture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SNW-HAFB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SNH Investments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SNMA Properties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SNMA-AR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SNMA-AR2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SNMA-PF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SNMC-SC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SNA Venture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SNA-AM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SNA-CM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SNA-DM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SNA-MB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SNA-MV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SNA-RVP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SNA-RVP2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SNA-SE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SNA-SR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SNA-SW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SNA-TM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SNA-TR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SNA-TR2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SNA-WL2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SNA-HAFB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auto"/>
        </w:rPr>
        <w:t>Mortgage Segment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SecurityNational Mortgage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EverLEND Mortgage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SN-TLV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 Sunset LLC</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Cemetery/Mortuary Segment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California Memorial Estates, Inc. dba Singing Hills Memorial Park</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Holladay Memorial Park,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Cottonwood Mortuary,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Deseret Memorial,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Holladay Cottonwood Memorial Foundation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Memorial Estates,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 Silver Creek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Memorial Mortuary,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Affordable Funerals and Cremations of America,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 Probst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SN-Holbrook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SN-Rivera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SNR-LA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SNR-Taos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SNR-SF Cemetery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SNR-SF Mortuary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SNR-Espanola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684" w:right="1440" w:bottom="1440" w:gutter="0" w:footer="0" w:header="0"/>
        </w:sectPr>
      </w:pPr>
    </w:p>
    <w:bookmarkStart w:id="80" w:name="page81"/>
    <w:bookmarkEnd w:id="8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REQUIRED BY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Scott M. Quist, certify that:</w:t>
      </w:r>
    </w:p>
    <w:p>
      <w:pPr>
        <w:spacing w:after="0" w:line="225" w:lineRule="exact"/>
        <w:rPr>
          <w:sz w:val="20"/>
          <w:szCs w:val="20"/>
          <w:color w:val="auto"/>
        </w:rPr>
      </w:pPr>
    </w:p>
    <w:p>
      <w:pPr>
        <w:ind w:left="180" w:hanging="172"/>
        <w:spacing w:after="0"/>
        <w:tabs>
          <w:tab w:leader="none" w:pos="1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Security National Financial Corporation;</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201"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04"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right="20" w:firstLine="8"/>
        <w:spacing w:after="0" w:line="266" w:lineRule="auto"/>
        <w:tabs>
          <w:tab w:leader="none" w:pos="206"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firstLine="332"/>
        <w:spacing w:after="0" w:line="266" w:lineRule="auto"/>
        <w:tabs>
          <w:tab w:leader="none" w:pos="591"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covered in which this report is being prepared;</w:t>
      </w:r>
    </w:p>
    <w:p>
      <w:pPr>
        <w:spacing w:after="0" w:line="175" w:lineRule="exact"/>
        <w:rPr>
          <w:rFonts w:ascii="Times New Roman" w:cs="Times New Roman" w:eastAsia="Times New Roman" w:hAnsi="Times New Roman"/>
          <w:sz w:val="18"/>
          <w:szCs w:val="18"/>
          <w:color w:val="auto"/>
        </w:rPr>
      </w:pPr>
    </w:p>
    <w:p>
      <w:pPr>
        <w:jc w:val="both"/>
        <w:ind w:firstLine="332"/>
        <w:spacing w:after="0" w:line="266" w:lineRule="auto"/>
        <w:tabs>
          <w:tab w:leader="none" w:pos="621"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firstLine="332"/>
        <w:spacing w:after="0" w:line="282" w:lineRule="auto"/>
        <w:tabs>
          <w:tab w:leader="none" w:pos="619"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firstLine="332"/>
        <w:spacing w:after="0" w:line="266" w:lineRule="auto"/>
        <w:tabs>
          <w:tab w:leader="none" w:pos="579"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firstLine="8"/>
        <w:spacing w:after="0" w:line="282" w:lineRule="auto"/>
        <w:tabs>
          <w:tab w:leader="none" w:pos="189"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firstLine="332"/>
        <w:spacing w:after="0" w:line="282" w:lineRule="auto"/>
        <w:tabs>
          <w:tab w:leader="none" w:pos="577"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firstLine="332"/>
        <w:spacing w:after="0" w:line="282" w:lineRule="auto"/>
        <w:tabs>
          <w:tab w:leader="none" w:pos="583"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0" w:lineRule="exact"/>
        <w:rPr>
          <w:sz w:val="20"/>
          <w:szCs w:val="20"/>
          <w:color w:val="auto"/>
        </w:rPr>
      </w:pPr>
    </w:p>
    <w:p>
      <w:pPr>
        <w:spacing w:after="0"/>
        <w:tabs>
          <w:tab w:leader="none" w:pos="5720" w:val="left"/>
        </w:tabs>
        <w:rPr>
          <w:sz w:val="20"/>
          <w:szCs w:val="20"/>
          <w:color w:val="auto"/>
        </w:rPr>
      </w:pPr>
      <w:r>
        <w:rPr>
          <w:rFonts w:ascii="Times New Roman" w:cs="Times New Roman" w:eastAsia="Times New Roman" w:hAnsi="Times New Roman"/>
          <w:sz w:val="18"/>
          <w:szCs w:val="18"/>
          <w:color w:val="auto"/>
        </w:rPr>
        <w:t>Dated: August 14, 2024</w:t>
      </w:r>
      <w:r>
        <w:rPr>
          <w:sz w:val="20"/>
          <w:szCs w:val="20"/>
          <w:color w:val="auto"/>
        </w:rPr>
        <w:tab/>
      </w:r>
      <w:r>
        <w:rPr>
          <w:rFonts w:ascii="Times New Roman" w:cs="Times New Roman" w:eastAsia="Times New Roman" w:hAnsi="Times New Roman"/>
          <w:sz w:val="18"/>
          <w:szCs w:val="18"/>
          <w:i w:val="1"/>
          <w:iCs w:val="1"/>
          <w:color w:val="auto"/>
        </w:rPr>
        <w:t>/s/ Scott M. Quist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18415</wp:posOffset>
            </wp:positionV>
            <wp:extent cx="348869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1">
                      <a:extLst>
                        <a:ext uri="{28A0092B-C50C-407E-A947-70E740481C1C}"/>
                      </a:extLst>
                    </a:blip>
                    <a:srcRect/>
                    <a:stretch>
                      <a:fillRect/>
                    </a:stretch>
                  </pic:blipFill>
                  <pic:spPr bwMode="auto">
                    <a:xfrm>
                      <a:off x="0" y="0"/>
                      <a:ext cx="3488690" cy="17145"/>
                    </a:xfrm>
                    <a:prstGeom prst="rect">
                      <a:avLst/>
                    </a:prstGeom>
                    <a:noFill/>
                  </pic:spPr>
                </pic:pic>
              </a:graphicData>
            </a:graphic>
          </wp:anchor>
        </w:drawing>
      </w:r>
    </w:p>
    <w:p>
      <w:pPr>
        <w:spacing w:after="0" w:line="2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Scott M. Quist</w:t>
      </w:r>
    </w:p>
    <w:p>
      <w:pPr>
        <w:spacing w:after="0" w:line="2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p>
      <w:pPr>
        <w:spacing w:after="0" w:line="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1" w:name="page82"/>
    <w:bookmarkEnd w:id="8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REQUIRED BY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Garrett S. Sill, certify that:</w:t>
      </w:r>
    </w:p>
    <w:p>
      <w:pPr>
        <w:spacing w:after="0" w:line="225" w:lineRule="exact"/>
        <w:rPr>
          <w:sz w:val="20"/>
          <w:szCs w:val="20"/>
          <w:color w:val="auto"/>
        </w:rPr>
      </w:pPr>
    </w:p>
    <w:p>
      <w:pPr>
        <w:ind w:left="180" w:hanging="172"/>
        <w:spacing w:after="0"/>
        <w:tabs>
          <w:tab w:leader="none" w:pos="1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Security National Financial Corporation;</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201"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04"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209"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firstLine="332"/>
        <w:spacing w:after="0" w:line="266" w:lineRule="auto"/>
        <w:tabs>
          <w:tab w:leader="none" w:pos="591"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covered in which this report is being prepared;</w:t>
      </w:r>
    </w:p>
    <w:p>
      <w:pPr>
        <w:spacing w:after="0" w:line="175" w:lineRule="exact"/>
        <w:rPr>
          <w:rFonts w:ascii="Times New Roman" w:cs="Times New Roman" w:eastAsia="Times New Roman" w:hAnsi="Times New Roman"/>
          <w:sz w:val="18"/>
          <w:szCs w:val="18"/>
          <w:color w:val="auto"/>
        </w:rPr>
      </w:pPr>
    </w:p>
    <w:p>
      <w:pPr>
        <w:jc w:val="both"/>
        <w:ind w:firstLine="332"/>
        <w:spacing w:after="0" w:line="266" w:lineRule="auto"/>
        <w:tabs>
          <w:tab w:leader="none" w:pos="621"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firstLine="332"/>
        <w:spacing w:after="0" w:line="282" w:lineRule="auto"/>
        <w:tabs>
          <w:tab w:leader="none" w:pos="619"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firstLine="332"/>
        <w:spacing w:after="0" w:line="266" w:lineRule="auto"/>
        <w:tabs>
          <w:tab w:leader="none" w:pos="579"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firstLine="8"/>
        <w:spacing w:after="0" w:line="282" w:lineRule="auto"/>
        <w:tabs>
          <w:tab w:leader="none" w:pos="192"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firstLine="332"/>
        <w:spacing w:after="0" w:line="282" w:lineRule="auto"/>
        <w:tabs>
          <w:tab w:leader="none" w:pos="586"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firstLine="332"/>
        <w:spacing w:after="0" w:line="282" w:lineRule="auto"/>
        <w:tabs>
          <w:tab w:leader="none" w:pos="592"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0" w:lineRule="exact"/>
        <w:rPr>
          <w:sz w:val="20"/>
          <w:szCs w:val="20"/>
          <w:color w:val="auto"/>
        </w:rPr>
      </w:pPr>
    </w:p>
    <w:p>
      <w:pPr>
        <w:spacing w:after="0"/>
        <w:tabs>
          <w:tab w:leader="none" w:pos="5720" w:val="left"/>
        </w:tabs>
        <w:rPr>
          <w:sz w:val="20"/>
          <w:szCs w:val="20"/>
          <w:color w:val="auto"/>
        </w:rPr>
      </w:pPr>
      <w:r>
        <w:rPr>
          <w:rFonts w:ascii="Times New Roman" w:cs="Times New Roman" w:eastAsia="Times New Roman" w:hAnsi="Times New Roman"/>
          <w:sz w:val="18"/>
          <w:szCs w:val="18"/>
          <w:color w:val="auto"/>
        </w:rPr>
        <w:t>Dated: August 14, 2024</w:t>
      </w:r>
      <w:r>
        <w:rPr>
          <w:sz w:val="20"/>
          <w:szCs w:val="20"/>
          <w:color w:val="auto"/>
        </w:rPr>
        <w:tab/>
      </w:r>
      <w:r>
        <w:rPr>
          <w:rFonts w:ascii="Times New Roman" w:cs="Times New Roman" w:eastAsia="Times New Roman" w:hAnsi="Times New Roman"/>
          <w:sz w:val="17"/>
          <w:szCs w:val="17"/>
          <w:i w:val="1"/>
          <w:iCs w:val="1"/>
          <w:color w:val="auto"/>
        </w:rPr>
        <w:t>/s/ Garrett S. Sill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18415</wp:posOffset>
            </wp:positionV>
            <wp:extent cx="348869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3">
                      <a:extLst>
                        <a:ext uri="{28A0092B-C50C-407E-A947-70E740481C1C}"/>
                      </a:extLst>
                    </a:blip>
                    <a:srcRect/>
                    <a:stretch>
                      <a:fillRect/>
                    </a:stretch>
                  </pic:blipFill>
                  <pic:spPr bwMode="auto">
                    <a:xfrm>
                      <a:off x="0" y="0"/>
                      <a:ext cx="3488690" cy="17145"/>
                    </a:xfrm>
                    <a:prstGeom prst="rect">
                      <a:avLst/>
                    </a:prstGeom>
                    <a:noFill/>
                  </pic:spPr>
                </pic:pic>
              </a:graphicData>
            </a:graphic>
          </wp:anchor>
        </w:drawing>
      </w:r>
    </w:p>
    <w:p>
      <w:pPr>
        <w:spacing w:after="0" w:line="2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Garrett S. Sill</w:t>
      </w:r>
    </w:p>
    <w:p>
      <w:pPr>
        <w:spacing w:after="0" w:line="2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2" w:name="page83"/>
    <w:bookmarkEnd w:id="8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REQUIRED BY SECTION 906 OF THE SARBANES-OXLEY ACT OF 2002</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Security National Financial Corporation (the “Company”) on Form 10-Q for the period ending June 30, 2024, as filed with the Securities and Exchange Commission on the date hereof (the “Report”), I, Scott M. Quist, Chairman of the Board, President and Chief Executive Officer of the Company, hereby certify, pursuant to 18 U.S.C. Section 1350, as adopted pursuant to Section 906 of the Sarbanes-Oxley Act of 2002, that, to the best of my knowledge:</w:t>
      </w:r>
    </w:p>
    <w:p>
      <w:pPr>
        <w:spacing w:after="0" w:line="180" w:lineRule="exact"/>
        <w:rPr>
          <w:sz w:val="20"/>
          <w:szCs w:val="20"/>
          <w:color w:val="auto"/>
        </w:rPr>
      </w:pPr>
    </w:p>
    <w:p>
      <w:pPr>
        <w:ind w:left="1300" w:hanging="644"/>
        <w:spacing w:after="0"/>
        <w:tabs>
          <w:tab w:leader="none" w:pos="13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0" w:lineRule="exact"/>
        <w:rPr>
          <w:sz w:val="20"/>
          <w:szCs w:val="20"/>
          <w:color w:val="auto"/>
        </w:rPr>
      </w:pPr>
    </w:p>
    <w:p>
      <w:pPr>
        <w:spacing w:after="0"/>
        <w:tabs>
          <w:tab w:leader="none" w:pos="5720" w:val="left"/>
        </w:tabs>
        <w:rPr>
          <w:sz w:val="20"/>
          <w:szCs w:val="20"/>
          <w:color w:val="auto"/>
        </w:rPr>
      </w:pPr>
      <w:r>
        <w:rPr>
          <w:rFonts w:ascii="Times New Roman" w:cs="Times New Roman" w:eastAsia="Times New Roman" w:hAnsi="Times New Roman"/>
          <w:sz w:val="18"/>
          <w:szCs w:val="18"/>
          <w:color w:val="auto"/>
        </w:rPr>
        <w:t>Dated: August 14, 2024</w:t>
      </w:r>
      <w:r>
        <w:rPr>
          <w:sz w:val="20"/>
          <w:szCs w:val="20"/>
          <w:color w:val="auto"/>
        </w:rPr>
        <w:tab/>
      </w:r>
      <w:r>
        <w:rPr>
          <w:rFonts w:ascii="Times New Roman" w:cs="Times New Roman" w:eastAsia="Times New Roman" w:hAnsi="Times New Roman"/>
          <w:sz w:val="18"/>
          <w:szCs w:val="18"/>
          <w:i w:val="1"/>
          <w:iCs w:val="1"/>
          <w:color w:val="auto"/>
        </w:rPr>
        <w:t>/s/ Scott M. Quist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18415</wp:posOffset>
            </wp:positionV>
            <wp:extent cx="348869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5">
                      <a:extLst>
                        <a:ext uri="{28A0092B-C50C-407E-A947-70E740481C1C}"/>
                      </a:extLst>
                    </a:blip>
                    <a:srcRect/>
                    <a:stretch>
                      <a:fillRect/>
                    </a:stretch>
                  </pic:blipFill>
                  <pic:spPr bwMode="auto">
                    <a:xfrm>
                      <a:off x="0" y="0"/>
                      <a:ext cx="3488690" cy="17145"/>
                    </a:xfrm>
                    <a:prstGeom prst="rect">
                      <a:avLst/>
                    </a:prstGeom>
                    <a:noFill/>
                  </pic:spPr>
                </pic:pic>
              </a:graphicData>
            </a:graphic>
          </wp:anchor>
        </w:drawing>
      </w:r>
    </w:p>
    <w:p>
      <w:pPr>
        <w:spacing w:after="0" w:line="2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Scott M. Quist</w:t>
      </w:r>
    </w:p>
    <w:p>
      <w:pPr>
        <w:spacing w:after="0" w:line="2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p>
      <w:pPr>
        <w:spacing w:after="0" w:line="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3" w:name="page84"/>
    <w:bookmarkEnd w:id="83"/>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REQUIRED BY SECTION 906 OF THE SARBANES-OXLEY ACT OF 2002</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Security National Financial Corporation (the “Company”) on Form 10-Q for the period ending June 30, 2024, as filed with the Securities and Exchange Commission on the date hereof (the “Report”), I, Garrett S. Sill, Chief Financial Officer and Treasurer of the Company, hereby certify, pursuant to 18 U.S.C. Section 1350, as adopted pursuant to Section 906 of the Sarbanes-Oxley Act of 2002, that, to the best of my knowledge:</w:t>
      </w:r>
    </w:p>
    <w:p>
      <w:pPr>
        <w:spacing w:after="0" w:line="180" w:lineRule="exact"/>
        <w:rPr>
          <w:sz w:val="20"/>
          <w:szCs w:val="20"/>
          <w:color w:val="auto"/>
        </w:rPr>
      </w:pPr>
    </w:p>
    <w:p>
      <w:pPr>
        <w:ind w:left="1300" w:hanging="644"/>
        <w:spacing w:after="0"/>
        <w:tabs>
          <w:tab w:leader="none" w:pos="13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0" w:lineRule="exact"/>
        <w:rPr>
          <w:sz w:val="20"/>
          <w:szCs w:val="20"/>
          <w:color w:val="auto"/>
        </w:rPr>
      </w:pPr>
    </w:p>
    <w:p>
      <w:pPr>
        <w:spacing w:after="0"/>
        <w:tabs>
          <w:tab w:leader="none" w:pos="5720" w:val="left"/>
        </w:tabs>
        <w:rPr>
          <w:sz w:val="20"/>
          <w:szCs w:val="20"/>
          <w:color w:val="auto"/>
        </w:rPr>
      </w:pPr>
      <w:r>
        <w:rPr>
          <w:rFonts w:ascii="Times New Roman" w:cs="Times New Roman" w:eastAsia="Times New Roman" w:hAnsi="Times New Roman"/>
          <w:sz w:val="18"/>
          <w:szCs w:val="18"/>
          <w:color w:val="auto"/>
        </w:rPr>
        <w:t>Dated: August 14, 2024</w:t>
      </w:r>
      <w:r>
        <w:rPr>
          <w:sz w:val="20"/>
          <w:szCs w:val="20"/>
          <w:color w:val="auto"/>
        </w:rPr>
        <w:tab/>
      </w:r>
      <w:r>
        <w:rPr>
          <w:rFonts w:ascii="Times New Roman" w:cs="Times New Roman" w:eastAsia="Times New Roman" w:hAnsi="Times New Roman"/>
          <w:sz w:val="17"/>
          <w:szCs w:val="17"/>
          <w:i w:val="1"/>
          <w:iCs w:val="1"/>
          <w:color w:val="auto"/>
        </w:rPr>
        <w:t>/s/ Garrett S. Sill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18415</wp:posOffset>
            </wp:positionV>
            <wp:extent cx="348869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7">
                      <a:extLst>
                        <a:ext uri="{28A0092B-C50C-407E-A947-70E740481C1C}"/>
                      </a:extLst>
                    </a:blip>
                    <a:srcRect/>
                    <a:stretch>
                      <a:fillRect/>
                    </a:stretch>
                  </pic:blipFill>
                  <pic:spPr bwMode="auto">
                    <a:xfrm>
                      <a:off x="0" y="0"/>
                      <a:ext cx="3488690" cy="17145"/>
                    </a:xfrm>
                    <a:prstGeom prst="rect">
                      <a:avLst/>
                    </a:prstGeom>
                    <a:noFill/>
                  </pic:spPr>
                </pic:pic>
              </a:graphicData>
            </a:graphic>
          </wp:anchor>
        </w:drawing>
      </w:r>
    </w:p>
    <w:p>
      <w:pPr>
        <w:spacing w:after="0" w:line="2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Garrett S. Sill</w:t>
      </w:r>
    </w:p>
    <w:p>
      <w:pPr>
        <w:spacing w:after="0" w:line="2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D89A32"/>
    <w:multiLevelType w:val="hybridMultilevel"/>
    <w:lvl w:ilvl="0">
      <w:lvlJc w:val="left"/>
      <w:lvlText w:val="☒"/>
      <w:numFmt w:val="bullet"/>
      <w:start w:val="1"/>
    </w:lvl>
  </w:abstractNum>
  <w:abstractNum w:abstractNumId="1">
    <w:nsid w:val="57E4CCAF"/>
    <w:multiLevelType w:val="hybridMultilevel"/>
    <w:lvl w:ilvl="0">
      <w:lvlJc w:val="left"/>
      <w:lvlText w:val="☐"/>
      <w:numFmt w:val="bullet"/>
      <w:start w:val="1"/>
    </w:lvl>
  </w:abstractNum>
  <w:abstractNum w:abstractNumId="2">
    <w:nsid w:val="7A6D8D3C"/>
    <w:multiLevelType w:val="hybridMultilevel"/>
    <w:lvl w:ilvl="0">
      <w:lvlJc w:val="left"/>
      <w:lvlText w:val="(%1)"/>
      <w:numFmt w:val="decimal"/>
      <w:start w:val="1"/>
    </w:lvl>
  </w:abstractNum>
  <w:abstractNum w:abstractNumId="3">
    <w:nsid w:val="4B588F54"/>
    <w:multiLevelType w:val="hybridMultilevel"/>
    <w:lvl w:ilvl="0">
      <w:lvlJc w:val="left"/>
      <w:lvlText w:val="%1)"/>
      <w:numFmt w:val="decimal"/>
      <w:start w:val="1"/>
    </w:lvl>
  </w:abstractNum>
  <w:abstractNum w:abstractNumId="4">
    <w:nsid w:val="542289EC"/>
    <w:multiLevelType w:val="hybridMultilevel"/>
    <w:lvl w:ilvl="0">
      <w:lvlJc w:val="left"/>
      <w:lvlText w:val="%1)"/>
      <w:numFmt w:val="decimal"/>
      <w:start w:val="2"/>
    </w:lvl>
  </w:abstractNum>
  <w:abstractNum w:abstractNumId="5">
    <w:nsid w:val="6DE91B18"/>
    <w:multiLevelType w:val="hybridMultilevel"/>
    <w:lvl w:ilvl="0">
      <w:lvlJc w:val="left"/>
      <w:lvlText w:val="%1)"/>
      <w:numFmt w:val="decimal"/>
      <w:start w:val="2"/>
    </w:lvl>
  </w:abstractNum>
  <w:abstractNum w:abstractNumId="6">
    <w:nsid w:val="38437FDB"/>
    <w:multiLevelType w:val="hybridMultilevel"/>
    <w:lvl w:ilvl="0">
      <w:lvlJc w:val="left"/>
      <w:lvlText w:val="%1)"/>
      <w:numFmt w:val="decimal"/>
      <w:start w:val="3"/>
    </w:lvl>
  </w:abstractNum>
  <w:abstractNum w:abstractNumId="7">
    <w:nsid w:val="7644A45C"/>
    <w:multiLevelType w:val="hybridMultilevel"/>
    <w:lvl w:ilvl="0">
      <w:lvlJc w:val="left"/>
      <w:lvlText w:val="(%1)"/>
      <w:numFmt w:val="decimal"/>
      <w:start w:val="1"/>
    </w:lvl>
  </w:abstractNum>
  <w:abstractNum w:abstractNumId="8">
    <w:nsid w:val="32FFF902"/>
    <w:multiLevelType w:val="hybridMultilevel"/>
    <w:lvl w:ilvl="0">
      <w:lvlJc w:val="left"/>
      <w:lvlText w:val="%1)"/>
      <w:numFmt w:val="decimal"/>
      <w:start w:val="3"/>
    </w:lvl>
  </w:abstractNum>
  <w:abstractNum w:abstractNumId="9">
    <w:nsid w:val="684A481A"/>
    <w:multiLevelType w:val="hybridMultilevel"/>
    <w:lvl w:ilvl="0">
      <w:lvlJc w:val="left"/>
      <w:lvlText w:val="(%1)"/>
      <w:numFmt w:val="decimal"/>
      <w:start w:val="1"/>
    </w:lvl>
  </w:abstractNum>
  <w:abstractNum w:abstractNumId="10">
    <w:nsid w:val="579478FE"/>
    <w:multiLevelType w:val="hybridMultilevel"/>
    <w:lvl w:ilvl="0">
      <w:lvlJc w:val="left"/>
      <w:lvlText w:val="%1)"/>
      <w:numFmt w:val="decimal"/>
      <w:start w:val="3"/>
    </w:lvl>
  </w:abstractNum>
  <w:abstractNum w:abstractNumId="11">
    <w:nsid w:val="749ABB43"/>
    <w:multiLevelType w:val="hybridMultilevel"/>
    <w:lvl w:ilvl="0">
      <w:lvlJc w:val="left"/>
      <w:lvlText w:val="%1)"/>
      <w:numFmt w:val="decimal"/>
      <w:start w:val="3"/>
    </w:lvl>
  </w:abstractNum>
  <w:abstractNum w:abstractNumId="12">
    <w:nsid w:val="3DC240FB"/>
    <w:multiLevelType w:val="hybridMultilevel"/>
    <w:lvl w:ilvl="0">
      <w:lvlJc w:val="left"/>
      <w:lvlText w:val="%1)"/>
      <w:numFmt w:val="decimal"/>
      <w:start w:val="3"/>
    </w:lvl>
  </w:abstractNum>
  <w:abstractNum w:abstractNumId="13">
    <w:nsid w:val="1BA026FA"/>
    <w:multiLevelType w:val="hybridMultilevel"/>
    <w:lvl w:ilvl="0">
      <w:lvlJc w:val="left"/>
      <w:lvlText w:val="%1)"/>
      <w:numFmt w:val="decimal"/>
      <w:start w:val="3"/>
    </w:lvl>
  </w:abstractNum>
  <w:abstractNum w:abstractNumId="14">
    <w:nsid w:val="79A1DEAA"/>
    <w:multiLevelType w:val="hybridMultilevel"/>
    <w:lvl w:ilvl="0">
      <w:lvlJc w:val="left"/>
      <w:lvlText w:val="%1)"/>
      <w:numFmt w:val="decimal"/>
      <w:start w:val="3"/>
    </w:lvl>
  </w:abstractNum>
  <w:abstractNum w:abstractNumId="15">
    <w:nsid w:val="75C6C33A"/>
    <w:multiLevelType w:val="hybridMultilevel"/>
    <w:lvl w:ilvl="0">
      <w:lvlJc w:val="left"/>
      <w:lvlText w:val="%1)"/>
      <w:numFmt w:val="decimal"/>
      <w:start w:val="3"/>
    </w:lvl>
  </w:abstractNum>
  <w:abstractNum w:abstractNumId="16">
    <w:nsid w:val="12E685FB"/>
    <w:multiLevelType w:val="hybridMultilevel"/>
    <w:lvl w:ilvl="0">
      <w:lvlJc w:val="left"/>
      <w:lvlText w:val="%1)"/>
      <w:numFmt w:val="decimal"/>
      <w:start w:val="3"/>
    </w:lvl>
  </w:abstractNum>
  <w:abstractNum w:abstractNumId="17">
    <w:nsid w:val="70C6A529"/>
    <w:multiLevelType w:val="hybridMultilevel"/>
    <w:lvl w:ilvl="0">
      <w:lvlJc w:val="left"/>
      <w:lvlText w:val="(%1)"/>
      <w:numFmt w:val="decimal"/>
      <w:start w:val="1"/>
    </w:lvl>
  </w:abstractNum>
  <w:abstractNum w:abstractNumId="18">
    <w:nsid w:val="520EEDD1"/>
    <w:multiLevelType w:val="hybridMultilevel"/>
    <w:lvl w:ilvl="0">
      <w:lvlJc w:val="left"/>
      <w:lvlText w:val="(%1)"/>
      <w:numFmt w:val="decimal"/>
    </w:lvl>
    <w:lvl w:ilvl="1">
      <w:lvlJc w:val="left"/>
      <w:lvlText w:val="$"/>
      <w:numFmt w:val="bullet"/>
      <w:start w:val="1"/>
    </w:lvl>
  </w:abstractNum>
  <w:abstractNum w:abstractNumId="19">
    <w:nsid w:val="374A3FE6"/>
    <w:multiLevelType w:val="hybridMultilevel"/>
    <w:lvl w:ilvl="0">
      <w:lvlJc w:val="left"/>
      <w:lvlText w:val="%1)"/>
      <w:numFmt w:val="decimal"/>
      <w:start w:val="3"/>
    </w:lvl>
  </w:abstractNum>
  <w:abstractNum w:abstractNumId="20">
    <w:nsid w:val="4F4EF005"/>
    <w:multiLevelType w:val="hybridMultilevel"/>
    <w:lvl w:ilvl="0">
      <w:lvlJc w:val="left"/>
      <w:lvlText w:val="(%1)"/>
      <w:numFmt w:val="decimal"/>
      <w:start w:val="1"/>
    </w:lvl>
  </w:abstractNum>
  <w:abstractNum w:abstractNumId="21">
    <w:nsid w:val="23F9C13C"/>
    <w:multiLevelType w:val="hybridMultilevel"/>
    <w:lvl w:ilvl="0">
      <w:lvlJc w:val="left"/>
      <w:lvlText w:val="%1)"/>
      <w:numFmt w:val="decimal"/>
      <w:start w:val="3"/>
    </w:lvl>
  </w:abstractNum>
  <w:abstractNum w:abstractNumId="22">
    <w:nsid w:val="649BB77C"/>
    <w:multiLevelType w:val="hybridMultilevel"/>
    <w:lvl w:ilvl="0">
      <w:lvlJc w:val="left"/>
      <w:lvlText w:val="%1)"/>
      <w:numFmt w:val="decimal"/>
      <w:start w:val="3"/>
    </w:lvl>
  </w:abstractNum>
  <w:abstractNum w:abstractNumId="23">
    <w:nsid w:val="275AC794"/>
    <w:multiLevelType w:val="hybridMultilevel"/>
    <w:lvl w:ilvl="0">
      <w:lvlJc w:val="left"/>
      <w:lvlText w:val="%1)"/>
      <w:numFmt w:val="decimal"/>
      <w:start w:val="3"/>
    </w:lvl>
  </w:abstractNum>
  <w:abstractNum w:abstractNumId="24">
    <w:nsid w:val="39386575"/>
    <w:multiLevelType w:val="hybridMultilevel"/>
    <w:lvl w:ilvl="0">
      <w:lvlJc w:val="left"/>
      <w:lvlText w:val="(%1)"/>
      <w:numFmt w:val="decimal"/>
      <w:start w:val="1"/>
    </w:lvl>
  </w:abstractNum>
  <w:abstractNum w:abstractNumId="25">
    <w:nsid w:val="1CF10FD8"/>
    <w:multiLevelType w:val="hybridMultilevel"/>
    <w:lvl w:ilvl="0">
      <w:lvlJc w:val="left"/>
      <w:lvlText w:val="%1)"/>
      <w:numFmt w:val="decimal"/>
      <w:start w:val="3"/>
    </w:lvl>
  </w:abstractNum>
  <w:abstractNum w:abstractNumId="26">
    <w:nsid w:val="180115BE"/>
    <w:multiLevelType w:val="hybridMultilevel"/>
    <w:lvl w:ilvl="0">
      <w:lvlJc w:val="left"/>
      <w:lvlText w:val="(%1)"/>
      <w:numFmt w:val="decimal"/>
      <w:start w:val="1"/>
    </w:lvl>
  </w:abstractNum>
  <w:abstractNum w:abstractNumId="27">
    <w:nsid w:val="235BA861"/>
    <w:multiLevelType w:val="hybridMultilevel"/>
    <w:lvl w:ilvl="0">
      <w:lvlJc w:val="left"/>
      <w:lvlText w:val="%1)"/>
      <w:numFmt w:val="decimal"/>
      <w:start w:val="3"/>
    </w:lvl>
  </w:abstractNum>
  <w:abstractNum w:abstractNumId="28">
    <w:nsid w:val="47398C89"/>
    <w:multiLevelType w:val="hybridMultilevel"/>
    <w:lvl w:ilvl="0">
      <w:lvlJc w:val="left"/>
      <w:lvlText w:val="%1)"/>
      <w:numFmt w:val="decimal"/>
      <w:start w:val="3"/>
    </w:lvl>
  </w:abstractNum>
  <w:abstractNum w:abstractNumId="29">
    <w:nsid w:val="354FE9F9"/>
    <w:multiLevelType w:val="hybridMultilevel"/>
    <w:lvl w:ilvl="0">
      <w:lvlJc w:val="left"/>
      <w:lvlText w:val="%1)"/>
      <w:numFmt w:val="decimal"/>
      <w:start w:val="3"/>
    </w:lvl>
  </w:abstractNum>
  <w:abstractNum w:abstractNumId="30">
    <w:nsid w:val="15B5AF5C"/>
    <w:multiLevelType w:val="hybridMultilevel"/>
    <w:lvl w:ilvl="0">
      <w:lvlJc w:val="left"/>
      <w:lvlText w:val="%1)"/>
      <w:numFmt w:val="decimal"/>
      <w:start w:val="3"/>
    </w:lvl>
  </w:abstractNum>
  <w:abstractNum w:abstractNumId="31">
    <w:nsid w:val="741226BB"/>
    <w:multiLevelType w:val="hybridMultilevel"/>
    <w:lvl w:ilvl="0">
      <w:lvlJc w:val="left"/>
      <w:lvlText w:val="(%1)"/>
      <w:numFmt w:val="decimal"/>
      <w:start w:val="1"/>
    </w:lvl>
  </w:abstractNum>
  <w:abstractNum w:abstractNumId="32">
    <w:nsid w:val="D34B6A8"/>
    <w:multiLevelType w:val="hybridMultilevel"/>
    <w:lvl w:ilvl="0">
      <w:lvlJc w:val="left"/>
      <w:lvlText w:val="%1)"/>
      <w:numFmt w:val="decimal"/>
      <w:start w:val="3"/>
    </w:lvl>
  </w:abstractNum>
  <w:abstractNum w:abstractNumId="33">
    <w:nsid w:val="10233C99"/>
    <w:multiLevelType w:val="hybridMultilevel"/>
    <w:lvl w:ilvl="0">
      <w:lvlJc w:val="left"/>
      <w:lvlText w:val="%1)"/>
      <w:numFmt w:val="decimal"/>
      <w:start w:val="3"/>
    </w:lvl>
  </w:abstractNum>
  <w:abstractNum w:abstractNumId="34">
    <w:nsid w:val="3F6AB60F"/>
    <w:multiLevelType w:val="hybridMultilevel"/>
    <w:lvl w:ilvl="0">
      <w:lvlJc w:val="left"/>
      <w:lvlText w:val="%1)"/>
      <w:numFmt w:val="decimal"/>
      <w:start w:val="4"/>
    </w:lvl>
  </w:abstractNum>
  <w:abstractNum w:abstractNumId="35">
    <w:nsid w:val="61574095"/>
    <w:multiLevelType w:val="hybridMultilevel"/>
    <w:lvl w:ilvl="0">
      <w:lvlJc w:val="left"/>
      <w:lvlText w:val="%1)"/>
      <w:numFmt w:val="decimal"/>
      <w:start w:val="5"/>
    </w:lvl>
  </w:abstractNum>
  <w:abstractNum w:abstractNumId="36">
    <w:nsid w:val="7E0C57B1"/>
    <w:multiLevelType w:val="hybridMultilevel"/>
    <w:lvl w:ilvl="0">
      <w:lvlJc w:val="left"/>
      <w:lvlText w:val="(%1)"/>
      <w:numFmt w:val="decimal"/>
      <w:start w:val="1"/>
    </w:lvl>
  </w:abstractNum>
  <w:abstractNum w:abstractNumId="37">
    <w:nsid w:val="77AE35EB"/>
    <w:multiLevelType w:val="hybridMultilevel"/>
    <w:lvl w:ilvl="0">
      <w:lvlJc w:val="left"/>
      <w:lvlText w:val="%1)"/>
      <w:numFmt w:val="decimal"/>
      <w:start w:val="5"/>
    </w:lvl>
  </w:abstractNum>
  <w:abstractNum w:abstractNumId="38">
    <w:nsid w:val="579BE4F1"/>
    <w:multiLevelType w:val="hybridMultilevel"/>
    <w:lvl w:ilvl="0">
      <w:lvlJc w:val="left"/>
      <w:lvlText w:val="(%1)"/>
      <w:numFmt w:val="decimal"/>
      <w:start w:val="1"/>
    </w:lvl>
  </w:abstractNum>
  <w:abstractNum w:abstractNumId="39">
    <w:nsid w:val="310C50B3"/>
    <w:multiLevelType w:val="hybridMultilevel"/>
    <w:lvl w:ilvl="0">
      <w:lvlJc w:val="left"/>
      <w:lvlText w:val="%1)"/>
      <w:numFmt w:val="decimal"/>
      <w:start w:val="5"/>
    </w:lvl>
  </w:abstractNum>
  <w:abstractNum w:abstractNumId="40">
    <w:nsid w:val="5FF87E05"/>
    <w:multiLevelType w:val="hybridMultilevel"/>
    <w:lvl w:ilvl="0">
      <w:lvlJc w:val="left"/>
      <w:lvlText w:val="%1)"/>
      <w:numFmt w:val="decimal"/>
      <w:start w:val="6"/>
    </w:lvl>
  </w:abstractNum>
  <w:abstractNum w:abstractNumId="41">
    <w:nsid w:val="2F305DEF"/>
    <w:multiLevelType w:val="hybridMultilevel"/>
    <w:lvl w:ilvl="0">
      <w:lvlJc w:val="left"/>
      <w:lvlText w:val="%1)"/>
      <w:numFmt w:val="decimal"/>
      <w:start w:val="7"/>
    </w:lvl>
  </w:abstractNum>
  <w:abstractNum w:abstractNumId="42">
    <w:nsid w:val="25A70BF7"/>
    <w:multiLevelType w:val="hybridMultilevel"/>
    <w:lvl w:ilvl="0">
      <w:lvlJc w:val="left"/>
      <w:lvlText w:val="%1)"/>
      <w:numFmt w:val="decimal"/>
      <w:start w:val="7"/>
    </w:lvl>
  </w:abstractNum>
  <w:abstractNum w:abstractNumId="43">
    <w:nsid w:val="1DBABF00"/>
    <w:multiLevelType w:val="hybridMultilevel"/>
    <w:lvl w:ilvl="0">
      <w:lvlJc w:val="left"/>
      <w:lvlText w:val="%1)"/>
      <w:numFmt w:val="decimal"/>
      <w:start w:val="8"/>
    </w:lvl>
  </w:abstractNum>
  <w:abstractNum w:abstractNumId="44">
    <w:nsid w:val="4AD084E9"/>
    <w:multiLevelType w:val="hybridMultilevel"/>
    <w:lvl w:ilvl="0">
      <w:lvlJc w:val="left"/>
      <w:lvlText w:val="%1)"/>
      <w:numFmt w:val="lowerLetter"/>
      <w:start w:val="1"/>
    </w:lvl>
  </w:abstractNum>
  <w:abstractNum w:abstractNumId="45">
    <w:nsid w:val="1F48EAA1"/>
    <w:multiLevelType w:val="hybridMultilevel"/>
    <w:lvl w:ilvl="0">
      <w:lvlJc w:val="left"/>
      <w:lvlText w:val="%1)"/>
      <w:numFmt w:val="decimal"/>
      <w:start w:val="8"/>
    </w:lvl>
  </w:abstractNum>
  <w:abstractNum w:abstractNumId="46">
    <w:nsid w:val="1381823A"/>
    <w:multiLevelType w:val="hybridMultilevel"/>
    <w:lvl w:ilvl="0">
      <w:lvlJc w:val="left"/>
      <w:lvlText w:val="%1)"/>
      <w:numFmt w:val="decimal"/>
      <w:start w:val="8"/>
    </w:lvl>
  </w:abstractNum>
  <w:abstractNum w:abstractNumId="47">
    <w:nsid w:val="5DB70AE5"/>
    <w:multiLevelType w:val="hybridMultilevel"/>
    <w:lvl w:ilvl="0">
      <w:lvlJc w:val="left"/>
      <w:lvlText w:val="%1)"/>
      <w:numFmt w:val="decimal"/>
      <w:start w:val="8"/>
    </w:lvl>
  </w:abstractNum>
  <w:abstractNum w:abstractNumId="48">
    <w:nsid w:val="100F8FCA"/>
    <w:multiLevelType w:val="hybridMultilevel"/>
    <w:lvl w:ilvl="0">
      <w:lvlJc w:val="left"/>
      <w:lvlText w:val="%1)"/>
      <w:numFmt w:val="decimal"/>
      <w:start w:val="8"/>
    </w:lvl>
  </w:abstractNum>
  <w:abstractNum w:abstractNumId="49">
    <w:nsid w:val="6590700B"/>
    <w:multiLevelType w:val="hybridMultilevel"/>
    <w:lvl w:ilvl="0">
      <w:lvlJc w:val="left"/>
      <w:lvlText w:val="%1)"/>
      <w:numFmt w:val="decimal"/>
      <w:start w:val="8"/>
    </w:lvl>
  </w:abstractNum>
  <w:abstractNum w:abstractNumId="50">
    <w:nsid w:val="15014ACB"/>
    <w:multiLevelType w:val="hybridMultilevel"/>
    <w:lvl w:ilvl="0">
      <w:lvlJc w:val="left"/>
      <w:lvlText w:val="%1)"/>
      <w:numFmt w:val="decimal"/>
      <w:start w:val="8"/>
    </w:lvl>
  </w:abstractNum>
  <w:abstractNum w:abstractNumId="51">
    <w:nsid w:val="5F5E7FD0"/>
    <w:multiLevelType w:val="hybridMultilevel"/>
    <w:lvl w:ilvl="0">
      <w:lvlJc w:val="left"/>
      <w:lvlText w:val="%1)"/>
      <w:numFmt w:val="decimal"/>
      <w:start w:val="8"/>
    </w:lvl>
  </w:abstractNum>
  <w:abstractNum w:abstractNumId="52">
    <w:nsid w:val="98A3148"/>
    <w:multiLevelType w:val="hybridMultilevel"/>
    <w:lvl w:ilvl="0">
      <w:lvlJc w:val="left"/>
      <w:lvlText w:val="%1)"/>
      <w:numFmt w:val="decimal"/>
      <w:start w:val="8"/>
    </w:lvl>
  </w:abstractNum>
  <w:abstractNum w:abstractNumId="53">
    <w:nsid w:val="799D0247"/>
    <w:multiLevelType w:val="hybridMultilevel"/>
    <w:lvl w:ilvl="0">
      <w:lvlJc w:val="left"/>
      <w:lvlText w:val="%1)"/>
      <w:numFmt w:val="decimal"/>
      <w:start w:val="8"/>
    </w:lvl>
  </w:abstractNum>
  <w:abstractNum w:abstractNumId="54">
    <w:nsid w:val="6B94764"/>
    <w:multiLevelType w:val="hybridMultilevel"/>
    <w:lvl w:ilvl="0">
      <w:lvlJc w:val="left"/>
      <w:lvlText w:val="%1)"/>
      <w:numFmt w:val="decimal"/>
      <w:start w:val="9"/>
    </w:lvl>
  </w:abstractNum>
  <w:abstractNum w:abstractNumId="55">
    <w:nsid w:val="42C296BD"/>
    <w:multiLevelType w:val="hybridMultilevel"/>
    <w:lvl w:ilvl="0">
      <w:lvlJc w:val="left"/>
      <w:lvlText w:val="%1)"/>
      <w:numFmt w:val="decimal"/>
      <w:start w:val="9"/>
    </w:lvl>
  </w:abstractNum>
  <w:abstractNum w:abstractNumId="56">
    <w:nsid w:val="168E121F"/>
    <w:multiLevelType w:val="hybridMultilevel"/>
    <w:lvl w:ilvl="0">
      <w:lvlJc w:val="left"/>
      <w:lvlText w:val="%1)"/>
      <w:numFmt w:val="decimal"/>
      <w:start w:val="10"/>
    </w:lvl>
  </w:abstractNum>
  <w:abstractNum w:abstractNumId="57">
    <w:nsid w:val="1EBA5D23"/>
    <w:multiLevelType w:val="hybridMultilevel"/>
    <w:lvl w:ilvl="0">
      <w:lvlJc w:val="left"/>
      <w:lvlText w:val="%1)"/>
      <w:numFmt w:val="decimal"/>
      <w:start w:val="10"/>
    </w:lvl>
  </w:abstractNum>
  <w:abstractNum w:abstractNumId="58">
    <w:nsid w:val="661E3F1E"/>
    <w:multiLevelType w:val="hybridMultilevel"/>
    <w:lvl w:ilvl="0">
      <w:lvlJc w:val="left"/>
      <w:lvlText w:val="%1)"/>
      <w:numFmt w:val="decimal"/>
      <w:start w:val="11"/>
    </w:lvl>
  </w:abstractNum>
  <w:abstractNum w:abstractNumId="59">
    <w:nsid w:val="5DC79EA8"/>
    <w:multiLevelType w:val="hybridMultilevel"/>
    <w:lvl w:ilvl="0">
      <w:lvlJc w:val="left"/>
      <w:lvlText w:val="(%1)"/>
      <w:numFmt w:val="decimal"/>
      <w:start w:val="1"/>
    </w:lvl>
  </w:abstractNum>
  <w:abstractNum w:abstractNumId="60">
    <w:nsid w:val="540A471C"/>
    <w:multiLevelType w:val="hybridMultilevel"/>
    <w:lvl w:ilvl="0">
      <w:lvlJc w:val="left"/>
      <w:lvlText w:val="%1)"/>
      <w:numFmt w:val="decimal"/>
      <w:start w:val="11"/>
    </w:lvl>
  </w:abstractNum>
  <w:abstractNum w:abstractNumId="61">
    <w:nsid w:val="7BD3EE7B"/>
    <w:multiLevelType w:val="hybridMultilevel"/>
    <w:lvl w:ilvl="0">
      <w:lvlJc w:val="left"/>
      <w:lvlText w:val="%1)"/>
      <w:numFmt w:val="decimal"/>
      <w:start w:val="12"/>
    </w:lvl>
  </w:abstractNum>
  <w:abstractNum w:abstractNumId="62">
    <w:nsid w:val="51D9C564"/>
    <w:multiLevelType w:val="hybridMultilevel"/>
    <w:lvl w:ilvl="0">
      <w:lvlJc w:val="left"/>
      <w:lvlText w:val="%1)"/>
      <w:numFmt w:val="decimal"/>
      <w:start w:val="13"/>
    </w:lvl>
  </w:abstractNum>
  <w:abstractNum w:abstractNumId="63">
    <w:nsid w:val="613EFDC5"/>
    <w:multiLevelType w:val="hybridMultilevel"/>
    <w:lvl w:ilvl="0">
      <w:lvlJc w:val="left"/>
      <w:lvlText w:val="$"/>
      <w:numFmt w:val="bullet"/>
      <w:start w:val="1"/>
    </w:lvl>
  </w:abstractNum>
  <w:abstractNum w:abstractNumId="64">
    <w:nsid w:val="BF72B14"/>
    <w:multiLevelType w:val="hybridMultilevel"/>
    <w:lvl w:ilvl="0">
      <w:lvlJc w:val="left"/>
      <w:lvlText w:val="$"/>
      <w:numFmt w:val="bullet"/>
      <w:start w:val="1"/>
    </w:lvl>
  </w:abstractNum>
  <w:abstractNum w:abstractNumId="65">
    <w:nsid w:val="11447B73"/>
    <w:multiLevelType w:val="hybridMultilevel"/>
    <w:lvl w:ilvl="0">
      <w:lvlJc w:val="left"/>
      <w:lvlText w:val="$"/>
      <w:numFmt w:val="bullet"/>
      <w:start w:val="1"/>
    </w:lvl>
  </w:abstractNum>
  <w:abstractNum w:abstractNumId="66">
    <w:nsid w:val="42963E5A"/>
    <w:multiLevelType w:val="hybridMultilevel"/>
    <w:lvl w:ilvl="0">
      <w:lvlJc w:val="left"/>
      <w:lvlText w:val="$"/>
      <w:numFmt w:val="bullet"/>
      <w:start w:val="1"/>
    </w:lvl>
  </w:abstractNum>
  <w:abstractNum w:abstractNumId="67">
    <w:nsid w:val="A0382C5"/>
    <w:multiLevelType w:val="hybridMultilevel"/>
    <w:lvl w:ilvl="0">
      <w:lvlJc w:val="left"/>
      <w:lvlText w:val="$"/>
      <w:numFmt w:val="bullet"/>
      <w:start w:val="1"/>
    </w:lvl>
  </w:abstractNum>
  <w:abstractNum w:abstractNumId="68">
    <w:nsid w:val="8F2B15E"/>
    <w:multiLevelType w:val="hybridMultilevel"/>
    <w:lvl w:ilvl="0">
      <w:lvlJc w:val="left"/>
      <w:lvlText w:val="$"/>
      <w:numFmt w:val="bullet"/>
      <w:start w:val="1"/>
    </w:lvl>
  </w:abstractNum>
  <w:abstractNum w:abstractNumId="69">
    <w:nsid w:val="1A32234B"/>
    <w:multiLevelType w:val="hybridMultilevel"/>
    <w:lvl w:ilvl="0">
      <w:lvlJc w:val="left"/>
      <w:lvlText w:val="$"/>
      <w:numFmt w:val="bullet"/>
      <w:start w:val="1"/>
    </w:lvl>
  </w:abstractNum>
  <w:abstractNum w:abstractNumId="70">
    <w:nsid w:val="3B0FD379"/>
    <w:multiLevelType w:val="hybridMultilevel"/>
    <w:lvl w:ilvl="0">
      <w:lvlJc w:val="left"/>
      <w:lvlText w:val="$"/>
      <w:numFmt w:val="bullet"/>
      <w:start w:val="1"/>
    </w:lvl>
  </w:abstractNum>
  <w:abstractNum w:abstractNumId="71">
    <w:nsid w:val="68EB2F63"/>
    <w:multiLevelType w:val="hybridMultilevel"/>
    <w:lvl w:ilvl="0">
      <w:lvlJc w:val="left"/>
      <w:lvlText w:val="(%1)"/>
      <w:numFmt w:val="decimal"/>
      <w:start w:val="1"/>
    </w:lvl>
  </w:abstractNum>
  <w:abstractNum w:abstractNumId="72">
    <w:nsid w:val="4962813B"/>
    <w:multiLevelType w:val="hybridMultilevel"/>
    <w:lvl w:ilvl="0">
      <w:lvlJc w:val="left"/>
      <w:lvlText w:val="%1)"/>
      <w:numFmt w:val="decimal"/>
      <w:start w:val="15"/>
    </w:lvl>
  </w:abstractNum>
  <w:abstractNum w:abstractNumId="73">
    <w:nsid w:val="60B6DF70"/>
    <w:multiLevelType w:val="hybridMultilevel"/>
    <w:lvl w:ilvl="0">
      <w:lvlJc w:val="left"/>
      <w:lvlText w:val="%1)"/>
      <w:numFmt w:val="decimal"/>
      <w:start w:val="15"/>
    </w:lvl>
  </w:abstractNum>
  <w:abstractNum w:abstractNumId="74">
    <w:nsid w:val="6A5EE64"/>
    <w:multiLevelType w:val="hybridMultilevel"/>
    <w:lvl w:ilvl="0">
      <w:lvlJc w:val="left"/>
      <w:lvlText w:val="%1)"/>
      <w:numFmt w:val="decimal"/>
      <w:start w:val="15"/>
    </w:lvl>
  </w:abstractNum>
  <w:abstractNum w:abstractNumId="75">
    <w:nsid w:val="14330624"/>
    <w:multiLevelType w:val="hybridMultilevel"/>
    <w:lvl w:ilvl="0">
      <w:lvlJc w:val="left"/>
      <w:lvlText w:val="%1)"/>
      <w:numFmt w:val="decimal"/>
      <w:start w:val="15"/>
    </w:lvl>
  </w:abstractNum>
  <w:abstractNum w:abstractNumId="76">
    <w:nsid w:val="7FFFCA11"/>
    <w:multiLevelType w:val="hybridMultilevel"/>
    <w:lvl w:ilvl="0">
      <w:lvlJc w:val="left"/>
      <w:lvlText w:val="(%1)"/>
      <w:numFmt w:val="decimal"/>
      <w:start w:val="1"/>
    </w:lvl>
  </w:abstractNum>
  <w:abstractNum w:abstractNumId="77">
    <w:nsid w:val="1A27709E"/>
    <w:multiLevelType w:val="hybridMultilevel"/>
    <w:lvl w:ilvl="0">
      <w:lvlJc w:val="left"/>
      <w:lvlText w:val="%1)"/>
      <w:numFmt w:val="decimal"/>
      <w:start w:val="15"/>
    </w:lvl>
  </w:abstractNum>
  <w:abstractNum w:abstractNumId="78">
    <w:nsid w:val="71EA1109"/>
    <w:multiLevelType w:val="hybridMultilevel"/>
    <w:lvl w:ilvl="0">
      <w:lvlJc w:val="left"/>
      <w:lvlText w:val="%1)"/>
      <w:numFmt w:val="decimal"/>
      <w:start w:val="15"/>
    </w:lvl>
  </w:abstractNum>
  <w:abstractNum w:abstractNumId="79">
    <w:nsid w:val="100F59DC"/>
    <w:multiLevelType w:val="hybridMultilevel"/>
    <w:lvl w:ilvl="0">
      <w:lvlJc w:val="left"/>
      <w:lvlText w:val="%1)"/>
      <w:numFmt w:val="decimal"/>
      <w:start w:val="16"/>
    </w:lvl>
  </w:abstractNum>
  <w:abstractNum w:abstractNumId="80">
    <w:nsid w:val="7FB7E0AA"/>
    <w:multiLevelType w:val="hybridMultilevel"/>
    <w:lvl w:ilvl="0">
      <w:lvlJc w:val="left"/>
      <w:lvlText w:val="(%1)"/>
      <w:numFmt w:val="lowerRoman"/>
      <w:start w:val="3"/>
    </w:lvl>
  </w:abstractNum>
  <w:abstractNum w:abstractNumId="81">
    <w:nsid w:val="6EB5BD4"/>
    <w:multiLevelType w:val="hybridMultilevel"/>
    <w:lvl w:ilvl="0">
      <w:lvlJc w:val="left"/>
      <w:lvlText w:val="(%1)"/>
      <w:numFmt w:val="decimal"/>
      <w:start w:val="1"/>
    </w:lvl>
  </w:abstractNum>
  <w:abstractNum w:abstractNumId="82">
    <w:nsid w:val="6F6DD9AC"/>
    <w:multiLevelType w:val="hybridMultilevel"/>
    <w:lvl w:ilvl="0">
      <w:lvlJc w:val="left"/>
      <w:lvlText w:val="%1"/>
      <w:numFmt w:val="decimal"/>
      <w:start w:val="21"/>
    </w:lvl>
  </w:abstractNum>
  <w:abstractNum w:abstractNumId="83">
    <w:nsid w:val="94211F2"/>
    <w:multiLevelType w:val="hybridMultilevel"/>
    <w:lvl w:ilvl="0">
      <w:lvlJc w:val="left"/>
      <w:lvlText w:val="(%1)"/>
      <w:numFmt w:val="decimal"/>
      <w:start w:val="1"/>
    </w:lvl>
  </w:abstractNum>
  <w:abstractNum w:abstractNumId="84">
    <w:nsid w:val="885E1B"/>
    <w:multiLevelType w:val="hybridMultilevel"/>
    <w:lvl w:ilvl="0">
      <w:lvlJc w:val="left"/>
      <w:lvlText w:val="%1."/>
      <w:numFmt w:val="decimal"/>
      <w:start w:val="1"/>
    </w:lvl>
    <w:lvl w:ilvl="1">
      <w:lvlJc w:val="left"/>
      <w:lvlText w:val="(%2)"/>
      <w:numFmt w:val="lowerLetter"/>
      <w:start w:val="1"/>
    </w:lvl>
  </w:abstractNum>
  <w:abstractNum w:abstractNumId="85">
    <w:nsid w:val="76272110"/>
    <w:multiLevelType w:val="hybridMultilevel"/>
    <w:lvl w:ilvl="0">
      <w:lvlJc w:val="left"/>
      <w:lvlText w:val="%1."/>
      <w:numFmt w:val="decimal"/>
      <w:start w:val="1"/>
    </w:lvl>
    <w:lvl w:ilvl="1">
      <w:lvlJc w:val="left"/>
      <w:lvlText w:val="(%2)"/>
      <w:numFmt w:val="lowerLetter"/>
      <w:start w:val="1"/>
    </w:lvl>
  </w:abstractNum>
  <w:abstractNum w:abstractNumId="86">
    <w:nsid w:val="4C04A8AF"/>
    <w:multiLevelType w:val="hybridMultilevel"/>
    <w:lvl w:ilvl="0">
      <w:lvlJc w:val="left"/>
      <w:lvlText w:val="(%1)"/>
      <w:numFmt w:val="decimal"/>
      <w:start w:val="1"/>
    </w:lvl>
  </w:abstractNum>
  <w:abstractNum w:abstractNumId="87">
    <w:nsid w:val="1716703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4" Type="http://schemas.openxmlformats.org/officeDocument/2006/relationships/image" Target="media/image145.png"/><Relationship Id="rId155" Type="http://schemas.openxmlformats.org/officeDocument/2006/relationships/image" Target="media/image146.png"/><Relationship Id="rId156" Type="http://schemas.openxmlformats.org/officeDocument/2006/relationships/image" Target="media/image147.png"/><Relationship Id="rId157" Type="http://schemas.openxmlformats.org/officeDocument/2006/relationships/image" Target="media/image148.png"/><Relationship Id="rId158" Type="http://schemas.openxmlformats.org/officeDocument/2006/relationships/image" Target="media/image149.png"/><Relationship Id="rId159" Type="http://schemas.openxmlformats.org/officeDocument/2006/relationships/image" Target="media/image150.png"/><Relationship Id="rId160" Type="http://schemas.openxmlformats.org/officeDocument/2006/relationships/image" Target="media/image151.png"/><Relationship Id="rId161" Type="http://schemas.openxmlformats.org/officeDocument/2006/relationships/image" Target="media/image152.png"/><Relationship Id="rId162" Type="http://schemas.openxmlformats.org/officeDocument/2006/relationships/image" Target="media/image153.png"/><Relationship Id="rId163" Type="http://schemas.openxmlformats.org/officeDocument/2006/relationships/image" Target="media/image154.png"/><Relationship Id="rId164" Type="http://schemas.openxmlformats.org/officeDocument/2006/relationships/image" Target="media/image155.png"/><Relationship Id="rId165" Type="http://schemas.openxmlformats.org/officeDocument/2006/relationships/image" Target="media/image156.png"/><Relationship Id="rId166" Type="http://schemas.openxmlformats.org/officeDocument/2006/relationships/image" Target="media/image157.png"/><Relationship Id="rId167" Type="http://schemas.openxmlformats.org/officeDocument/2006/relationships/image" Target="media/image158.png"/><Relationship Id="rId168" Type="http://schemas.openxmlformats.org/officeDocument/2006/relationships/image" Target="media/image159.png"/><Relationship Id="rId152" Type="http://schemas.openxmlformats.org/officeDocument/2006/relationships/hyperlink" Target="https://www.sec.gov/Archives/edgar/data/318673/000109690617000214/exh3_1.pdf" TargetMode="External"/><Relationship Id="rId153" Type="http://schemas.openxmlformats.org/officeDocument/2006/relationships/hyperlink" Target="https://www.sec.gov/Archives/edgar/data/318673/000109690619000199/exh3_2.pdf"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2024-08-14T12:09:02Z</dcterms:created>
  <dcterms:modified xsi:type="dcterms:W3CDTF">2024-08-14T12:09:02Z</dcterms:modified>
</cp:coreProperties>
</file>